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73E" w:rsidRDefault="0008573E">
      <w:pPr>
        <w:pStyle w:val="af3"/>
        <w:spacing w:before="454" w:after="454"/>
        <w:ind w:left="454" w:right="454"/>
        <w:jc w:val="center"/>
        <w:outlineLvl w:val="0"/>
        <w:divId w:val="237786446"/>
        <w:rPr>
          <w:sz w:val="40"/>
          <w:szCs w:val="40"/>
        </w:rPr>
      </w:pPr>
      <w:r>
        <w:rPr>
          <w:sz w:val="40"/>
          <w:szCs w:val="40"/>
        </w:rPr>
        <w:t>深圳市第十届运动会南山区代表团团服采购项目</w:t>
      </w:r>
    </w:p>
    <w:p w:rsidR="0008573E" w:rsidRDefault="0008573E">
      <w:pPr>
        <w:pStyle w:val="af3"/>
        <w:jc w:val="center"/>
        <w:outlineLvl w:val="1"/>
        <w:divId w:val="237786446"/>
        <w:rPr>
          <w:rFonts w:ascii="黑体" w:eastAsia="黑体" w:hAnsi="黑体"/>
          <w:sz w:val="40"/>
          <w:szCs w:val="40"/>
        </w:rPr>
      </w:pPr>
      <w:r>
        <w:rPr>
          <w:rFonts w:ascii="黑体" w:eastAsia="黑体" w:hAnsi="黑体" w:hint="eastAsia"/>
          <w:sz w:val="40"/>
          <w:szCs w:val="40"/>
        </w:rPr>
        <w:t>招标文件信息</w:t>
      </w:r>
    </w:p>
    <w:tbl>
      <w:tblPr>
        <w:tblW w:w="7938" w:type="dxa"/>
        <w:jc w:val="center"/>
        <w:tblCellSpacing w:w="0" w:type="dxa"/>
        <w:tblCellMar>
          <w:top w:w="45" w:type="dxa"/>
          <w:left w:w="45" w:type="dxa"/>
          <w:bottom w:w="45" w:type="dxa"/>
          <w:right w:w="45" w:type="dxa"/>
        </w:tblCellMar>
        <w:tblLook w:val="04A0" w:firstRow="1" w:lastRow="0" w:firstColumn="1" w:lastColumn="0" w:noHBand="0" w:noVBand="1"/>
      </w:tblPr>
      <w:tblGrid>
        <w:gridCol w:w="2722"/>
        <w:gridCol w:w="5216"/>
      </w:tblGrid>
      <w:tr w:rsidR="0008573E">
        <w:trPr>
          <w:divId w:val="237786446"/>
          <w:trHeight w:val="737"/>
          <w:tblCellSpacing w:w="0" w:type="dxa"/>
          <w:jc w:val="center"/>
        </w:trPr>
        <w:tc>
          <w:tcPr>
            <w:tcW w:w="2722" w:type="dxa"/>
            <w:vAlign w:val="center"/>
            <w:hideMark/>
          </w:tcPr>
          <w:p w:rsidR="0008573E" w:rsidRDefault="0008573E">
            <w:pPr>
              <w:jc w:val="right"/>
              <w:rPr>
                <w:rFonts w:ascii="宋体" w:hAnsi="宋体" w:cs="宋体"/>
                <w:sz w:val="30"/>
                <w:szCs w:val="30"/>
              </w:rPr>
            </w:pPr>
            <w:r>
              <w:rPr>
                <w:sz w:val="30"/>
                <w:szCs w:val="30"/>
              </w:rPr>
              <w:t>项目编号：</w:t>
            </w:r>
          </w:p>
        </w:tc>
        <w:tc>
          <w:tcPr>
            <w:tcW w:w="0" w:type="auto"/>
            <w:vAlign w:val="center"/>
            <w:hideMark/>
          </w:tcPr>
          <w:p w:rsidR="0008573E" w:rsidRDefault="0008573E">
            <w:pPr>
              <w:rPr>
                <w:rFonts w:ascii="宋体" w:hAnsi="宋体" w:cs="宋体"/>
                <w:sz w:val="30"/>
                <w:szCs w:val="30"/>
              </w:rPr>
            </w:pPr>
            <w:r>
              <w:rPr>
                <w:sz w:val="30"/>
                <w:szCs w:val="30"/>
              </w:rPr>
              <w:t>NSDL2021196504</w:t>
            </w:r>
          </w:p>
        </w:tc>
      </w:tr>
      <w:tr w:rsidR="0008573E">
        <w:trPr>
          <w:divId w:val="237786446"/>
          <w:trHeight w:val="737"/>
          <w:tblCellSpacing w:w="0" w:type="dxa"/>
          <w:jc w:val="center"/>
        </w:trPr>
        <w:tc>
          <w:tcPr>
            <w:tcW w:w="0" w:type="auto"/>
            <w:vAlign w:val="center"/>
            <w:hideMark/>
          </w:tcPr>
          <w:p w:rsidR="0008573E" w:rsidRDefault="0008573E">
            <w:pPr>
              <w:jc w:val="right"/>
              <w:rPr>
                <w:rFonts w:ascii="宋体" w:hAnsi="宋体" w:cs="宋体"/>
                <w:sz w:val="30"/>
                <w:szCs w:val="30"/>
              </w:rPr>
            </w:pPr>
            <w:r>
              <w:rPr>
                <w:sz w:val="30"/>
                <w:szCs w:val="30"/>
              </w:rPr>
              <w:t>项目名称：</w:t>
            </w:r>
          </w:p>
        </w:tc>
        <w:tc>
          <w:tcPr>
            <w:tcW w:w="0" w:type="auto"/>
            <w:vAlign w:val="center"/>
            <w:hideMark/>
          </w:tcPr>
          <w:p w:rsidR="0008573E" w:rsidRDefault="0008573E">
            <w:pPr>
              <w:rPr>
                <w:rFonts w:ascii="宋体" w:hAnsi="宋体" w:cs="宋体"/>
                <w:sz w:val="30"/>
                <w:szCs w:val="30"/>
              </w:rPr>
            </w:pPr>
            <w:r>
              <w:rPr>
                <w:sz w:val="30"/>
                <w:szCs w:val="30"/>
              </w:rPr>
              <w:t>深圳市第十届运动会南山区代表团团服采购项目</w:t>
            </w:r>
          </w:p>
        </w:tc>
      </w:tr>
      <w:tr w:rsidR="0008573E">
        <w:trPr>
          <w:divId w:val="237786446"/>
          <w:trHeight w:val="737"/>
          <w:tblCellSpacing w:w="0" w:type="dxa"/>
          <w:jc w:val="center"/>
        </w:trPr>
        <w:tc>
          <w:tcPr>
            <w:tcW w:w="0" w:type="auto"/>
            <w:vAlign w:val="center"/>
            <w:hideMark/>
          </w:tcPr>
          <w:p w:rsidR="0008573E" w:rsidRDefault="0008573E">
            <w:pPr>
              <w:jc w:val="right"/>
              <w:rPr>
                <w:rFonts w:ascii="宋体" w:hAnsi="宋体" w:cs="宋体"/>
                <w:sz w:val="30"/>
                <w:szCs w:val="30"/>
              </w:rPr>
            </w:pPr>
            <w:r>
              <w:rPr>
                <w:sz w:val="30"/>
                <w:szCs w:val="30"/>
              </w:rPr>
              <w:t>包</w:t>
            </w:r>
            <w:r>
              <w:rPr>
                <w:sz w:val="30"/>
                <w:szCs w:val="30"/>
              </w:rPr>
              <w:t xml:space="preserve"> </w:t>
            </w:r>
            <w:r>
              <w:rPr>
                <w:sz w:val="30"/>
                <w:szCs w:val="30"/>
              </w:rPr>
              <w:t>号：</w:t>
            </w:r>
          </w:p>
        </w:tc>
        <w:tc>
          <w:tcPr>
            <w:tcW w:w="0" w:type="auto"/>
            <w:vAlign w:val="center"/>
            <w:hideMark/>
          </w:tcPr>
          <w:p w:rsidR="0008573E" w:rsidRDefault="0008573E">
            <w:pPr>
              <w:rPr>
                <w:rFonts w:ascii="宋体" w:hAnsi="宋体" w:cs="宋体"/>
                <w:sz w:val="30"/>
                <w:szCs w:val="30"/>
              </w:rPr>
            </w:pPr>
            <w:r>
              <w:rPr>
                <w:sz w:val="30"/>
                <w:szCs w:val="30"/>
              </w:rPr>
              <w:t>A</w:t>
            </w:r>
          </w:p>
        </w:tc>
      </w:tr>
      <w:tr w:rsidR="0008573E">
        <w:trPr>
          <w:divId w:val="237786446"/>
          <w:trHeight w:val="737"/>
          <w:tblCellSpacing w:w="0" w:type="dxa"/>
          <w:jc w:val="center"/>
        </w:trPr>
        <w:tc>
          <w:tcPr>
            <w:tcW w:w="0" w:type="auto"/>
            <w:vAlign w:val="center"/>
            <w:hideMark/>
          </w:tcPr>
          <w:p w:rsidR="0008573E" w:rsidRDefault="0008573E">
            <w:pPr>
              <w:jc w:val="right"/>
              <w:rPr>
                <w:rFonts w:ascii="宋体" w:hAnsi="宋体" w:cs="宋体"/>
                <w:sz w:val="30"/>
                <w:szCs w:val="30"/>
              </w:rPr>
            </w:pPr>
            <w:r>
              <w:rPr>
                <w:sz w:val="30"/>
                <w:szCs w:val="30"/>
              </w:rPr>
              <w:t>项目类型：</w:t>
            </w:r>
          </w:p>
        </w:tc>
        <w:tc>
          <w:tcPr>
            <w:tcW w:w="0" w:type="auto"/>
            <w:vAlign w:val="center"/>
            <w:hideMark/>
          </w:tcPr>
          <w:p w:rsidR="0008573E" w:rsidRDefault="0008573E">
            <w:pPr>
              <w:rPr>
                <w:rFonts w:ascii="宋体" w:hAnsi="宋体" w:cs="宋体"/>
                <w:sz w:val="30"/>
                <w:szCs w:val="30"/>
              </w:rPr>
            </w:pPr>
            <w:r>
              <w:rPr>
                <w:sz w:val="30"/>
                <w:szCs w:val="30"/>
              </w:rPr>
              <w:t>货物类</w:t>
            </w:r>
          </w:p>
        </w:tc>
      </w:tr>
      <w:tr w:rsidR="0008573E">
        <w:trPr>
          <w:divId w:val="237786446"/>
          <w:trHeight w:val="737"/>
          <w:tblCellSpacing w:w="0" w:type="dxa"/>
          <w:jc w:val="center"/>
        </w:trPr>
        <w:tc>
          <w:tcPr>
            <w:tcW w:w="0" w:type="auto"/>
            <w:vAlign w:val="center"/>
            <w:hideMark/>
          </w:tcPr>
          <w:p w:rsidR="0008573E" w:rsidRDefault="0008573E">
            <w:pPr>
              <w:jc w:val="right"/>
              <w:rPr>
                <w:rFonts w:ascii="宋体" w:hAnsi="宋体" w:cs="宋体"/>
                <w:sz w:val="30"/>
                <w:szCs w:val="30"/>
              </w:rPr>
            </w:pPr>
            <w:r>
              <w:rPr>
                <w:sz w:val="30"/>
                <w:szCs w:val="30"/>
              </w:rPr>
              <w:t>采购方式：</w:t>
            </w:r>
          </w:p>
        </w:tc>
        <w:tc>
          <w:tcPr>
            <w:tcW w:w="0" w:type="auto"/>
            <w:vAlign w:val="center"/>
            <w:hideMark/>
          </w:tcPr>
          <w:p w:rsidR="0008573E" w:rsidRDefault="0008573E">
            <w:pPr>
              <w:rPr>
                <w:rFonts w:ascii="宋体" w:hAnsi="宋体" w:cs="宋体"/>
                <w:sz w:val="30"/>
                <w:szCs w:val="30"/>
              </w:rPr>
            </w:pPr>
            <w:r>
              <w:rPr>
                <w:sz w:val="30"/>
                <w:szCs w:val="30"/>
              </w:rPr>
              <w:t>公开招标</w:t>
            </w:r>
          </w:p>
        </w:tc>
      </w:tr>
      <w:tr w:rsidR="0008573E">
        <w:trPr>
          <w:divId w:val="237786446"/>
          <w:trHeight w:val="737"/>
          <w:tblCellSpacing w:w="0" w:type="dxa"/>
          <w:jc w:val="center"/>
        </w:trPr>
        <w:tc>
          <w:tcPr>
            <w:tcW w:w="0" w:type="auto"/>
            <w:vAlign w:val="center"/>
            <w:hideMark/>
          </w:tcPr>
          <w:p w:rsidR="0008573E" w:rsidRDefault="0008573E">
            <w:pPr>
              <w:jc w:val="right"/>
              <w:rPr>
                <w:rFonts w:ascii="宋体" w:hAnsi="宋体" w:cs="宋体"/>
                <w:sz w:val="30"/>
                <w:szCs w:val="30"/>
              </w:rPr>
            </w:pPr>
            <w:r>
              <w:rPr>
                <w:sz w:val="30"/>
                <w:szCs w:val="30"/>
              </w:rPr>
              <w:t>货币类型：</w:t>
            </w:r>
          </w:p>
        </w:tc>
        <w:tc>
          <w:tcPr>
            <w:tcW w:w="0" w:type="auto"/>
            <w:vAlign w:val="center"/>
            <w:hideMark/>
          </w:tcPr>
          <w:p w:rsidR="0008573E" w:rsidRDefault="0008573E">
            <w:pPr>
              <w:rPr>
                <w:rFonts w:ascii="宋体" w:hAnsi="宋体" w:cs="宋体"/>
                <w:sz w:val="30"/>
                <w:szCs w:val="30"/>
              </w:rPr>
            </w:pPr>
            <w:r>
              <w:rPr>
                <w:sz w:val="30"/>
                <w:szCs w:val="30"/>
              </w:rPr>
              <w:t>人民币</w:t>
            </w:r>
          </w:p>
        </w:tc>
      </w:tr>
      <w:tr w:rsidR="0008573E">
        <w:trPr>
          <w:divId w:val="237786446"/>
          <w:trHeight w:val="737"/>
          <w:tblCellSpacing w:w="0" w:type="dxa"/>
          <w:jc w:val="center"/>
        </w:trPr>
        <w:tc>
          <w:tcPr>
            <w:tcW w:w="0" w:type="auto"/>
            <w:vAlign w:val="center"/>
            <w:hideMark/>
          </w:tcPr>
          <w:p w:rsidR="0008573E" w:rsidRDefault="0008573E">
            <w:pPr>
              <w:jc w:val="right"/>
              <w:rPr>
                <w:rFonts w:ascii="宋体" w:hAnsi="宋体" w:cs="宋体"/>
                <w:sz w:val="30"/>
                <w:szCs w:val="30"/>
              </w:rPr>
            </w:pPr>
            <w:r>
              <w:rPr>
                <w:sz w:val="30"/>
                <w:szCs w:val="30"/>
              </w:rPr>
              <w:t>评标方法：</w:t>
            </w:r>
          </w:p>
        </w:tc>
        <w:tc>
          <w:tcPr>
            <w:tcW w:w="0" w:type="auto"/>
            <w:vAlign w:val="center"/>
            <w:hideMark/>
          </w:tcPr>
          <w:p w:rsidR="0008573E" w:rsidRDefault="0008573E">
            <w:pPr>
              <w:rPr>
                <w:rFonts w:ascii="宋体" w:hAnsi="宋体" w:cs="宋体"/>
                <w:sz w:val="30"/>
                <w:szCs w:val="30"/>
              </w:rPr>
            </w:pPr>
            <w:r>
              <w:rPr>
                <w:sz w:val="30"/>
                <w:szCs w:val="30"/>
              </w:rPr>
              <w:t>综合评分法（新价格分算法）</w:t>
            </w:r>
          </w:p>
        </w:tc>
      </w:tr>
    </w:tbl>
    <w:p w:rsidR="0008573E" w:rsidRDefault="0008573E">
      <w:pPr>
        <w:pStyle w:val="af3"/>
        <w:jc w:val="center"/>
        <w:outlineLvl w:val="1"/>
        <w:divId w:val="237786446"/>
        <w:rPr>
          <w:rFonts w:ascii="黑体" w:eastAsia="黑体" w:hAnsi="黑体" w:hint="eastAsia"/>
          <w:sz w:val="40"/>
          <w:szCs w:val="40"/>
        </w:rPr>
      </w:pPr>
      <w:r>
        <w:rPr>
          <w:rFonts w:ascii="黑体" w:eastAsia="黑体" w:hAnsi="黑体" w:hint="eastAsia"/>
          <w:sz w:val="40"/>
          <w:szCs w:val="4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08573E" w:rsidRDefault="0008573E">
            <w:pPr>
              <w:jc w:val="center"/>
              <w:rPr>
                <w:rFonts w:ascii="宋体" w:hAnsi="宋体" w:cs="宋体"/>
                <w:sz w:val="28"/>
                <w:szCs w:val="28"/>
              </w:rPr>
            </w:pPr>
            <w:r>
              <w:rPr>
                <w:sz w:val="28"/>
                <w:szCs w:val="28"/>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08573E" w:rsidRDefault="0008573E">
            <w:pPr>
              <w:jc w:val="center"/>
              <w:rPr>
                <w:rFonts w:ascii="宋体" w:hAnsi="宋体" w:cs="宋体"/>
                <w:sz w:val="28"/>
                <w:szCs w:val="28"/>
              </w:rPr>
            </w:pPr>
            <w:r>
              <w:rPr>
                <w:sz w:val="28"/>
                <w:szCs w:val="28"/>
              </w:rPr>
              <w:t>内容</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投标人不具备招标文件所列的资格要求，或未提交相应的资格证明资料（详见招标公告</w:t>
            </w:r>
            <w:r>
              <w:rPr>
                <w:szCs w:val="21"/>
              </w:rPr>
              <w:t xml:space="preserve"> </w:t>
            </w:r>
            <w:r>
              <w:rPr>
                <w:szCs w:val="21"/>
              </w:rPr>
              <w:t>投标人资格要求）；</w:t>
            </w:r>
          </w:p>
        </w:tc>
      </w:tr>
    </w:tbl>
    <w:p w:rsidR="0008573E" w:rsidRDefault="0008573E">
      <w:pPr>
        <w:pStyle w:val="af3"/>
        <w:spacing w:before="280"/>
        <w:jc w:val="center"/>
        <w:outlineLvl w:val="1"/>
        <w:divId w:val="237786446"/>
        <w:rPr>
          <w:rFonts w:ascii="黑体" w:eastAsia="黑体" w:hAnsi="黑体" w:hint="eastAsia"/>
          <w:sz w:val="40"/>
          <w:szCs w:val="40"/>
        </w:rPr>
      </w:pPr>
      <w:r>
        <w:rPr>
          <w:rFonts w:ascii="黑体" w:eastAsia="黑体" w:hAnsi="黑体" w:hint="eastAsia"/>
          <w:sz w:val="40"/>
          <w:szCs w:val="4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08573E" w:rsidRDefault="0008573E">
            <w:pPr>
              <w:jc w:val="center"/>
              <w:rPr>
                <w:rFonts w:ascii="宋体" w:hAnsi="宋体" w:cs="宋体"/>
                <w:sz w:val="28"/>
                <w:szCs w:val="28"/>
              </w:rPr>
            </w:pPr>
            <w:r>
              <w:rPr>
                <w:sz w:val="28"/>
                <w:szCs w:val="28"/>
              </w:rPr>
              <w:lastRenderedPageBreak/>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08573E" w:rsidRDefault="0008573E">
            <w:pPr>
              <w:jc w:val="center"/>
              <w:rPr>
                <w:rFonts w:ascii="宋体" w:hAnsi="宋体" w:cs="宋体"/>
                <w:sz w:val="28"/>
                <w:szCs w:val="28"/>
              </w:rPr>
            </w:pPr>
            <w:r>
              <w:rPr>
                <w:sz w:val="28"/>
                <w:szCs w:val="28"/>
              </w:rPr>
              <w:t>内容</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将一个包或一个标段的内容拆开投标；</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2</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对同一项目投标时，提供两套以上的投标方案（招标文件另有规定的除外）；</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投标报价高于财政预算限额（最高投标限价）的；</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成员对投标人提供的说明材料判断不一致的，按照</w:t>
            </w:r>
            <w:r>
              <w:rPr>
                <w:szCs w:val="21"/>
              </w:rPr>
              <w:t>“</w:t>
            </w:r>
            <w:r>
              <w:rPr>
                <w:szCs w:val="21"/>
              </w:rPr>
              <w:t>少数服从多数</w:t>
            </w:r>
            <w:r>
              <w:rPr>
                <w:szCs w:val="21"/>
              </w:rPr>
              <w:t>”</w:t>
            </w:r>
            <w:r>
              <w:rPr>
                <w:szCs w:val="21"/>
              </w:rPr>
              <w:t>的原则确定评审委员会的意见）；</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5</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投标报价有缺漏项目</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6</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所投产品、工程、服务在商务、技术等方面没有实质性满足招标文件要求的（是否实质性满足招标文件要求，由评标委员会根据《实质性条款响应情况表》做出评判）；</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未按招标文件所提供的样式填写《投标函》；未按招标文件所提供的《政府采购投标及履约承诺函》进行承诺；未按招标文件对投标文件组成的要求提供投标文件的（投标文件组成不完整）；</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投标文件存在列放位置错误，导致属于信息公开内容的没有被公开；</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9</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投标文件电子文档带病毒；</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投标文件用不属于本公司的电子密钥进行加密的；</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11</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误选了非本项目的最新加密规则文件，导致投标文件不能在开标时解密；</w:t>
            </w:r>
          </w:p>
        </w:tc>
      </w:tr>
      <w:tr w:rsidR="0008573E">
        <w:trPr>
          <w:divId w:val="237786446"/>
          <w:jc w:val="center"/>
        </w:trPr>
        <w:tc>
          <w:tcPr>
            <w:tcW w:w="794" w:type="dxa"/>
            <w:tcBorders>
              <w:top w:val="single" w:sz="8" w:space="0" w:color="000000"/>
              <w:left w:val="single" w:sz="8" w:space="0" w:color="000000"/>
              <w:bottom w:val="single" w:sz="8" w:space="0" w:color="000000"/>
              <w:right w:val="single" w:sz="8" w:space="0" w:color="000000"/>
            </w:tcBorders>
            <w:hideMark/>
          </w:tcPr>
          <w:p w:rsidR="0008573E" w:rsidRDefault="0008573E">
            <w:pPr>
              <w:jc w:val="center"/>
              <w:rPr>
                <w:rFonts w:ascii="宋体" w:hAnsi="宋体" w:cs="宋体"/>
                <w:szCs w:val="21"/>
              </w:rPr>
            </w:pPr>
            <w:r>
              <w:rPr>
                <w:szCs w:val="21"/>
              </w:rPr>
              <w:t>12</w:t>
            </w:r>
          </w:p>
        </w:tc>
        <w:tc>
          <w:tcPr>
            <w:tcW w:w="0" w:type="auto"/>
            <w:tcBorders>
              <w:top w:val="single" w:sz="8" w:space="0" w:color="000000"/>
              <w:left w:val="single" w:sz="8" w:space="0" w:color="000000"/>
              <w:bottom w:val="single" w:sz="8" w:space="0" w:color="000000"/>
              <w:right w:val="single" w:sz="8" w:space="0" w:color="000000"/>
            </w:tcBorders>
            <w:hideMark/>
          </w:tcPr>
          <w:p w:rsidR="0008573E" w:rsidRDefault="0008573E">
            <w:pPr>
              <w:rPr>
                <w:rFonts w:ascii="宋体" w:hAnsi="宋体" w:cs="宋体"/>
                <w:szCs w:val="21"/>
              </w:rPr>
            </w:pPr>
            <w:r>
              <w:rPr>
                <w:szCs w:val="21"/>
              </w:rPr>
              <w:t>法律、法规规定的其他情形。</w:t>
            </w:r>
          </w:p>
        </w:tc>
      </w:tr>
    </w:tbl>
    <w:p w:rsidR="0008573E" w:rsidRDefault="0008573E">
      <w:pPr>
        <w:pStyle w:val="af3"/>
        <w:jc w:val="center"/>
        <w:outlineLvl w:val="1"/>
        <w:divId w:val="237786446"/>
        <w:rPr>
          <w:rFonts w:ascii="黑体" w:eastAsia="黑体" w:hAnsi="黑体" w:hint="eastAsia"/>
          <w:sz w:val="40"/>
          <w:szCs w:val="40"/>
        </w:rPr>
      </w:pPr>
      <w:r>
        <w:rPr>
          <w:rFonts w:ascii="黑体" w:eastAsia="黑体" w:hAnsi="黑体" w:hint="eastAsia"/>
          <w:sz w:val="40"/>
          <w:szCs w:val="40"/>
        </w:rPr>
        <w:t>评标信息</w:t>
      </w:r>
    </w:p>
    <w:tbl>
      <w:tblPr>
        <w:tblW w:w="9072" w:type="dxa"/>
        <w:jc w:val="center"/>
        <w:tblCellSpacing w:w="0" w:type="dxa"/>
        <w:tblCellMar>
          <w:top w:w="45" w:type="dxa"/>
          <w:left w:w="45" w:type="dxa"/>
          <w:bottom w:w="45" w:type="dxa"/>
          <w:right w:w="45" w:type="dxa"/>
        </w:tblCellMar>
        <w:tblLook w:val="04A0" w:firstRow="1" w:lastRow="0" w:firstColumn="1" w:lastColumn="0" w:noHBand="0" w:noVBand="1"/>
      </w:tblPr>
      <w:tblGrid>
        <w:gridCol w:w="8830"/>
        <w:gridCol w:w="242"/>
      </w:tblGrid>
      <w:tr w:rsidR="0008573E">
        <w:trPr>
          <w:divId w:val="237786446"/>
          <w:tblCellSpacing w:w="0" w:type="dxa"/>
          <w:jc w:val="center"/>
        </w:trPr>
        <w:tc>
          <w:tcPr>
            <w:tcW w:w="0" w:type="auto"/>
            <w:tcBorders>
              <w:top w:val="nil"/>
              <w:left w:val="nil"/>
              <w:bottom w:val="nil"/>
              <w:right w:val="nil"/>
            </w:tcBorders>
            <w:vAlign w:val="center"/>
            <w:hideMark/>
          </w:tcPr>
          <w:p w:rsidR="0008573E" w:rsidRDefault="0008573E">
            <w:pPr>
              <w:rPr>
                <w:rFonts w:ascii="宋体" w:hAnsi="宋体" w:cs="宋体"/>
                <w:b/>
                <w:bCs/>
                <w:sz w:val="24"/>
              </w:rPr>
            </w:pPr>
            <w:r>
              <w:rPr>
                <w:b/>
                <w:bCs/>
              </w:rPr>
              <w:t>评标方法：综合评分法（新价格分算法）</w:t>
            </w:r>
          </w:p>
        </w:tc>
        <w:tc>
          <w:tcPr>
            <w:tcW w:w="0" w:type="auto"/>
            <w:tcBorders>
              <w:top w:val="nil"/>
              <w:left w:val="nil"/>
              <w:bottom w:val="nil"/>
              <w:right w:val="nil"/>
            </w:tcBorders>
            <w:vAlign w:val="center"/>
            <w:hideMark/>
          </w:tcPr>
          <w:p w:rsidR="0008573E" w:rsidRDefault="0008573E">
            <w:pPr>
              <w:jc w:val="right"/>
              <w:rPr>
                <w:rFonts w:ascii="宋体" w:hAnsi="宋体" w:cs="宋体"/>
                <w:b/>
                <w:bCs/>
                <w:sz w:val="24"/>
              </w:rPr>
            </w:pPr>
          </w:p>
        </w:tc>
      </w:tr>
      <w:tr w:rsidR="0008573E">
        <w:trPr>
          <w:divId w:val="237786446"/>
          <w:tblCellSpacing w:w="0" w:type="dxa"/>
          <w:jc w:val="center"/>
        </w:trPr>
        <w:tc>
          <w:tcPr>
            <w:tcW w:w="0" w:type="auto"/>
            <w:gridSpan w:val="2"/>
            <w:tcBorders>
              <w:top w:val="nil"/>
              <w:left w:val="nil"/>
              <w:bottom w:val="nil"/>
              <w:right w:val="nil"/>
            </w:tcBorders>
            <w:vAlign w:val="center"/>
            <w:hideMark/>
          </w:tcPr>
          <w:p w:rsidR="0008573E" w:rsidRDefault="0008573E">
            <w:pPr>
              <w:pStyle w:val="af3"/>
              <w:spacing w:line="324" w:lineRule="auto"/>
              <w:ind w:firstLine="420"/>
              <w:rPr>
                <w:sz w:val="21"/>
                <w:szCs w:val="21"/>
              </w:rPr>
            </w:pPr>
            <w:r>
              <w:rPr>
                <w:sz w:val="21"/>
                <w:szCs w:val="21"/>
              </w:rPr>
              <w:t>综合评分法，是指投标文件满足招标文件全部实质性要求，且按照评审因素的量化指标评审得分最高的投标人为中标候选人的评标方法。</w:t>
            </w:r>
            <w:r>
              <w:rPr>
                <w:sz w:val="21"/>
                <w:szCs w:val="21"/>
              </w:rPr>
              <w:t xml:space="preserve"> </w:t>
            </w:r>
          </w:p>
          <w:p w:rsidR="0008573E" w:rsidRDefault="0008573E">
            <w:pPr>
              <w:pStyle w:val="af3"/>
              <w:ind w:firstLine="420"/>
              <w:rPr>
                <w:sz w:val="21"/>
                <w:szCs w:val="21"/>
              </w:rPr>
            </w:pPr>
            <w:r>
              <w:rPr>
                <w:sz w:val="21"/>
                <w:szCs w:val="21"/>
              </w:rPr>
              <w:t>价格分计算方法：</w:t>
            </w:r>
          </w:p>
          <w:p w:rsidR="0008573E" w:rsidRDefault="0008573E">
            <w:pPr>
              <w:pStyle w:val="af3"/>
              <w:spacing w:line="324" w:lineRule="auto"/>
              <w:ind w:left="420"/>
              <w:rPr>
                <w:sz w:val="21"/>
                <w:szCs w:val="21"/>
              </w:rPr>
            </w:pPr>
            <w:r>
              <w:rPr>
                <w:sz w:val="21"/>
                <w:szCs w:val="21"/>
              </w:rPr>
              <w:t>采用低价优先法计算，即满足招标文件要求且投标价格最低的投标报价为评标基准价，其价格分为满分。其他投标人的价格分统一按照下列公式计算：</w:t>
            </w:r>
            <w:r>
              <w:rPr>
                <w:sz w:val="21"/>
                <w:szCs w:val="21"/>
              </w:rPr>
              <w:t xml:space="preserve"> </w:t>
            </w:r>
            <w:r>
              <w:rPr>
                <w:sz w:val="21"/>
                <w:szCs w:val="21"/>
              </w:rPr>
              <w:br/>
            </w:r>
            <w:r>
              <w:rPr>
                <w:sz w:val="21"/>
                <w:szCs w:val="21"/>
              </w:rPr>
              <w:t>投标报价得分</w:t>
            </w:r>
            <w:r>
              <w:rPr>
                <w:sz w:val="21"/>
                <w:szCs w:val="21"/>
              </w:rPr>
              <w:t>=(</w:t>
            </w:r>
            <w:r>
              <w:rPr>
                <w:sz w:val="21"/>
                <w:szCs w:val="21"/>
              </w:rPr>
              <w:t>评标基准价／投标报价</w:t>
            </w:r>
            <w:r>
              <w:rPr>
                <w:sz w:val="21"/>
                <w:szCs w:val="21"/>
              </w:rPr>
              <w:t xml:space="preserve">)×100 </w:t>
            </w:r>
            <w:r>
              <w:rPr>
                <w:sz w:val="21"/>
                <w:szCs w:val="21"/>
              </w:rPr>
              <w:br/>
            </w:r>
            <w:r>
              <w:rPr>
                <w:sz w:val="21"/>
                <w:szCs w:val="21"/>
              </w:rPr>
              <w:t>评标总得分＝</w:t>
            </w:r>
            <w:r>
              <w:rPr>
                <w:sz w:val="21"/>
                <w:szCs w:val="21"/>
              </w:rPr>
              <w:t>F1×A1</w:t>
            </w:r>
            <w:r>
              <w:rPr>
                <w:sz w:val="21"/>
                <w:szCs w:val="21"/>
              </w:rPr>
              <w:t>＋</w:t>
            </w:r>
            <w:r>
              <w:rPr>
                <w:sz w:val="21"/>
                <w:szCs w:val="21"/>
              </w:rPr>
              <w:t>F2×A2</w:t>
            </w:r>
            <w:r>
              <w:rPr>
                <w:sz w:val="21"/>
                <w:szCs w:val="21"/>
              </w:rPr>
              <w:t>＋</w:t>
            </w:r>
            <w:r>
              <w:rPr>
                <w:sz w:val="21"/>
                <w:szCs w:val="21"/>
              </w:rPr>
              <w:t>……</w:t>
            </w:r>
            <w:r>
              <w:rPr>
                <w:sz w:val="21"/>
                <w:szCs w:val="21"/>
              </w:rPr>
              <w:t>＋</w:t>
            </w:r>
            <w:r>
              <w:rPr>
                <w:sz w:val="21"/>
                <w:szCs w:val="21"/>
              </w:rPr>
              <w:t xml:space="preserve">Fn×An </w:t>
            </w:r>
            <w:r>
              <w:rPr>
                <w:sz w:val="21"/>
                <w:szCs w:val="21"/>
              </w:rPr>
              <w:br/>
              <w:t>F1</w:t>
            </w:r>
            <w:r>
              <w:rPr>
                <w:sz w:val="21"/>
                <w:szCs w:val="21"/>
              </w:rPr>
              <w:t>、</w:t>
            </w:r>
            <w:r>
              <w:rPr>
                <w:sz w:val="21"/>
                <w:szCs w:val="21"/>
              </w:rPr>
              <w:t>F2……Fn</w:t>
            </w:r>
            <w:r>
              <w:rPr>
                <w:sz w:val="21"/>
                <w:szCs w:val="21"/>
              </w:rPr>
              <w:t>分别为各项评审因素的得分；</w:t>
            </w:r>
            <w:r>
              <w:rPr>
                <w:sz w:val="21"/>
                <w:szCs w:val="21"/>
              </w:rPr>
              <w:t xml:space="preserve"> </w:t>
            </w:r>
            <w:r>
              <w:rPr>
                <w:sz w:val="21"/>
                <w:szCs w:val="21"/>
              </w:rPr>
              <w:br/>
              <w:t>A1</w:t>
            </w:r>
            <w:r>
              <w:rPr>
                <w:sz w:val="21"/>
                <w:szCs w:val="21"/>
              </w:rPr>
              <w:t>、</w:t>
            </w:r>
            <w:r>
              <w:rPr>
                <w:sz w:val="21"/>
                <w:szCs w:val="21"/>
              </w:rPr>
              <w:t>A2</w:t>
            </w:r>
            <w:r>
              <w:rPr>
                <w:sz w:val="21"/>
                <w:szCs w:val="21"/>
              </w:rPr>
              <w:t>、</w:t>
            </w:r>
            <w:r>
              <w:rPr>
                <w:sz w:val="21"/>
                <w:szCs w:val="21"/>
              </w:rPr>
              <w:t xml:space="preserve">……An </w:t>
            </w:r>
            <w:r>
              <w:rPr>
                <w:sz w:val="21"/>
                <w:szCs w:val="21"/>
              </w:rPr>
              <w:t>分别为各项评审因素所占的权重</w:t>
            </w:r>
            <w:r>
              <w:rPr>
                <w:sz w:val="21"/>
                <w:szCs w:val="21"/>
              </w:rPr>
              <w:t>(A1</w:t>
            </w:r>
            <w:r>
              <w:rPr>
                <w:sz w:val="21"/>
                <w:szCs w:val="21"/>
              </w:rPr>
              <w:t>＋</w:t>
            </w:r>
            <w:r>
              <w:rPr>
                <w:sz w:val="21"/>
                <w:szCs w:val="21"/>
              </w:rPr>
              <w:t>A2</w:t>
            </w:r>
            <w:r>
              <w:rPr>
                <w:sz w:val="21"/>
                <w:szCs w:val="21"/>
              </w:rPr>
              <w:t>＋</w:t>
            </w:r>
            <w:r>
              <w:rPr>
                <w:sz w:val="21"/>
                <w:szCs w:val="21"/>
              </w:rPr>
              <w:t>……</w:t>
            </w:r>
            <w:r>
              <w:rPr>
                <w:sz w:val="21"/>
                <w:szCs w:val="21"/>
              </w:rPr>
              <w:t>＋</w:t>
            </w:r>
            <w:r>
              <w:rPr>
                <w:sz w:val="21"/>
                <w:szCs w:val="21"/>
              </w:rPr>
              <w:t>An</w:t>
            </w:r>
            <w:r>
              <w:rPr>
                <w:sz w:val="21"/>
                <w:szCs w:val="21"/>
              </w:rPr>
              <w:t>＝</w:t>
            </w:r>
            <w:r>
              <w:rPr>
                <w:sz w:val="21"/>
                <w:szCs w:val="21"/>
              </w:rPr>
              <w:t>1)</w:t>
            </w:r>
            <w:r>
              <w:rPr>
                <w:sz w:val="21"/>
                <w:szCs w:val="21"/>
              </w:rPr>
              <w:t>。</w:t>
            </w:r>
            <w:r>
              <w:rPr>
                <w:sz w:val="21"/>
                <w:szCs w:val="21"/>
              </w:rPr>
              <w:t xml:space="preserve"> </w:t>
            </w:r>
            <w:r>
              <w:rPr>
                <w:sz w:val="21"/>
                <w:szCs w:val="21"/>
              </w:rPr>
              <w:br/>
            </w:r>
            <w:r>
              <w:rPr>
                <w:sz w:val="21"/>
                <w:szCs w:val="21"/>
              </w:rPr>
              <w:t>评标过程中，不得去掉报价中的最高报价和最低报价。</w:t>
            </w:r>
            <w:r>
              <w:rPr>
                <w:sz w:val="21"/>
                <w:szCs w:val="21"/>
              </w:rPr>
              <w:t xml:space="preserve"> </w:t>
            </w:r>
            <w:r>
              <w:rPr>
                <w:sz w:val="21"/>
                <w:szCs w:val="21"/>
              </w:rPr>
              <w:br/>
            </w:r>
            <w:r>
              <w:rPr>
                <w:sz w:val="21"/>
                <w:szCs w:val="21"/>
              </w:rPr>
              <w:t>此方法适用于货物类、服务类、工程类项目。</w:t>
            </w:r>
            <w:r>
              <w:rPr>
                <w:sz w:val="21"/>
                <w:szCs w:val="21"/>
              </w:rPr>
              <w:t xml:space="preserve"> </w:t>
            </w:r>
          </w:p>
        </w:tc>
      </w:tr>
    </w:tbl>
    <w:p w:rsidR="0008573E" w:rsidRDefault="0008573E">
      <w:pPr>
        <w:divId w:val="237786446"/>
        <w:rPr>
          <w:vanish/>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680"/>
        <w:gridCol w:w="680"/>
        <w:gridCol w:w="2835"/>
        <w:gridCol w:w="681"/>
        <w:gridCol w:w="4196"/>
      </w:tblGrid>
      <w:tr w:rsidR="0008573E">
        <w:trPr>
          <w:divId w:val="237786446"/>
          <w:jc w:val="center"/>
        </w:trPr>
        <w:tc>
          <w:tcPr>
            <w:tcW w:w="680" w:type="dxa"/>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08573E" w:rsidRDefault="0008573E">
            <w:pPr>
              <w:wordWrap w:val="0"/>
              <w:jc w:val="center"/>
              <w:rPr>
                <w:rFonts w:ascii="宋体" w:hAnsi="宋体" w:cs="宋体"/>
                <w:b/>
                <w:bCs/>
                <w:sz w:val="24"/>
              </w:rPr>
            </w:pPr>
            <w:r>
              <w:rPr>
                <w:b/>
                <w:bCs/>
              </w:rPr>
              <w:t>序号</w:t>
            </w:r>
          </w:p>
        </w:tc>
        <w:tc>
          <w:tcPr>
            <w:tcW w:w="4196" w:type="dxa"/>
            <w:gridSpan w:val="3"/>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08573E" w:rsidRDefault="0008573E">
            <w:pPr>
              <w:wordWrap w:val="0"/>
              <w:jc w:val="center"/>
              <w:rPr>
                <w:rFonts w:ascii="宋体" w:hAnsi="宋体" w:cs="宋体"/>
                <w:b/>
                <w:bCs/>
                <w:sz w:val="24"/>
              </w:rPr>
            </w:pPr>
            <w:r>
              <w:rPr>
                <w:b/>
                <w:bCs/>
              </w:rPr>
              <w:t>评分项</w:t>
            </w:r>
          </w:p>
        </w:tc>
        <w:tc>
          <w:tcPr>
            <w:tcW w:w="4196" w:type="dxa"/>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08573E" w:rsidRDefault="0008573E">
            <w:pPr>
              <w:wordWrap w:val="0"/>
              <w:jc w:val="center"/>
              <w:rPr>
                <w:rFonts w:ascii="宋体" w:hAnsi="宋体" w:cs="宋体"/>
                <w:b/>
                <w:bCs/>
                <w:sz w:val="24"/>
              </w:rPr>
            </w:pPr>
            <w:r>
              <w:rPr>
                <w:b/>
                <w:bCs/>
              </w:rPr>
              <w:t>权重</w:t>
            </w:r>
            <w:r>
              <w:rPr>
                <w:b/>
                <w:bCs/>
              </w:rPr>
              <w:t>(%)</w:t>
            </w:r>
          </w:p>
        </w:tc>
      </w:tr>
      <w:tr w:rsidR="0008573E">
        <w:trPr>
          <w:divId w:val="237786446"/>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b/>
                <w:bCs/>
                <w:color w:val="0000FF"/>
                <w:sz w:val="24"/>
              </w:rPr>
            </w:pPr>
            <w:r>
              <w:rPr>
                <w:b/>
                <w:bCs/>
                <w:color w:val="0000FF"/>
              </w:rPr>
              <w:t>1</w:t>
            </w:r>
          </w:p>
        </w:tc>
        <w:tc>
          <w:tcPr>
            <w:tcW w:w="4196" w:type="dxa"/>
            <w:gridSpan w:val="3"/>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b/>
                <w:bCs/>
                <w:color w:val="0000FF"/>
                <w:sz w:val="24"/>
              </w:rPr>
            </w:pPr>
            <w:r>
              <w:rPr>
                <w:b/>
                <w:bCs/>
                <w:color w:val="0000FF"/>
              </w:rPr>
              <w:t>价格</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b/>
                <w:bCs/>
                <w:color w:val="0000FF"/>
                <w:sz w:val="24"/>
              </w:rPr>
            </w:pPr>
            <w:r>
              <w:rPr>
                <w:b/>
                <w:bCs/>
                <w:color w:val="0000FF"/>
              </w:rPr>
              <w:t>30</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8392" w:type="dxa"/>
            <w:gridSpan w:val="4"/>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p>
        </w:tc>
      </w:tr>
      <w:tr w:rsidR="0008573E">
        <w:trPr>
          <w:divId w:val="237786446"/>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b/>
                <w:bCs/>
                <w:color w:val="0000FF"/>
                <w:sz w:val="24"/>
              </w:rPr>
            </w:pPr>
            <w:r>
              <w:rPr>
                <w:b/>
                <w:bCs/>
                <w:color w:val="0000FF"/>
              </w:rPr>
              <w:t>2</w:t>
            </w:r>
          </w:p>
        </w:tc>
        <w:tc>
          <w:tcPr>
            <w:tcW w:w="4196" w:type="dxa"/>
            <w:gridSpan w:val="3"/>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b/>
                <w:bCs/>
                <w:color w:val="0000FF"/>
                <w:sz w:val="24"/>
              </w:rPr>
            </w:pPr>
            <w:r>
              <w:rPr>
                <w:b/>
                <w:bCs/>
                <w:color w:val="0000FF"/>
              </w:rPr>
              <w:t>商务部分</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b/>
                <w:bCs/>
                <w:color w:val="0000FF"/>
                <w:sz w:val="24"/>
              </w:rPr>
            </w:pPr>
            <w:r>
              <w:rPr>
                <w:b/>
                <w:bCs/>
                <w:color w:val="0000FF"/>
              </w:rPr>
              <w:t>25</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8278" w:type="dxa"/>
            <w:gridSpan w:val="4"/>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08573E" w:rsidRDefault="0008573E">
            <w:pPr>
              <w:rPr>
                <w:rFonts w:ascii="宋体" w:hAnsi="宋体" w:cs="宋体"/>
                <w:b/>
                <w:bCs/>
                <w:color w:val="0000FF"/>
                <w:sz w:val="24"/>
              </w:rPr>
            </w:pP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08573E" w:rsidRDefault="0008573E">
            <w:pPr>
              <w:wordWrap w:val="0"/>
              <w:jc w:val="center"/>
              <w:rPr>
                <w:rFonts w:ascii="宋体" w:hAnsi="宋体" w:cs="宋体"/>
                <w:szCs w:val="21"/>
              </w:rPr>
            </w:pPr>
            <w:r>
              <w:rPr>
                <w:szCs w:val="21"/>
              </w:rPr>
              <w:t>序号</w:t>
            </w:r>
          </w:p>
        </w:tc>
        <w:tc>
          <w:tcPr>
            <w:tcW w:w="2835"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08573E" w:rsidRDefault="0008573E">
            <w:pPr>
              <w:wordWrap w:val="0"/>
              <w:jc w:val="center"/>
              <w:rPr>
                <w:rFonts w:ascii="宋体" w:hAnsi="宋体" w:cs="宋体"/>
                <w:szCs w:val="21"/>
              </w:rPr>
            </w:pPr>
            <w:r>
              <w:rPr>
                <w:szCs w:val="21"/>
              </w:rPr>
              <w:t>评分因素</w:t>
            </w: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08573E" w:rsidRDefault="0008573E">
            <w:pPr>
              <w:wordWrap w:val="0"/>
              <w:jc w:val="center"/>
              <w:rPr>
                <w:rFonts w:ascii="宋体" w:hAnsi="宋体" w:cs="宋体"/>
                <w:szCs w:val="21"/>
              </w:rPr>
            </w:pPr>
            <w:r>
              <w:rPr>
                <w:szCs w:val="21"/>
              </w:rPr>
              <w:t>权重</w:t>
            </w:r>
            <w:r>
              <w:rPr>
                <w:szCs w:val="21"/>
              </w:rPr>
              <w:t>(%)</w:t>
            </w:r>
          </w:p>
        </w:tc>
        <w:tc>
          <w:tcPr>
            <w:tcW w:w="292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08573E" w:rsidRDefault="0008573E">
            <w:pPr>
              <w:wordWrap w:val="0"/>
              <w:jc w:val="center"/>
              <w:rPr>
                <w:rFonts w:ascii="宋体" w:hAnsi="宋体" w:cs="宋体"/>
                <w:szCs w:val="21"/>
              </w:rPr>
            </w:pPr>
            <w:r>
              <w:rPr>
                <w:szCs w:val="21"/>
              </w:rPr>
              <w:t>评分准则</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1</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商务条款偏离情况</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3</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544951318"/>
              <w:rPr>
                <w:szCs w:val="21"/>
              </w:rPr>
            </w:pPr>
            <w:r>
              <w:rPr>
                <w:szCs w:val="21"/>
              </w:rPr>
              <w:t>1</w:t>
            </w:r>
            <w:r>
              <w:rPr>
                <w:szCs w:val="21"/>
              </w:rPr>
              <w:t>、评审标准：</w:t>
            </w:r>
            <w:r>
              <w:rPr>
                <w:szCs w:val="21"/>
              </w:rPr>
              <w:t xml:space="preserve"> </w:t>
            </w:r>
          </w:p>
          <w:p w:rsidR="0008573E" w:rsidRDefault="0008573E">
            <w:pPr>
              <w:wordWrap w:val="0"/>
              <w:divId w:val="2072653505"/>
              <w:rPr>
                <w:szCs w:val="21"/>
              </w:rPr>
            </w:pPr>
            <w:r>
              <w:rPr>
                <w:szCs w:val="21"/>
              </w:rPr>
              <w:t>投标人应如实填写《商务需求偏离表》，评审委员会根据响应情况进行打分，全部满足的</w:t>
            </w:r>
            <w:r>
              <w:rPr>
                <w:szCs w:val="21"/>
              </w:rPr>
              <w:t>70</w:t>
            </w:r>
            <w:r>
              <w:rPr>
                <w:szCs w:val="21"/>
              </w:rPr>
              <w:t>分，每负偏离一项扣</w:t>
            </w:r>
            <w:r>
              <w:rPr>
                <w:szCs w:val="21"/>
              </w:rPr>
              <w:t>20</w:t>
            </w:r>
            <w:r>
              <w:rPr>
                <w:szCs w:val="21"/>
              </w:rPr>
              <w:t>分，扣完为止。</w:t>
            </w:r>
            <w:r>
              <w:rPr>
                <w:szCs w:val="21"/>
              </w:rPr>
              <w:t xml:space="preserve"> </w:t>
            </w:r>
          </w:p>
          <w:p w:rsidR="0008573E" w:rsidRDefault="0008573E">
            <w:pPr>
              <w:wordWrap w:val="0"/>
              <w:divId w:val="894043065"/>
              <w:rPr>
                <w:szCs w:val="21"/>
              </w:rPr>
            </w:pPr>
            <w:r>
              <w:rPr>
                <w:szCs w:val="21"/>
              </w:rPr>
              <w:t>在交货期满足招标文件要求的基础上，每提前</w:t>
            </w:r>
            <w:r>
              <w:rPr>
                <w:szCs w:val="21"/>
              </w:rPr>
              <w:t>1</w:t>
            </w:r>
            <w:r>
              <w:rPr>
                <w:szCs w:val="21"/>
              </w:rPr>
              <w:t>个日历日得</w:t>
            </w:r>
            <w:r>
              <w:rPr>
                <w:szCs w:val="21"/>
              </w:rPr>
              <w:t>10</w:t>
            </w:r>
            <w:r>
              <w:rPr>
                <w:szCs w:val="21"/>
              </w:rPr>
              <w:t>分，最高得</w:t>
            </w:r>
            <w:r>
              <w:rPr>
                <w:szCs w:val="21"/>
              </w:rPr>
              <w:t>30</w:t>
            </w:r>
            <w:r>
              <w:rPr>
                <w:szCs w:val="21"/>
              </w:rPr>
              <w:t>分。</w:t>
            </w:r>
            <w:r>
              <w:rPr>
                <w:szCs w:val="21"/>
              </w:rPr>
              <w:t xml:space="preserve"> </w:t>
            </w:r>
          </w:p>
          <w:p w:rsidR="0008573E" w:rsidRDefault="0008573E">
            <w:pPr>
              <w:wordWrap w:val="0"/>
              <w:divId w:val="1293708597"/>
              <w:rPr>
                <w:szCs w:val="21"/>
              </w:rPr>
            </w:pPr>
            <w:r>
              <w:rPr>
                <w:szCs w:val="21"/>
              </w:rPr>
              <w:t>2</w:t>
            </w:r>
            <w:r>
              <w:rPr>
                <w:szCs w:val="21"/>
              </w:rPr>
              <w:t>、证明文件：</w:t>
            </w:r>
            <w:r>
              <w:rPr>
                <w:szCs w:val="21"/>
              </w:rPr>
              <w:t xml:space="preserve"> </w:t>
            </w:r>
          </w:p>
          <w:p w:rsidR="0008573E" w:rsidRDefault="0008573E">
            <w:pPr>
              <w:wordWrap w:val="0"/>
              <w:divId w:val="1005983928"/>
              <w:rPr>
                <w:rFonts w:ascii="宋体" w:hAnsi="宋体" w:cs="宋体"/>
                <w:szCs w:val="21"/>
              </w:rPr>
            </w:pPr>
            <w:r>
              <w:rPr>
                <w:szCs w:val="21"/>
              </w:rPr>
              <w:t>投标人须如实填写《商务需求偏离表》，并按招标文件的要求提供相关证明资料。投标人未提供相关证明材料或者提供的证明材料不符合要求的或提供的证明材料不清晰导致评审专家无法辨认的，该项参数按照负偏离处理，扣除相应分值。</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2</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企业实力</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4</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702557623"/>
              <w:rPr>
                <w:szCs w:val="21"/>
              </w:rPr>
            </w:pPr>
            <w:r>
              <w:rPr>
                <w:szCs w:val="21"/>
              </w:rPr>
              <w:t>投标人获得：</w:t>
            </w:r>
            <w:r>
              <w:rPr>
                <w:szCs w:val="21"/>
              </w:rPr>
              <w:t>1.</w:t>
            </w:r>
            <w:r>
              <w:rPr>
                <w:szCs w:val="21"/>
              </w:rPr>
              <w:t>质量管理体系认证证书；</w:t>
            </w:r>
            <w:r>
              <w:rPr>
                <w:szCs w:val="21"/>
              </w:rPr>
              <w:t>2.</w:t>
            </w:r>
            <w:r>
              <w:rPr>
                <w:szCs w:val="21"/>
              </w:rPr>
              <w:t>环境管理体系认证证书；</w:t>
            </w:r>
            <w:r>
              <w:rPr>
                <w:szCs w:val="21"/>
              </w:rPr>
              <w:t>3.</w:t>
            </w:r>
            <w:r>
              <w:rPr>
                <w:szCs w:val="21"/>
              </w:rPr>
              <w:t>职业健康安全管理体系认证证书，且认证范围应包括：体育运动服装、鞋帽、箱包的销售。</w:t>
            </w:r>
            <w:r>
              <w:rPr>
                <w:szCs w:val="21"/>
              </w:rPr>
              <w:t xml:space="preserve"> </w:t>
            </w:r>
          </w:p>
          <w:p w:rsidR="0008573E" w:rsidRDefault="0008573E">
            <w:pPr>
              <w:wordWrap w:val="0"/>
              <w:divId w:val="1510562547"/>
              <w:rPr>
                <w:szCs w:val="21"/>
              </w:rPr>
            </w:pPr>
            <w:r>
              <w:rPr>
                <w:szCs w:val="21"/>
              </w:rPr>
              <w:t>（</w:t>
            </w:r>
            <w:r>
              <w:rPr>
                <w:szCs w:val="21"/>
              </w:rPr>
              <w:t>1</w:t>
            </w:r>
            <w:r>
              <w:rPr>
                <w:szCs w:val="21"/>
              </w:rPr>
              <w:t>）全部提供得</w:t>
            </w:r>
            <w:r>
              <w:rPr>
                <w:szCs w:val="21"/>
              </w:rPr>
              <w:t>100</w:t>
            </w:r>
            <w:r>
              <w:rPr>
                <w:szCs w:val="21"/>
              </w:rPr>
              <w:t>分；</w:t>
            </w:r>
            <w:r>
              <w:rPr>
                <w:szCs w:val="21"/>
              </w:rPr>
              <w:t xml:space="preserve"> </w:t>
            </w:r>
          </w:p>
          <w:p w:rsidR="0008573E" w:rsidRDefault="0008573E">
            <w:pPr>
              <w:wordWrap w:val="0"/>
              <w:divId w:val="815797917"/>
              <w:rPr>
                <w:szCs w:val="21"/>
              </w:rPr>
            </w:pPr>
            <w:r>
              <w:rPr>
                <w:szCs w:val="21"/>
              </w:rPr>
              <w:t>（</w:t>
            </w:r>
            <w:r>
              <w:rPr>
                <w:szCs w:val="21"/>
              </w:rPr>
              <w:t>2</w:t>
            </w:r>
            <w:r>
              <w:rPr>
                <w:szCs w:val="21"/>
              </w:rPr>
              <w:t>）提供</w:t>
            </w:r>
            <w:r>
              <w:rPr>
                <w:szCs w:val="21"/>
              </w:rPr>
              <w:t>2</w:t>
            </w:r>
            <w:r>
              <w:rPr>
                <w:szCs w:val="21"/>
              </w:rPr>
              <w:t>项，得</w:t>
            </w:r>
            <w:r>
              <w:rPr>
                <w:szCs w:val="21"/>
              </w:rPr>
              <w:t>60</w:t>
            </w:r>
            <w:r>
              <w:rPr>
                <w:szCs w:val="21"/>
              </w:rPr>
              <w:t>分；</w:t>
            </w:r>
            <w:r>
              <w:rPr>
                <w:szCs w:val="21"/>
              </w:rPr>
              <w:t xml:space="preserve"> </w:t>
            </w:r>
          </w:p>
          <w:p w:rsidR="0008573E" w:rsidRDefault="0008573E">
            <w:pPr>
              <w:wordWrap w:val="0"/>
              <w:divId w:val="304243872"/>
              <w:rPr>
                <w:szCs w:val="21"/>
              </w:rPr>
            </w:pPr>
            <w:r>
              <w:rPr>
                <w:szCs w:val="21"/>
              </w:rPr>
              <w:t>（</w:t>
            </w:r>
            <w:r>
              <w:rPr>
                <w:szCs w:val="21"/>
              </w:rPr>
              <w:t>3</w:t>
            </w:r>
            <w:r>
              <w:rPr>
                <w:szCs w:val="21"/>
              </w:rPr>
              <w:t>）提供</w:t>
            </w:r>
            <w:r>
              <w:rPr>
                <w:szCs w:val="21"/>
              </w:rPr>
              <w:t>1</w:t>
            </w:r>
            <w:r>
              <w:rPr>
                <w:szCs w:val="21"/>
              </w:rPr>
              <w:t>项，得</w:t>
            </w:r>
            <w:r>
              <w:rPr>
                <w:szCs w:val="21"/>
              </w:rPr>
              <w:t>20</w:t>
            </w:r>
            <w:r>
              <w:rPr>
                <w:szCs w:val="21"/>
              </w:rPr>
              <w:t>分；</w:t>
            </w:r>
            <w:r>
              <w:rPr>
                <w:szCs w:val="21"/>
              </w:rPr>
              <w:t xml:space="preserve"> </w:t>
            </w:r>
          </w:p>
          <w:p w:rsidR="0008573E" w:rsidRDefault="0008573E">
            <w:pPr>
              <w:wordWrap w:val="0"/>
              <w:divId w:val="1670213031"/>
              <w:rPr>
                <w:szCs w:val="21"/>
              </w:rPr>
            </w:pPr>
            <w:r>
              <w:rPr>
                <w:szCs w:val="21"/>
              </w:rPr>
              <w:t>（</w:t>
            </w:r>
            <w:r>
              <w:rPr>
                <w:szCs w:val="21"/>
              </w:rPr>
              <w:t>4</w:t>
            </w:r>
            <w:r>
              <w:rPr>
                <w:szCs w:val="21"/>
              </w:rPr>
              <w:t>）未提供不得分。</w:t>
            </w:r>
            <w:r>
              <w:rPr>
                <w:szCs w:val="21"/>
              </w:rPr>
              <w:t xml:space="preserve"> </w:t>
            </w:r>
          </w:p>
          <w:p w:rsidR="0008573E" w:rsidRDefault="0008573E">
            <w:pPr>
              <w:wordWrap w:val="0"/>
              <w:divId w:val="933396103"/>
              <w:rPr>
                <w:rFonts w:ascii="宋体" w:hAnsi="宋体" w:cs="宋体"/>
                <w:szCs w:val="21"/>
              </w:rPr>
            </w:pPr>
            <w:r>
              <w:rPr>
                <w:szCs w:val="21"/>
              </w:rPr>
              <w:t>证明文件：提供有效期内的认证证书复印件或扫描件并加盖投标人公章，原件备查，同时提供中国国家认证认可监督管理委员会网站（</w:t>
            </w:r>
            <w:r>
              <w:rPr>
                <w:szCs w:val="21"/>
              </w:rPr>
              <w:t>http://www.cnca.gov.cn/</w:t>
            </w:r>
            <w:r>
              <w:rPr>
                <w:szCs w:val="21"/>
              </w:rPr>
              <w:t>）认证结果信息查询图。</w:t>
            </w:r>
            <w:r>
              <w:rPr>
                <w:szCs w:val="21"/>
              </w:rPr>
              <w:t xml:space="preserve"> </w:t>
            </w:r>
            <w:r>
              <w:rPr>
                <w:szCs w:val="21"/>
              </w:rPr>
              <w:t>须同时提供至少一名内审员证书，投标人提供近三个月为内审员依法缴纳社保证明材料。</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3</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企业荣誉</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5</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408309758"/>
              <w:rPr>
                <w:szCs w:val="21"/>
              </w:rPr>
            </w:pPr>
            <w:r>
              <w:rPr>
                <w:szCs w:val="21"/>
              </w:rPr>
              <w:t>1</w:t>
            </w:r>
            <w:r>
              <w:rPr>
                <w:szCs w:val="21"/>
              </w:rPr>
              <w:t>、投标人获得</w:t>
            </w:r>
            <w:r>
              <w:rPr>
                <w:szCs w:val="21"/>
              </w:rPr>
              <w:t>2017</w:t>
            </w:r>
            <w:r>
              <w:rPr>
                <w:szCs w:val="21"/>
              </w:rPr>
              <w:t>年以来荣获体育行业</w:t>
            </w:r>
            <w:r>
              <w:rPr>
                <w:szCs w:val="21"/>
              </w:rPr>
              <w:t>“</w:t>
            </w:r>
            <w:r>
              <w:rPr>
                <w:szCs w:val="21"/>
              </w:rPr>
              <w:t>最佳运动装备和器材品牌运营机构</w:t>
            </w:r>
            <w:r>
              <w:rPr>
                <w:szCs w:val="21"/>
              </w:rPr>
              <w:t>”</w:t>
            </w:r>
            <w:r>
              <w:rPr>
                <w:szCs w:val="21"/>
              </w:rPr>
              <w:t>荣誉得</w:t>
            </w:r>
            <w:r>
              <w:rPr>
                <w:szCs w:val="21"/>
              </w:rPr>
              <w:t>20</w:t>
            </w:r>
            <w:r>
              <w:rPr>
                <w:szCs w:val="21"/>
              </w:rPr>
              <w:t>分；</w:t>
            </w:r>
            <w:r>
              <w:rPr>
                <w:szCs w:val="21"/>
              </w:rPr>
              <w:t xml:space="preserve"> </w:t>
            </w:r>
          </w:p>
          <w:p w:rsidR="0008573E" w:rsidRDefault="0008573E">
            <w:pPr>
              <w:wordWrap w:val="0"/>
              <w:divId w:val="1798648241"/>
              <w:rPr>
                <w:szCs w:val="21"/>
              </w:rPr>
            </w:pPr>
            <w:r>
              <w:rPr>
                <w:szCs w:val="21"/>
              </w:rPr>
              <w:t>2</w:t>
            </w:r>
            <w:r>
              <w:rPr>
                <w:szCs w:val="21"/>
              </w:rPr>
              <w:t>、投标人具有</w:t>
            </w:r>
            <w:r>
              <w:rPr>
                <w:szCs w:val="21"/>
              </w:rPr>
              <w:t>5</w:t>
            </w:r>
            <w:r>
              <w:rPr>
                <w:szCs w:val="21"/>
              </w:rPr>
              <w:t>星级售后服务认证荣誉证书，得</w:t>
            </w:r>
            <w:r>
              <w:rPr>
                <w:szCs w:val="21"/>
              </w:rPr>
              <w:t>20</w:t>
            </w:r>
            <w:r>
              <w:rPr>
                <w:szCs w:val="21"/>
              </w:rPr>
              <w:t>分；</w:t>
            </w:r>
            <w:r>
              <w:rPr>
                <w:szCs w:val="21"/>
              </w:rPr>
              <w:t xml:space="preserve"> </w:t>
            </w:r>
          </w:p>
          <w:p w:rsidR="0008573E" w:rsidRDefault="0008573E">
            <w:pPr>
              <w:wordWrap w:val="0"/>
              <w:divId w:val="2085294195"/>
              <w:rPr>
                <w:szCs w:val="21"/>
              </w:rPr>
            </w:pPr>
            <w:r>
              <w:rPr>
                <w:szCs w:val="21"/>
              </w:rPr>
              <w:t>2</w:t>
            </w:r>
            <w:r>
              <w:rPr>
                <w:szCs w:val="21"/>
              </w:rPr>
              <w:t>、投标人获得亚运会、大运会、全运会赛事服务荣誉证书。</w:t>
            </w:r>
            <w:r>
              <w:rPr>
                <w:szCs w:val="21"/>
              </w:rPr>
              <w:t xml:space="preserve"> </w:t>
            </w:r>
            <w:r>
              <w:rPr>
                <w:szCs w:val="21"/>
              </w:rPr>
              <w:t>以上荣誉每获得一项荣誉</w:t>
            </w:r>
            <w:r>
              <w:rPr>
                <w:szCs w:val="21"/>
              </w:rPr>
              <w:t>20</w:t>
            </w:r>
            <w:r>
              <w:rPr>
                <w:szCs w:val="21"/>
              </w:rPr>
              <w:t>分，满分</w:t>
            </w:r>
            <w:r>
              <w:rPr>
                <w:szCs w:val="21"/>
              </w:rPr>
              <w:t>60</w:t>
            </w:r>
            <w:r>
              <w:rPr>
                <w:szCs w:val="21"/>
              </w:rPr>
              <w:t>分；</w:t>
            </w:r>
            <w:r>
              <w:rPr>
                <w:szCs w:val="21"/>
              </w:rPr>
              <w:t xml:space="preserve"> </w:t>
            </w:r>
          </w:p>
          <w:p w:rsidR="0008573E" w:rsidRDefault="0008573E">
            <w:pPr>
              <w:wordWrap w:val="0"/>
              <w:divId w:val="361252686"/>
              <w:rPr>
                <w:szCs w:val="21"/>
              </w:rPr>
            </w:pPr>
            <w:r>
              <w:rPr>
                <w:szCs w:val="21"/>
              </w:rPr>
              <w:t>（二）评分依据：</w:t>
            </w:r>
            <w:r>
              <w:rPr>
                <w:szCs w:val="21"/>
              </w:rPr>
              <w:t xml:space="preserve"> </w:t>
            </w:r>
          </w:p>
          <w:p w:rsidR="0008573E" w:rsidRDefault="0008573E">
            <w:pPr>
              <w:wordWrap w:val="0"/>
              <w:divId w:val="496119397"/>
              <w:rPr>
                <w:rFonts w:ascii="宋体" w:hAnsi="宋体" w:cs="宋体"/>
                <w:szCs w:val="21"/>
              </w:rPr>
            </w:pPr>
            <w:r>
              <w:rPr>
                <w:szCs w:val="21"/>
              </w:rPr>
              <w:t>需提供相关证书扫描件或者奖杯图片或者获奖截图等证明材料，未提供不得分</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4</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业绩经验</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4</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1574243680"/>
              <w:rPr>
                <w:szCs w:val="21"/>
              </w:rPr>
            </w:pPr>
            <w:r>
              <w:rPr>
                <w:szCs w:val="21"/>
              </w:rPr>
              <w:t>投标人</w:t>
            </w:r>
            <w:r>
              <w:rPr>
                <w:szCs w:val="21"/>
              </w:rPr>
              <w:t>2018</w:t>
            </w:r>
            <w:r>
              <w:rPr>
                <w:szCs w:val="21"/>
              </w:rPr>
              <w:t>年</w:t>
            </w:r>
            <w:r>
              <w:rPr>
                <w:szCs w:val="21"/>
              </w:rPr>
              <w:t>1</w:t>
            </w:r>
            <w:r>
              <w:rPr>
                <w:szCs w:val="21"/>
              </w:rPr>
              <w:t>月</w:t>
            </w:r>
            <w:r>
              <w:rPr>
                <w:szCs w:val="21"/>
              </w:rPr>
              <w:t>1</w:t>
            </w:r>
            <w:r>
              <w:rPr>
                <w:szCs w:val="21"/>
              </w:rPr>
              <w:t>日至今具有市级或市级以上的运动会服装项目业绩，每提供</w:t>
            </w:r>
            <w:r>
              <w:rPr>
                <w:szCs w:val="21"/>
              </w:rPr>
              <w:t>1</w:t>
            </w:r>
            <w:r>
              <w:rPr>
                <w:szCs w:val="21"/>
              </w:rPr>
              <w:t>项得</w:t>
            </w:r>
            <w:r>
              <w:rPr>
                <w:szCs w:val="21"/>
              </w:rPr>
              <w:t>25</w:t>
            </w:r>
            <w:r>
              <w:rPr>
                <w:szCs w:val="21"/>
              </w:rPr>
              <w:t>分，最高得</w:t>
            </w:r>
            <w:r>
              <w:rPr>
                <w:szCs w:val="21"/>
              </w:rPr>
              <w:t>100</w:t>
            </w:r>
            <w:r>
              <w:rPr>
                <w:szCs w:val="21"/>
              </w:rPr>
              <w:t>分。</w:t>
            </w:r>
            <w:r>
              <w:rPr>
                <w:szCs w:val="21"/>
              </w:rPr>
              <w:t xml:space="preserve"> </w:t>
            </w:r>
          </w:p>
          <w:p w:rsidR="0008573E" w:rsidRDefault="0008573E">
            <w:pPr>
              <w:wordWrap w:val="0"/>
              <w:divId w:val="389957740"/>
              <w:rPr>
                <w:rFonts w:ascii="宋体" w:hAnsi="宋体" w:cs="宋体"/>
                <w:szCs w:val="21"/>
              </w:rPr>
            </w:pPr>
            <w:r>
              <w:rPr>
                <w:szCs w:val="21"/>
              </w:rPr>
              <w:t>【注：需提供业绩合同关键页（包括采购内容、采购金额、签约日期、双方盖章）复印件并加盖投标人公章，时间以合同签订日期为准，未按上述要求提供证明材料的业绩不得分。】</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5</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售后服务能力及便利性</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4</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1560555852"/>
              <w:rPr>
                <w:szCs w:val="21"/>
              </w:rPr>
            </w:pPr>
            <w:r>
              <w:rPr>
                <w:szCs w:val="21"/>
              </w:rPr>
              <w:t>（一）考察内容：</w:t>
            </w:r>
            <w:r>
              <w:rPr>
                <w:szCs w:val="21"/>
              </w:rPr>
              <w:t xml:space="preserve"> </w:t>
            </w:r>
          </w:p>
          <w:p w:rsidR="0008573E" w:rsidRDefault="0008573E">
            <w:pPr>
              <w:wordWrap w:val="0"/>
              <w:divId w:val="1456486541"/>
              <w:rPr>
                <w:szCs w:val="21"/>
              </w:rPr>
            </w:pPr>
            <w:r>
              <w:rPr>
                <w:szCs w:val="21"/>
              </w:rPr>
              <w:t>1</w:t>
            </w:r>
            <w:r>
              <w:rPr>
                <w:szCs w:val="21"/>
              </w:rPr>
              <w:t>、投标人为本项目至少提供</w:t>
            </w:r>
            <w:r>
              <w:rPr>
                <w:szCs w:val="21"/>
              </w:rPr>
              <w:t>5</w:t>
            </w:r>
            <w:r>
              <w:rPr>
                <w:szCs w:val="21"/>
              </w:rPr>
              <w:t>名售后服务</w:t>
            </w:r>
            <w:r>
              <w:rPr>
                <w:szCs w:val="21"/>
              </w:rPr>
              <w:lastRenderedPageBreak/>
              <w:t>人员及一台专属车辆，否则该项不得分。</w:t>
            </w:r>
            <w:r>
              <w:rPr>
                <w:szCs w:val="21"/>
              </w:rPr>
              <w:t xml:space="preserve"> </w:t>
            </w:r>
          </w:p>
          <w:p w:rsidR="0008573E" w:rsidRDefault="0008573E">
            <w:pPr>
              <w:wordWrap w:val="0"/>
              <w:divId w:val="619728313"/>
              <w:rPr>
                <w:szCs w:val="21"/>
              </w:rPr>
            </w:pPr>
            <w:r>
              <w:rPr>
                <w:szCs w:val="21"/>
              </w:rPr>
              <w:t>2</w:t>
            </w:r>
            <w:r>
              <w:rPr>
                <w:szCs w:val="21"/>
              </w:rPr>
              <w:t>、上述服务人员全部具有</w:t>
            </w:r>
            <w:r>
              <w:rPr>
                <w:szCs w:val="21"/>
              </w:rPr>
              <w:t>2013</w:t>
            </w:r>
            <w:r>
              <w:rPr>
                <w:szCs w:val="21"/>
              </w:rPr>
              <w:t>年以来参与过国家级或以上大型综合性运动会项目经验的得</w:t>
            </w:r>
            <w:r>
              <w:rPr>
                <w:szCs w:val="21"/>
              </w:rPr>
              <w:t>100</w:t>
            </w:r>
            <w:r>
              <w:rPr>
                <w:szCs w:val="21"/>
              </w:rPr>
              <w:t>分；全部具有省级或以上大型综合性运动会项目经验的得</w:t>
            </w:r>
            <w:r>
              <w:rPr>
                <w:szCs w:val="21"/>
              </w:rPr>
              <w:t>60</w:t>
            </w:r>
            <w:r>
              <w:rPr>
                <w:szCs w:val="21"/>
              </w:rPr>
              <w:t>分；全部具有地市级或以上大型综合性运动会项目经验的得</w:t>
            </w:r>
            <w:r>
              <w:rPr>
                <w:szCs w:val="21"/>
              </w:rPr>
              <w:t>20</w:t>
            </w:r>
            <w:r>
              <w:rPr>
                <w:szCs w:val="21"/>
              </w:rPr>
              <w:t>分，其他情况不得分。</w:t>
            </w:r>
            <w:r>
              <w:rPr>
                <w:szCs w:val="21"/>
              </w:rPr>
              <w:t xml:space="preserve"> </w:t>
            </w:r>
          </w:p>
          <w:p w:rsidR="0008573E" w:rsidRDefault="0008573E">
            <w:pPr>
              <w:wordWrap w:val="0"/>
              <w:divId w:val="1531262397"/>
              <w:rPr>
                <w:szCs w:val="21"/>
              </w:rPr>
            </w:pPr>
            <w:r>
              <w:rPr>
                <w:szCs w:val="21"/>
              </w:rPr>
              <w:t>（二）评分依据：</w:t>
            </w:r>
            <w:r>
              <w:rPr>
                <w:szCs w:val="21"/>
              </w:rPr>
              <w:t xml:space="preserve"> </w:t>
            </w:r>
          </w:p>
          <w:p w:rsidR="0008573E" w:rsidRDefault="0008573E">
            <w:pPr>
              <w:wordWrap w:val="0"/>
              <w:divId w:val="445933153"/>
              <w:rPr>
                <w:szCs w:val="21"/>
              </w:rPr>
            </w:pPr>
            <w:r>
              <w:rPr>
                <w:szCs w:val="21"/>
              </w:rPr>
              <w:t>（</w:t>
            </w:r>
            <w:r>
              <w:rPr>
                <w:szCs w:val="21"/>
              </w:rPr>
              <w:t>1</w:t>
            </w:r>
            <w:r>
              <w:rPr>
                <w:szCs w:val="21"/>
              </w:rPr>
              <w:t>）提供投标人近三个月为上述全部售后服务人员依法缴纳社保凭证。</w:t>
            </w:r>
            <w:r>
              <w:rPr>
                <w:szCs w:val="21"/>
              </w:rPr>
              <w:t xml:space="preserve"> </w:t>
            </w:r>
          </w:p>
          <w:p w:rsidR="0008573E" w:rsidRDefault="0008573E">
            <w:pPr>
              <w:wordWrap w:val="0"/>
              <w:divId w:val="1202665129"/>
              <w:rPr>
                <w:szCs w:val="21"/>
              </w:rPr>
            </w:pPr>
            <w:r>
              <w:rPr>
                <w:szCs w:val="21"/>
              </w:rPr>
              <w:t>（</w:t>
            </w:r>
            <w:r>
              <w:rPr>
                <w:szCs w:val="21"/>
              </w:rPr>
              <w:t>2</w:t>
            </w:r>
            <w:r>
              <w:rPr>
                <w:szCs w:val="21"/>
              </w:rPr>
              <w:t>）提供上述售后服务人员参与大型综合性运动会项目的工作证以及投标人参与上述项目的中标通知书及合同扫描件。</w:t>
            </w:r>
            <w:r>
              <w:rPr>
                <w:szCs w:val="21"/>
              </w:rPr>
              <w:t xml:space="preserve"> </w:t>
            </w:r>
          </w:p>
          <w:p w:rsidR="0008573E" w:rsidRDefault="0008573E">
            <w:pPr>
              <w:wordWrap w:val="0"/>
              <w:divId w:val="321475012"/>
              <w:rPr>
                <w:szCs w:val="21"/>
              </w:rPr>
            </w:pPr>
            <w:r>
              <w:rPr>
                <w:szCs w:val="21"/>
              </w:rPr>
              <w:t>（</w:t>
            </w:r>
            <w:r>
              <w:rPr>
                <w:szCs w:val="21"/>
              </w:rPr>
              <w:t>3</w:t>
            </w:r>
            <w:r>
              <w:rPr>
                <w:szCs w:val="21"/>
              </w:rPr>
              <w:t>）提供投标人深圳牌照车辆行驶证扫描件。</w:t>
            </w:r>
            <w:r>
              <w:rPr>
                <w:szCs w:val="21"/>
              </w:rPr>
              <w:t xml:space="preserve"> </w:t>
            </w:r>
          </w:p>
          <w:p w:rsidR="0008573E" w:rsidRDefault="0008573E">
            <w:pPr>
              <w:wordWrap w:val="0"/>
              <w:divId w:val="1941643073"/>
              <w:rPr>
                <w:rFonts w:ascii="宋体" w:hAnsi="宋体" w:cs="宋体"/>
                <w:szCs w:val="21"/>
              </w:rPr>
            </w:pPr>
            <w:r>
              <w:rPr>
                <w:szCs w:val="21"/>
              </w:rPr>
              <w:t>（</w:t>
            </w:r>
            <w:r>
              <w:rPr>
                <w:szCs w:val="21"/>
              </w:rPr>
              <w:t>4</w:t>
            </w:r>
            <w:r>
              <w:rPr>
                <w:szCs w:val="21"/>
              </w:rPr>
              <w:t>）未按要求提供上述资料或者不符合要求的不得分，原件备查。</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6</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诚信</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5</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374353246"/>
              <w:rPr>
                <w:rFonts w:ascii="宋体" w:hAnsi="宋体" w:cs="宋体"/>
                <w:szCs w:val="21"/>
              </w:rPr>
            </w:pPr>
            <w:r>
              <w:rPr>
                <w:szCs w:val="21"/>
              </w:rPr>
              <w:t>投标人在参与政府采购活动中出现诚信相关问题且在相关主管部门处理措施实施期限内的本项不得分，否则得满分。投标人无需提供任何证明材料，由评标委员会根据采购系统的查询结果评分。</w:t>
            </w:r>
          </w:p>
        </w:tc>
      </w:tr>
      <w:tr w:rsidR="0008573E">
        <w:trPr>
          <w:divId w:val="237786446"/>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b/>
                <w:bCs/>
                <w:color w:val="0000FF"/>
                <w:sz w:val="24"/>
              </w:rPr>
            </w:pPr>
            <w:r>
              <w:rPr>
                <w:b/>
                <w:bCs/>
                <w:color w:val="0000FF"/>
              </w:rPr>
              <w:t>3</w:t>
            </w:r>
          </w:p>
        </w:tc>
        <w:tc>
          <w:tcPr>
            <w:tcW w:w="4196" w:type="dxa"/>
            <w:gridSpan w:val="3"/>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b/>
                <w:bCs/>
                <w:color w:val="0000FF"/>
                <w:sz w:val="24"/>
              </w:rPr>
            </w:pPr>
            <w:r>
              <w:rPr>
                <w:b/>
                <w:bCs/>
                <w:color w:val="0000FF"/>
              </w:rPr>
              <w:t>技术部分</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b/>
                <w:bCs/>
                <w:color w:val="0000FF"/>
                <w:sz w:val="24"/>
              </w:rPr>
            </w:pPr>
            <w:r>
              <w:rPr>
                <w:b/>
                <w:bCs/>
                <w:color w:val="0000FF"/>
              </w:rPr>
              <w:t>45</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8278" w:type="dxa"/>
            <w:gridSpan w:val="4"/>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08573E" w:rsidRDefault="0008573E">
            <w:pPr>
              <w:rPr>
                <w:rFonts w:ascii="宋体" w:hAnsi="宋体" w:cs="宋体"/>
                <w:b/>
                <w:bCs/>
                <w:color w:val="0000FF"/>
                <w:sz w:val="24"/>
              </w:rPr>
            </w:pP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08573E" w:rsidRDefault="0008573E">
            <w:pPr>
              <w:wordWrap w:val="0"/>
              <w:jc w:val="center"/>
              <w:rPr>
                <w:rFonts w:ascii="宋体" w:hAnsi="宋体" w:cs="宋体"/>
                <w:szCs w:val="21"/>
              </w:rPr>
            </w:pPr>
            <w:r>
              <w:rPr>
                <w:szCs w:val="21"/>
              </w:rPr>
              <w:t>序号</w:t>
            </w:r>
          </w:p>
        </w:tc>
        <w:tc>
          <w:tcPr>
            <w:tcW w:w="2835"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08573E" w:rsidRDefault="0008573E">
            <w:pPr>
              <w:wordWrap w:val="0"/>
              <w:jc w:val="center"/>
              <w:rPr>
                <w:rFonts w:ascii="宋体" w:hAnsi="宋体" w:cs="宋体"/>
                <w:szCs w:val="21"/>
              </w:rPr>
            </w:pPr>
            <w:r>
              <w:rPr>
                <w:szCs w:val="21"/>
              </w:rPr>
              <w:t>评分因素</w:t>
            </w: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08573E" w:rsidRDefault="0008573E">
            <w:pPr>
              <w:wordWrap w:val="0"/>
              <w:jc w:val="center"/>
              <w:rPr>
                <w:rFonts w:ascii="宋体" w:hAnsi="宋体" w:cs="宋体"/>
                <w:szCs w:val="21"/>
              </w:rPr>
            </w:pPr>
            <w:r>
              <w:rPr>
                <w:szCs w:val="21"/>
              </w:rPr>
              <w:t>权重</w:t>
            </w:r>
            <w:r>
              <w:rPr>
                <w:szCs w:val="21"/>
              </w:rPr>
              <w:t>(%)</w:t>
            </w:r>
          </w:p>
        </w:tc>
        <w:tc>
          <w:tcPr>
            <w:tcW w:w="292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08573E" w:rsidRDefault="0008573E">
            <w:pPr>
              <w:wordWrap w:val="0"/>
              <w:jc w:val="center"/>
              <w:rPr>
                <w:rFonts w:ascii="宋体" w:hAnsi="宋体" w:cs="宋体"/>
                <w:szCs w:val="21"/>
              </w:rPr>
            </w:pPr>
            <w:r>
              <w:rPr>
                <w:szCs w:val="21"/>
              </w:rPr>
              <w:t>评分准则</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1</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重要参数响应</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25</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875969054"/>
              <w:rPr>
                <w:szCs w:val="21"/>
              </w:rPr>
            </w:pPr>
            <w:r>
              <w:rPr>
                <w:szCs w:val="21"/>
              </w:rPr>
              <w:t>1</w:t>
            </w:r>
            <w:r>
              <w:rPr>
                <w:szCs w:val="21"/>
              </w:rPr>
              <w:t>、评审标准：</w:t>
            </w:r>
            <w:r>
              <w:rPr>
                <w:szCs w:val="21"/>
              </w:rPr>
              <w:t xml:space="preserve"> </w:t>
            </w:r>
          </w:p>
          <w:p w:rsidR="0008573E" w:rsidRDefault="0008573E">
            <w:pPr>
              <w:wordWrap w:val="0"/>
              <w:divId w:val="477039624"/>
              <w:rPr>
                <w:szCs w:val="21"/>
              </w:rPr>
            </w:pPr>
            <w:r>
              <w:rPr>
                <w:szCs w:val="21"/>
              </w:rPr>
              <w:t>投标人应如实填写《技术规格偏离表》，评审委员会根据技术需求参数响应情况进行打分，各项技术参数指标及要求全部满足的得</w:t>
            </w:r>
            <w:r>
              <w:rPr>
                <w:szCs w:val="21"/>
              </w:rPr>
              <w:t>100</w:t>
            </w:r>
            <w:r>
              <w:rPr>
                <w:szCs w:val="21"/>
              </w:rPr>
              <w:t>分，带</w:t>
            </w:r>
            <w:r>
              <w:rPr>
                <w:szCs w:val="21"/>
              </w:rPr>
              <w:t>“▲”</w:t>
            </w:r>
            <w:r>
              <w:rPr>
                <w:szCs w:val="21"/>
              </w:rPr>
              <w:t>重要参数每负偏离一项扣</w:t>
            </w:r>
            <w:r>
              <w:rPr>
                <w:szCs w:val="21"/>
              </w:rPr>
              <w:t>15</w:t>
            </w:r>
            <w:r>
              <w:rPr>
                <w:szCs w:val="21"/>
              </w:rPr>
              <w:t>分，扣完为止。</w:t>
            </w:r>
            <w:r>
              <w:rPr>
                <w:szCs w:val="21"/>
              </w:rPr>
              <w:t xml:space="preserve"> </w:t>
            </w:r>
          </w:p>
          <w:p w:rsidR="0008573E" w:rsidRDefault="0008573E">
            <w:pPr>
              <w:wordWrap w:val="0"/>
              <w:divId w:val="274096359"/>
              <w:rPr>
                <w:szCs w:val="21"/>
              </w:rPr>
            </w:pPr>
            <w:r>
              <w:rPr>
                <w:szCs w:val="21"/>
              </w:rPr>
              <w:t>2</w:t>
            </w:r>
            <w:r>
              <w:rPr>
                <w:szCs w:val="21"/>
              </w:rPr>
              <w:t>、证明文件：</w:t>
            </w:r>
            <w:r>
              <w:rPr>
                <w:szCs w:val="21"/>
              </w:rPr>
              <w:t xml:space="preserve"> </w:t>
            </w:r>
          </w:p>
          <w:p w:rsidR="0008573E" w:rsidRDefault="0008573E">
            <w:pPr>
              <w:wordWrap w:val="0"/>
              <w:divId w:val="389230517"/>
              <w:rPr>
                <w:szCs w:val="21"/>
              </w:rPr>
            </w:pPr>
            <w:r>
              <w:rPr>
                <w:szCs w:val="21"/>
              </w:rPr>
              <w:t>投标人须如实全面填写《技术规格偏离表》，并按招标文件的要求提供相关证明资料扫描件。投标人未提供相关证明材料或者提供的证明材料不符合要求的或提供的证明材料不清晰导致评审专家无法辨认的，该项参数按照负偏离处理。</w:t>
            </w:r>
            <w:r>
              <w:rPr>
                <w:szCs w:val="21"/>
              </w:rPr>
              <w:t xml:space="preserve"> </w:t>
            </w:r>
          </w:p>
          <w:p w:rsidR="0008573E" w:rsidRDefault="0008573E">
            <w:pPr>
              <w:wordWrap w:val="0"/>
              <w:divId w:val="1088572850"/>
              <w:rPr>
                <w:rFonts w:ascii="宋体" w:hAnsi="宋体" w:cs="宋体"/>
                <w:szCs w:val="21"/>
              </w:rPr>
            </w:pPr>
            <w:r>
              <w:rPr>
                <w:szCs w:val="21"/>
              </w:rPr>
              <w:t>投标样品与投标文件《技术规格偏离表》中对应的投标内容存在不符的，对应项参数按照负偏离处理。</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2</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一般参数响应</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8</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255944428"/>
              <w:rPr>
                <w:szCs w:val="21"/>
              </w:rPr>
            </w:pPr>
            <w:r>
              <w:rPr>
                <w:szCs w:val="21"/>
              </w:rPr>
              <w:t>1</w:t>
            </w:r>
            <w:r>
              <w:rPr>
                <w:szCs w:val="21"/>
              </w:rPr>
              <w:t>、评审标准：</w:t>
            </w:r>
            <w:r>
              <w:rPr>
                <w:szCs w:val="21"/>
              </w:rPr>
              <w:t xml:space="preserve"> </w:t>
            </w:r>
          </w:p>
          <w:p w:rsidR="0008573E" w:rsidRDefault="0008573E">
            <w:pPr>
              <w:wordWrap w:val="0"/>
              <w:divId w:val="31419202"/>
              <w:rPr>
                <w:szCs w:val="21"/>
              </w:rPr>
            </w:pPr>
            <w:r>
              <w:rPr>
                <w:szCs w:val="21"/>
              </w:rPr>
              <w:t>投标人应如实填写《技术规格偏离表》，评审委员会根据技术需求参数响应情况进行打分，各项技术参数指标及要求全部满足的得</w:t>
            </w:r>
            <w:r>
              <w:rPr>
                <w:szCs w:val="21"/>
              </w:rPr>
              <w:t>100</w:t>
            </w:r>
            <w:r>
              <w:rPr>
                <w:szCs w:val="21"/>
              </w:rPr>
              <w:t>分，每负偏离一项扣</w:t>
            </w:r>
            <w:r>
              <w:rPr>
                <w:szCs w:val="21"/>
              </w:rPr>
              <w:t>10</w:t>
            </w:r>
            <w:r>
              <w:rPr>
                <w:szCs w:val="21"/>
              </w:rPr>
              <w:t>分；扣完为止。</w:t>
            </w:r>
            <w:r>
              <w:rPr>
                <w:szCs w:val="21"/>
              </w:rPr>
              <w:t xml:space="preserve"> </w:t>
            </w:r>
          </w:p>
          <w:p w:rsidR="0008573E" w:rsidRDefault="0008573E">
            <w:pPr>
              <w:wordWrap w:val="0"/>
              <w:divId w:val="1607232119"/>
              <w:rPr>
                <w:szCs w:val="21"/>
              </w:rPr>
            </w:pPr>
            <w:r>
              <w:rPr>
                <w:szCs w:val="21"/>
              </w:rPr>
              <w:t>2</w:t>
            </w:r>
            <w:r>
              <w:rPr>
                <w:szCs w:val="21"/>
              </w:rPr>
              <w:t>、证明文件：</w:t>
            </w:r>
            <w:r>
              <w:rPr>
                <w:szCs w:val="21"/>
              </w:rPr>
              <w:t xml:space="preserve"> </w:t>
            </w:r>
          </w:p>
          <w:p w:rsidR="0008573E" w:rsidRDefault="0008573E">
            <w:pPr>
              <w:wordWrap w:val="0"/>
              <w:divId w:val="61829216"/>
              <w:rPr>
                <w:szCs w:val="21"/>
              </w:rPr>
            </w:pPr>
            <w:r>
              <w:rPr>
                <w:szCs w:val="21"/>
              </w:rPr>
              <w:t>投标人须如实全面填写《技术规格偏离表》，</w:t>
            </w:r>
            <w:r>
              <w:rPr>
                <w:szCs w:val="21"/>
              </w:rPr>
              <w:lastRenderedPageBreak/>
              <w:t>并按招标文件的要求提供相关证明资料扫描件。投标人未提供相关证明材料或者提供的证明材料不符合要求的或提供的证明材料不清晰导致评审专家无法辨认的，该项参数按照负偏离处理。</w:t>
            </w:r>
            <w:r>
              <w:rPr>
                <w:szCs w:val="21"/>
              </w:rPr>
              <w:t xml:space="preserve"> </w:t>
            </w:r>
          </w:p>
          <w:p w:rsidR="0008573E" w:rsidRDefault="0008573E">
            <w:pPr>
              <w:wordWrap w:val="0"/>
              <w:divId w:val="908880685"/>
              <w:rPr>
                <w:rFonts w:ascii="宋体" w:hAnsi="宋体" w:cs="宋体"/>
                <w:szCs w:val="21"/>
              </w:rPr>
            </w:pPr>
            <w:r>
              <w:rPr>
                <w:rFonts w:ascii="宋体" w:hAnsi="宋体" w:cs="宋体" w:hint="eastAsia"/>
                <w:szCs w:val="21"/>
              </w:rPr>
              <w:t>①</w:t>
            </w:r>
            <w:r>
              <w:rPr>
                <w:szCs w:val="21"/>
              </w:rPr>
              <w:t xml:space="preserve"> </w:t>
            </w:r>
            <w:r>
              <w:rPr>
                <w:szCs w:val="21"/>
              </w:rPr>
              <w:t>投标样品与投标文件《技术规格偏离表》中对应的投标内容存在不符的，对应项参数按照负偏离处理。</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3</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样品符合性</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4</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1271426228"/>
              <w:rPr>
                <w:szCs w:val="21"/>
              </w:rPr>
            </w:pPr>
            <w:r>
              <w:rPr>
                <w:szCs w:val="21"/>
              </w:rPr>
              <w:t>根据投标人提供的实物样品所体现的技术工艺水平是否符合招标文件规定要求进行评审：</w:t>
            </w:r>
            <w:r>
              <w:rPr>
                <w:szCs w:val="21"/>
              </w:rPr>
              <w:t xml:space="preserve"> </w:t>
            </w:r>
          </w:p>
          <w:p w:rsidR="0008573E" w:rsidRDefault="0008573E">
            <w:pPr>
              <w:wordWrap w:val="0"/>
              <w:divId w:val="1567372800"/>
              <w:rPr>
                <w:szCs w:val="21"/>
              </w:rPr>
            </w:pPr>
            <w:r>
              <w:rPr>
                <w:szCs w:val="21"/>
              </w:rPr>
              <w:t>（</w:t>
            </w:r>
            <w:r>
              <w:rPr>
                <w:szCs w:val="21"/>
              </w:rPr>
              <w:t>1</w:t>
            </w:r>
            <w:r>
              <w:rPr>
                <w:szCs w:val="21"/>
              </w:rPr>
              <w:t>）实物样品所体现的技术指标及工艺水平满足或优于招标文件规定，得</w:t>
            </w:r>
            <w:r>
              <w:rPr>
                <w:szCs w:val="21"/>
              </w:rPr>
              <w:t>100</w:t>
            </w:r>
            <w:r>
              <w:rPr>
                <w:szCs w:val="21"/>
              </w:rPr>
              <w:t>分；</w:t>
            </w:r>
            <w:r>
              <w:rPr>
                <w:szCs w:val="21"/>
              </w:rPr>
              <w:t xml:space="preserve"> </w:t>
            </w:r>
          </w:p>
          <w:p w:rsidR="0008573E" w:rsidRDefault="0008573E">
            <w:pPr>
              <w:wordWrap w:val="0"/>
              <w:divId w:val="1001465436"/>
              <w:rPr>
                <w:szCs w:val="21"/>
              </w:rPr>
            </w:pPr>
            <w:r>
              <w:rPr>
                <w:szCs w:val="21"/>
              </w:rPr>
              <w:t>（</w:t>
            </w:r>
            <w:r>
              <w:rPr>
                <w:szCs w:val="21"/>
              </w:rPr>
              <w:t>2</w:t>
            </w:r>
            <w:r>
              <w:rPr>
                <w:szCs w:val="21"/>
              </w:rPr>
              <w:t>）实物样品所体现的技术工艺水平一般得，</w:t>
            </w:r>
            <w:r>
              <w:rPr>
                <w:szCs w:val="21"/>
              </w:rPr>
              <w:t>70</w:t>
            </w:r>
            <w:r>
              <w:rPr>
                <w:szCs w:val="21"/>
              </w:rPr>
              <w:t>分；</w:t>
            </w:r>
            <w:r>
              <w:rPr>
                <w:szCs w:val="21"/>
              </w:rPr>
              <w:t xml:space="preserve"> </w:t>
            </w:r>
          </w:p>
          <w:p w:rsidR="0008573E" w:rsidRDefault="0008573E">
            <w:pPr>
              <w:wordWrap w:val="0"/>
              <w:divId w:val="508837470"/>
              <w:rPr>
                <w:szCs w:val="21"/>
              </w:rPr>
            </w:pPr>
            <w:r>
              <w:rPr>
                <w:szCs w:val="21"/>
              </w:rPr>
              <w:t>（</w:t>
            </w:r>
            <w:r>
              <w:rPr>
                <w:szCs w:val="21"/>
              </w:rPr>
              <w:t>3</w:t>
            </w:r>
            <w:r>
              <w:rPr>
                <w:szCs w:val="21"/>
              </w:rPr>
              <w:t>）实物样品所体现的技术工艺水平差得，</w:t>
            </w:r>
            <w:r>
              <w:rPr>
                <w:szCs w:val="21"/>
              </w:rPr>
              <w:t>40</w:t>
            </w:r>
            <w:r>
              <w:rPr>
                <w:szCs w:val="21"/>
              </w:rPr>
              <w:t>分。</w:t>
            </w:r>
            <w:r>
              <w:rPr>
                <w:szCs w:val="21"/>
              </w:rPr>
              <w:t xml:space="preserve"> </w:t>
            </w:r>
          </w:p>
          <w:p w:rsidR="0008573E" w:rsidRDefault="0008573E">
            <w:pPr>
              <w:wordWrap w:val="0"/>
              <w:divId w:val="1054743952"/>
              <w:rPr>
                <w:szCs w:val="21"/>
              </w:rPr>
            </w:pPr>
            <w:r>
              <w:rPr>
                <w:szCs w:val="21"/>
              </w:rPr>
              <w:t>（</w:t>
            </w:r>
            <w:r>
              <w:rPr>
                <w:szCs w:val="21"/>
              </w:rPr>
              <w:t>4</w:t>
            </w:r>
            <w:r>
              <w:rPr>
                <w:szCs w:val="21"/>
              </w:rPr>
              <w:t>）未按照要求提供样品或不提供样品不得分。</w:t>
            </w:r>
            <w:r>
              <w:rPr>
                <w:szCs w:val="21"/>
              </w:rPr>
              <w:t xml:space="preserve"> </w:t>
            </w:r>
          </w:p>
          <w:p w:rsidR="0008573E" w:rsidRDefault="0008573E">
            <w:pPr>
              <w:wordWrap w:val="0"/>
              <w:divId w:val="1007176058"/>
              <w:rPr>
                <w:rFonts w:ascii="宋体" w:hAnsi="宋体" w:cs="宋体"/>
                <w:szCs w:val="21"/>
              </w:rPr>
            </w:pPr>
            <w:r>
              <w:rPr>
                <w:szCs w:val="21"/>
              </w:rPr>
              <w:t>（需提供实物样品做为评分依据，未提供样品或提供不全的不得分。）</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4</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项目实施方案</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4</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1738941269"/>
              <w:rPr>
                <w:szCs w:val="21"/>
              </w:rPr>
            </w:pPr>
            <w:r>
              <w:rPr>
                <w:szCs w:val="21"/>
              </w:rPr>
              <w:t>（一）评分内容：投标人应在投标文件中针对本项目详细说明项目实施方案，方案应包括供货方案、质量保障方案，要求方案要全面、具体、针对性强、科学合理、可操作性强。</w:t>
            </w:r>
            <w:r>
              <w:rPr>
                <w:szCs w:val="21"/>
              </w:rPr>
              <w:t xml:space="preserve"> </w:t>
            </w:r>
          </w:p>
          <w:p w:rsidR="0008573E" w:rsidRDefault="0008573E">
            <w:pPr>
              <w:wordWrap w:val="0"/>
              <w:divId w:val="300967965"/>
              <w:rPr>
                <w:szCs w:val="21"/>
              </w:rPr>
            </w:pPr>
            <w:r>
              <w:rPr>
                <w:szCs w:val="21"/>
              </w:rPr>
              <w:t>（二）评分依据：评审委员会根据招标文件的需求和投标文件的响应情况，进行评价及分档评分：</w:t>
            </w:r>
            <w:r>
              <w:rPr>
                <w:szCs w:val="21"/>
              </w:rPr>
              <w:t xml:space="preserve"> </w:t>
            </w:r>
          </w:p>
          <w:p w:rsidR="0008573E" w:rsidRDefault="0008573E">
            <w:pPr>
              <w:wordWrap w:val="0"/>
              <w:divId w:val="1165323590"/>
              <w:rPr>
                <w:szCs w:val="21"/>
              </w:rPr>
            </w:pPr>
            <w:r>
              <w:rPr>
                <w:szCs w:val="21"/>
              </w:rPr>
              <w:t>（</w:t>
            </w:r>
            <w:r>
              <w:rPr>
                <w:szCs w:val="21"/>
              </w:rPr>
              <w:t>1</w:t>
            </w:r>
            <w:r>
              <w:rPr>
                <w:szCs w:val="21"/>
              </w:rPr>
              <w:t>）技术实施保障措施内容全面；</w:t>
            </w:r>
            <w:r>
              <w:rPr>
                <w:szCs w:val="21"/>
              </w:rPr>
              <w:t xml:space="preserve"> </w:t>
            </w:r>
          </w:p>
          <w:p w:rsidR="0008573E" w:rsidRDefault="0008573E">
            <w:pPr>
              <w:wordWrap w:val="0"/>
              <w:divId w:val="1294017643"/>
              <w:rPr>
                <w:szCs w:val="21"/>
              </w:rPr>
            </w:pPr>
            <w:r>
              <w:rPr>
                <w:szCs w:val="21"/>
              </w:rPr>
              <w:t>（</w:t>
            </w:r>
            <w:r>
              <w:rPr>
                <w:szCs w:val="21"/>
              </w:rPr>
              <w:t>2</w:t>
            </w:r>
            <w:r>
              <w:rPr>
                <w:szCs w:val="21"/>
              </w:rPr>
              <w:t>）技术保障措施内容具体；</w:t>
            </w:r>
            <w:r>
              <w:rPr>
                <w:szCs w:val="21"/>
              </w:rPr>
              <w:t xml:space="preserve"> </w:t>
            </w:r>
          </w:p>
          <w:p w:rsidR="0008573E" w:rsidRDefault="0008573E">
            <w:pPr>
              <w:wordWrap w:val="0"/>
              <w:divId w:val="713964933"/>
              <w:rPr>
                <w:szCs w:val="21"/>
              </w:rPr>
            </w:pPr>
            <w:r>
              <w:rPr>
                <w:szCs w:val="21"/>
              </w:rPr>
              <w:t>（</w:t>
            </w:r>
            <w:r>
              <w:rPr>
                <w:szCs w:val="21"/>
              </w:rPr>
              <w:t>3</w:t>
            </w:r>
            <w:r>
              <w:rPr>
                <w:szCs w:val="21"/>
              </w:rPr>
              <w:t>）技术实施保障措施内容科学合理；</w:t>
            </w:r>
            <w:r>
              <w:rPr>
                <w:szCs w:val="21"/>
              </w:rPr>
              <w:t xml:space="preserve"> </w:t>
            </w:r>
          </w:p>
          <w:p w:rsidR="0008573E" w:rsidRDefault="0008573E">
            <w:pPr>
              <w:wordWrap w:val="0"/>
              <w:divId w:val="828449744"/>
              <w:rPr>
                <w:szCs w:val="21"/>
              </w:rPr>
            </w:pPr>
            <w:r>
              <w:rPr>
                <w:szCs w:val="21"/>
              </w:rPr>
              <w:t>（</w:t>
            </w:r>
            <w:r>
              <w:rPr>
                <w:szCs w:val="21"/>
              </w:rPr>
              <w:t>4</w:t>
            </w:r>
            <w:r>
              <w:rPr>
                <w:szCs w:val="21"/>
              </w:rPr>
              <w:t>）技术实施保障措施内容针对性强；</w:t>
            </w:r>
            <w:r>
              <w:rPr>
                <w:szCs w:val="21"/>
              </w:rPr>
              <w:t xml:space="preserve"> </w:t>
            </w:r>
          </w:p>
          <w:p w:rsidR="0008573E" w:rsidRDefault="0008573E">
            <w:pPr>
              <w:wordWrap w:val="0"/>
              <w:divId w:val="2037583867"/>
              <w:rPr>
                <w:szCs w:val="21"/>
              </w:rPr>
            </w:pPr>
            <w:r>
              <w:rPr>
                <w:szCs w:val="21"/>
              </w:rPr>
              <w:t>（</w:t>
            </w:r>
            <w:r>
              <w:rPr>
                <w:szCs w:val="21"/>
              </w:rPr>
              <w:t>5</w:t>
            </w:r>
            <w:r>
              <w:rPr>
                <w:szCs w:val="21"/>
              </w:rPr>
              <w:t>）技术实施保障措施内容可操作性强。</w:t>
            </w:r>
            <w:r>
              <w:rPr>
                <w:szCs w:val="21"/>
              </w:rPr>
              <w:t xml:space="preserve"> </w:t>
            </w:r>
          </w:p>
          <w:p w:rsidR="0008573E" w:rsidRDefault="0008573E">
            <w:pPr>
              <w:wordWrap w:val="0"/>
              <w:divId w:val="778526310"/>
              <w:rPr>
                <w:szCs w:val="21"/>
              </w:rPr>
            </w:pPr>
            <w:r>
              <w:rPr>
                <w:szCs w:val="21"/>
              </w:rPr>
              <w:t>优评分标准：满足以上五项要求的评价为优，得</w:t>
            </w:r>
            <w:r>
              <w:rPr>
                <w:szCs w:val="21"/>
              </w:rPr>
              <w:t>100</w:t>
            </w:r>
            <w:r>
              <w:rPr>
                <w:szCs w:val="21"/>
              </w:rPr>
              <w:t>分；</w:t>
            </w:r>
            <w:r>
              <w:rPr>
                <w:szCs w:val="21"/>
              </w:rPr>
              <w:t xml:space="preserve"> </w:t>
            </w:r>
          </w:p>
          <w:p w:rsidR="0008573E" w:rsidRDefault="0008573E">
            <w:pPr>
              <w:wordWrap w:val="0"/>
              <w:divId w:val="641928226"/>
              <w:rPr>
                <w:szCs w:val="21"/>
              </w:rPr>
            </w:pPr>
            <w:r>
              <w:rPr>
                <w:szCs w:val="21"/>
              </w:rPr>
              <w:t>良评分标准：满足以上四项要求的评价为良，得</w:t>
            </w:r>
            <w:r>
              <w:rPr>
                <w:szCs w:val="21"/>
              </w:rPr>
              <w:t xml:space="preserve"> 80</w:t>
            </w:r>
            <w:r>
              <w:rPr>
                <w:szCs w:val="21"/>
              </w:rPr>
              <w:t>分；</w:t>
            </w:r>
            <w:r>
              <w:rPr>
                <w:szCs w:val="21"/>
              </w:rPr>
              <w:t xml:space="preserve"> </w:t>
            </w:r>
          </w:p>
          <w:p w:rsidR="0008573E" w:rsidRDefault="0008573E">
            <w:pPr>
              <w:wordWrap w:val="0"/>
              <w:divId w:val="2100445104"/>
              <w:rPr>
                <w:szCs w:val="21"/>
              </w:rPr>
            </w:pPr>
            <w:r>
              <w:rPr>
                <w:szCs w:val="21"/>
              </w:rPr>
              <w:t>中评分标准：满足以上三项要求的评价为中，得</w:t>
            </w:r>
            <w:r>
              <w:rPr>
                <w:szCs w:val="21"/>
              </w:rPr>
              <w:t xml:space="preserve">60 </w:t>
            </w:r>
            <w:r>
              <w:rPr>
                <w:szCs w:val="21"/>
              </w:rPr>
              <w:t>分；</w:t>
            </w:r>
            <w:r>
              <w:rPr>
                <w:szCs w:val="21"/>
              </w:rPr>
              <w:t xml:space="preserve"> </w:t>
            </w:r>
          </w:p>
          <w:p w:rsidR="0008573E" w:rsidRDefault="0008573E">
            <w:pPr>
              <w:wordWrap w:val="0"/>
              <w:divId w:val="1873686382"/>
              <w:rPr>
                <w:szCs w:val="21"/>
              </w:rPr>
            </w:pPr>
            <w:r>
              <w:rPr>
                <w:szCs w:val="21"/>
              </w:rPr>
              <w:t>合格评分标准：满足以上二项要求的评价为中，得</w:t>
            </w:r>
            <w:r>
              <w:rPr>
                <w:szCs w:val="21"/>
              </w:rPr>
              <w:t xml:space="preserve"> 20</w:t>
            </w:r>
            <w:r>
              <w:rPr>
                <w:szCs w:val="21"/>
              </w:rPr>
              <w:t>分；</w:t>
            </w:r>
            <w:r>
              <w:rPr>
                <w:szCs w:val="21"/>
              </w:rPr>
              <w:t xml:space="preserve"> </w:t>
            </w:r>
          </w:p>
          <w:p w:rsidR="0008573E" w:rsidRDefault="0008573E">
            <w:pPr>
              <w:wordWrap w:val="0"/>
              <w:divId w:val="706687008"/>
              <w:rPr>
                <w:rFonts w:ascii="宋体" w:hAnsi="宋体" w:cs="宋体"/>
                <w:szCs w:val="21"/>
              </w:rPr>
            </w:pPr>
            <w:r>
              <w:rPr>
                <w:szCs w:val="21"/>
              </w:rPr>
              <w:t>差评分标准：上述情况之外的评差，得</w:t>
            </w:r>
            <w:r>
              <w:rPr>
                <w:szCs w:val="21"/>
              </w:rPr>
              <w:t xml:space="preserve">0 </w:t>
            </w:r>
            <w:r>
              <w:rPr>
                <w:szCs w:val="21"/>
              </w:rPr>
              <w:t>分。</w:t>
            </w:r>
          </w:p>
        </w:tc>
      </w:tr>
      <w:tr w:rsidR="0008573E">
        <w:trPr>
          <w:divId w:val="2377864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573E" w:rsidRDefault="0008573E">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5</w:t>
            </w:r>
          </w:p>
        </w:tc>
        <w:tc>
          <w:tcPr>
            <w:tcW w:w="2835"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rPr>
                <w:rFonts w:ascii="宋体" w:hAnsi="宋体" w:cs="宋体"/>
                <w:szCs w:val="21"/>
              </w:rPr>
            </w:pPr>
            <w:r>
              <w:rPr>
                <w:szCs w:val="21"/>
              </w:rPr>
              <w:t>售后服务方案</w:t>
            </w:r>
          </w:p>
        </w:tc>
        <w:tc>
          <w:tcPr>
            <w:tcW w:w="680"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jc w:val="center"/>
              <w:rPr>
                <w:rFonts w:ascii="宋体" w:hAnsi="宋体" w:cs="宋体"/>
                <w:szCs w:val="21"/>
              </w:rPr>
            </w:pPr>
            <w:r>
              <w:rPr>
                <w:szCs w:val="21"/>
              </w:rPr>
              <w:t>4</w:t>
            </w:r>
          </w:p>
        </w:tc>
        <w:tc>
          <w:tcPr>
            <w:tcW w:w="4196" w:type="dxa"/>
            <w:tcBorders>
              <w:top w:val="single" w:sz="8" w:space="0" w:color="000000"/>
              <w:left w:val="single" w:sz="8" w:space="0" w:color="000000"/>
              <w:bottom w:val="single" w:sz="8" w:space="0" w:color="000000"/>
              <w:right w:val="single" w:sz="8" w:space="0" w:color="000000"/>
            </w:tcBorders>
            <w:hideMark/>
          </w:tcPr>
          <w:p w:rsidR="0008573E" w:rsidRDefault="0008573E">
            <w:pPr>
              <w:wordWrap w:val="0"/>
              <w:divId w:val="439951588"/>
              <w:rPr>
                <w:szCs w:val="21"/>
              </w:rPr>
            </w:pPr>
            <w:r>
              <w:rPr>
                <w:szCs w:val="21"/>
              </w:rPr>
              <w:t>（一）评分内容：</w:t>
            </w:r>
            <w:r>
              <w:rPr>
                <w:szCs w:val="21"/>
              </w:rPr>
              <w:t xml:space="preserve"> </w:t>
            </w:r>
            <w:r>
              <w:rPr>
                <w:szCs w:val="21"/>
              </w:rPr>
              <w:t>投标人应在投标文件中针对本项目详细说明售后服务方案，方案应包括售后服务团队、应急响应时间、售后服务车辆、配送方案等，要求方案要全面、具体、针对性强、科学合理、可操作性强。</w:t>
            </w:r>
            <w:r>
              <w:rPr>
                <w:szCs w:val="21"/>
              </w:rPr>
              <w:t xml:space="preserve"> </w:t>
            </w:r>
          </w:p>
          <w:p w:rsidR="0008573E" w:rsidRDefault="0008573E">
            <w:pPr>
              <w:wordWrap w:val="0"/>
              <w:divId w:val="1617444887"/>
              <w:rPr>
                <w:szCs w:val="21"/>
              </w:rPr>
            </w:pPr>
            <w:r>
              <w:rPr>
                <w:szCs w:val="21"/>
              </w:rPr>
              <w:t>（二）评分依据：评审委员会根据招标文件</w:t>
            </w:r>
            <w:r>
              <w:rPr>
                <w:szCs w:val="21"/>
              </w:rPr>
              <w:lastRenderedPageBreak/>
              <w:t>的需求和投标文件的响应情况，进行评价及分档评分：</w:t>
            </w:r>
            <w:r>
              <w:rPr>
                <w:szCs w:val="21"/>
              </w:rPr>
              <w:t xml:space="preserve"> </w:t>
            </w:r>
          </w:p>
          <w:p w:rsidR="0008573E" w:rsidRDefault="0008573E">
            <w:pPr>
              <w:wordWrap w:val="0"/>
              <w:divId w:val="1286501043"/>
              <w:rPr>
                <w:szCs w:val="21"/>
              </w:rPr>
            </w:pPr>
            <w:r>
              <w:rPr>
                <w:szCs w:val="21"/>
              </w:rPr>
              <w:t>（</w:t>
            </w:r>
            <w:r>
              <w:rPr>
                <w:szCs w:val="21"/>
              </w:rPr>
              <w:t>1</w:t>
            </w:r>
            <w:r>
              <w:rPr>
                <w:szCs w:val="21"/>
              </w:rPr>
              <w:t>）技术实施保障措施内容全面；</w:t>
            </w:r>
            <w:r>
              <w:rPr>
                <w:szCs w:val="21"/>
              </w:rPr>
              <w:t xml:space="preserve"> </w:t>
            </w:r>
          </w:p>
          <w:p w:rsidR="0008573E" w:rsidRDefault="0008573E">
            <w:pPr>
              <w:wordWrap w:val="0"/>
              <w:divId w:val="1447850976"/>
              <w:rPr>
                <w:szCs w:val="21"/>
              </w:rPr>
            </w:pPr>
            <w:r>
              <w:rPr>
                <w:szCs w:val="21"/>
              </w:rPr>
              <w:t>（</w:t>
            </w:r>
            <w:r>
              <w:rPr>
                <w:szCs w:val="21"/>
              </w:rPr>
              <w:t>2</w:t>
            </w:r>
            <w:r>
              <w:rPr>
                <w:szCs w:val="21"/>
              </w:rPr>
              <w:t>）技术保障措施内容具体；</w:t>
            </w:r>
            <w:r>
              <w:rPr>
                <w:szCs w:val="21"/>
              </w:rPr>
              <w:t xml:space="preserve"> </w:t>
            </w:r>
          </w:p>
          <w:p w:rsidR="0008573E" w:rsidRDefault="0008573E">
            <w:pPr>
              <w:wordWrap w:val="0"/>
              <w:divId w:val="1973516482"/>
              <w:rPr>
                <w:szCs w:val="21"/>
              </w:rPr>
            </w:pPr>
            <w:r>
              <w:rPr>
                <w:szCs w:val="21"/>
              </w:rPr>
              <w:t>（</w:t>
            </w:r>
            <w:r>
              <w:rPr>
                <w:szCs w:val="21"/>
              </w:rPr>
              <w:t>3</w:t>
            </w:r>
            <w:r>
              <w:rPr>
                <w:szCs w:val="21"/>
              </w:rPr>
              <w:t>）技术实施保障措施内容科学合理；</w:t>
            </w:r>
            <w:r>
              <w:rPr>
                <w:szCs w:val="21"/>
              </w:rPr>
              <w:t xml:space="preserve"> </w:t>
            </w:r>
          </w:p>
          <w:p w:rsidR="0008573E" w:rsidRDefault="0008573E">
            <w:pPr>
              <w:wordWrap w:val="0"/>
              <w:divId w:val="1209686655"/>
              <w:rPr>
                <w:szCs w:val="21"/>
              </w:rPr>
            </w:pPr>
            <w:r>
              <w:rPr>
                <w:szCs w:val="21"/>
              </w:rPr>
              <w:t>（</w:t>
            </w:r>
            <w:r>
              <w:rPr>
                <w:szCs w:val="21"/>
              </w:rPr>
              <w:t>4</w:t>
            </w:r>
            <w:r>
              <w:rPr>
                <w:szCs w:val="21"/>
              </w:rPr>
              <w:t>）技术实施保障措施内容针对性强；</w:t>
            </w:r>
            <w:r>
              <w:rPr>
                <w:szCs w:val="21"/>
              </w:rPr>
              <w:t xml:space="preserve"> </w:t>
            </w:r>
          </w:p>
          <w:p w:rsidR="0008573E" w:rsidRDefault="0008573E">
            <w:pPr>
              <w:wordWrap w:val="0"/>
              <w:divId w:val="1546719491"/>
              <w:rPr>
                <w:szCs w:val="21"/>
              </w:rPr>
            </w:pPr>
            <w:r>
              <w:rPr>
                <w:szCs w:val="21"/>
              </w:rPr>
              <w:t>（</w:t>
            </w:r>
            <w:r>
              <w:rPr>
                <w:szCs w:val="21"/>
              </w:rPr>
              <w:t>5</w:t>
            </w:r>
            <w:r>
              <w:rPr>
                <w:szCs w:val="21"/>
              </w:rPr>
              <w:t>）技术实施保障措施内容可操作性强。</w:t>
            </w:r>
            <w:r>
              <w:rPr>
                <w:szCs w:val="21"/>
              </w:rPr>
              <w:t xml:space="preserve"> </w:t>
            </w:r>
          </w:p>
          <w:p w:rsidR="0008573E" w:rsidRDefault="0008573E">
            <w:pPr>
              <w:wordWrap w:val="0"/>
              <w:divId w:val="1006052261"/>
              <w:rPr>
                <w:szCs w:val="21"/>
              </w:rPr>
            </w:pPr>
            <w:r>
              <w:rPr>
                <w:szCs w:val="21"/>
              </w:rPr>
              <w:t>优评分标准：</w:t>
            </w:r>
            <w:r>
              <w:rPr>
                <w:szCs w:val="21"/>
              </w:rPr>
              <w:t xml:space="preserve"> </w:t>
            </w:r>
            <w:r>
              <w:rPr>
                <w:szCs w:val="21"/>
              </w:rPr>
              <w:t>满足以上五项要求的评价为优，得</w:t>
            </w:r>
            <w:r>
              <w:rPr>
                <w:szCs w:val="21"/>
              </w:rPr>
              <w:t>100</w:t>
            </w:r>
            <w:r>
              <w:rPr>
                <w:szCs w:val="21"/>
              </w:rPr>
              <w:t>分；</w:t>
            </w:r>
            <w:r>
              <w:rPr>
                <w:szCs w:val="21"/>
              </w:rPr>
              <w:t xml:space="preserve"> </w:t>
            </w:r>
          </w:p>
          <w:p w:rsidR="0008573E" w:rsidRDefault="0008573E">
            <w:pPr>
              <w:wordWrap w:val="0"/>
              <w:divId w:val="2071416248"/>
              <w:rPr>
                <w:szCs w:val="21"/>
              </w:rPr>
            </w:pPr>
            <w:r>
              <w:rPr>
                <w:szCs w:val="21"/>
              </w:rPr>
              <w:t>良评分标准：满足以上四项要求的评价为良，</w:t>
            </w:r>
            <w:r>
              <w:rPr>
                <w:szCs w:val="21"/>
              </w:rPr>
              <w:t xml:space="preserve"> </w:t>
            </w:r>
            <w:r>
              <w:rPr>
                <w:szCs w:val="21"/>
              </w:rPr>
              <w:t>得</w:t>
            </w:r>
            <w:r>
              <w:rPr>
                <w:szCs w:val="21"/>
              </w:rPr>
              <w:t>80</w:t>
            </w:r>
            <w:r>
              <w:rPr>
                <w:szCs w:val="21"/>
              </w:rPr>
              <w:t>分；</w:t>
            </w:r>
            <w:r>
              <w:rPr>
                <w:szCs w:val="21"/>
              </w:rPr>
              <w:t xml:space="preserve"> </w:t>
            </w:r>
          </w:p>
          <w:p w:rsidR="0008573E" w:rsidRDefault="0008573E">
            <w:pPr>
              <w:wordWrap w:val="0"/>
              <w:divId w:val="707070082"/>
              <w:rPr>
                <w:szCs w:val="21"/>
              </w:rPr>
            </w:pPr>
            <w:r>
              <w:rPr>
                <w:szCs w:val="21"/>
              </w:rPr>
              <w:t>中评分标准：满足以上三项要求的评价为中，得</w:t>
            </w:r>
            <w:r>
              <w:rPr>
                <w:szCs w:val="21"/>
              </w:rPr>
              <w:t xml:space="preserve"> 60</w:t>
            </w:r>
            <w:r>
              <w:rPr>
                <w:szCs w:val="21"/>
              </w:rPr>
              <w:t>分；</w:t>
            </w:r>
            <w:r>
              <w:rPr>
                <w:szCs w:val="21"/>
              </w:rPr>
              <w:t xml:space="preserve"> </w:t>
            </w:r>
          </w:p>
          <w:p w:rsidR="0008573E" w:rsidRDefault="0008573E">
            <w:pPr>
              <w:wordWrap w:val="0"/>
              <w:divId w:val="1889680351"/>
              <w:rPr>
                <w:szCs w:val="21"/>
              </w:rPr>
            </w:pPr>
            <w:r>
              <w:rPr>
                <w:szCs w:val="21"/>
              </w:rPr>
              <w:t>合格评分标准：满足以上二项要求的评价为中，得</w:t>
            </w:r>
            <w:r>
              <w:rPr>
                <w:szCs w:val="21"/>
              </w:rPr>
              <w:t xml:space="preserve"> 20</w:t>
            </w:r>
            <w:r>
              <w:rPr>
                <w:szCs w:val="21"/>
              </w:rPr>
              <w:t>分；</w:t>
            </w:r>
            <w:r>
              <w:rPr>
                <w:szCs w:val="21"/>
              </w:rPr>
              <w:t xml:space="preserve"> </w:t>
            </w:r>
          </w:p>
          <w:p w:rsidR="0008573E" w:rsidRDefault="0008573E">
            <w:pPr>
              <w:wordWrap w:val="0"/>
              <w:divId w:val="1884292554"/>
              <w:rPr>
                <w:rFonts w:ascii="宋体" w:hAnsi="宋体" w:cs="宋体"/>
                <w:szCs w:val="21"/>
              </w:rPr>
            </w:pPr>
            <w:r>
              <w:rPr>
                <w:szCs w:val="21"/>
              </w:rPr>
              <w:t>差评分标准：上述情况之外的评差，得</w:t>
            </w:r>
            <w:r>
              <w:rPr>
                <w:szCs w:val="21"/>
              </w:rPr>
              <w:t xml:space="preserve"> 0 </w:t>
            </w:r>
            <w:r>
              <w:rPr>
                <w:szCs w:val="21"/>
              </w:rPr>
              <w:t>分。</w:t>
            </w:r>
          </w:p>
        </w:tc>
      </w:tr>
    </w:tbl>
    <w:p w:rsidR="0008573E" w:rsidRDefault="0008573E">
      <w:pPr>
        <w:pStyle w:val="af3"/>
        <w:jc w:val="center"/>
        <w:outlineLvl w:val="1"/>
        <w:divId w:val="237786446"/>
        <w:rPr>
          <w:rFonts w:ascii="黑体" w:eastAsia="黑体" w:hAnsi="黑体" w:hint="eastAsia"/>
          <w:sz w:val="40"/>
          <w:szCs w:val="40"/>
        </w:rPr>
      </w:pPr>
      <w:r>
        <w:rPr>
          <w:rFonts w:ascii="黑体" w:eastAsia="黑体" w:hAnsi="黑体" w:hint="eastAsia"/>
          <w:sz w:val="40"/>
          <w:szCs w:val="40"/>
        </w:rPr>
        <w:lastRenderedPageBreak/>
        <w:t>投标书目录</w:t>
      </w:r>
    </w:p>
    <w:tbl>
      <w:tblPr>
        <w:tblW w:w="9072" w:type="dxa"/>
        <w:jc w:val="center"/>
        <w:tblCellSpacing w:w="0" w:type="dxa"/>
        <w:tblCellMar>
          <w:top w:w="45" w:type="dxa"/>
          <w:left w:w="45" w:type="dxa"/>
          <w:bottom w:w="45" w:type="dxa"/>
          <w:right w:w="45" w:type="dxa"/>
        </w:tblCellMar>
        <w:tblLook w:val="04A0" w:firstRow="1" w:lastRow="0" w:firstColumn="1" w:lastColumn="0" w:noHBand="0" w:noVBand="1"/>
      </w:tblPr>
      <w:tblGrid>
        <w:gridCol w:w="9072"/>
      </w:tblGrid>
      <w:tr w:rsidR="0008573E">
        <w:trPr>
          <w:divId w:val="237786446"/>
          <w:tblCellSpacing w:w="0" w:type="dxa"/>
          <w:jc w:val="center"/>
        </w:trPr>
        <w:tc>
          <w:tcPr>
            <w:tcW w:w="0" w:type="auto"/>
            <w:vAlign w:val="center"/>
            <w:hideMark/>
          </w:tcPr>
          <w:p w:rsidR="0008573E" w:rsidRDefault="0008573E" w:rsidP="0008573E">
            <w:pPr>
              <w:widowControl/>
              <w:numPr>
                <w:ilvl w:val="0"/>
                <w:numId w:val="14"/>
              </w:numPr>
              <w:spacing w:before="100" w:beforeAutospacing="1" w:after="100" w:afterAutospacing="1"/>
              <w:jc w:val="left"/>
              <w:rPr>
                <w:szCs w:val="21"/>
              </w:rPr>
            </w:pPr>
            <w:r>
              <w:rPr>
                <w:szCs w:val="21"/>
              </w:rPr>
              <w:t>投标函</w:t>
            </w:r>
          </w:p>
          <w:p w:rsidR="0008573E" w:rsidRDefault="0008573E" w:rsidP="0008573E">
            <w:pPr>
              <w:widowControl/>
              <w:numPr>
                <w:ilvl w:val="0"/>
                <w:numId w:val="14"/>
              </w:numPr>
              <w:spacing w:before="100" w:beforeAutospacing="1" w:after="100" w:afterAutospacing="1"/>
              <w:jc w:val="left"/>
              <w:rPr>
                <w:szCs w:val="21"/>
              </w:rPr>
            </w:pPr>
            <w:r>
              <w:rPr>
                <w:szCs w:val="21"/>
              </w:rPr>
              <w:t>政府采购投标及履约承诺函</w:t>
            </w:r>
          </w:p>
          <w:p w:rsidR="0008573E" w:rsidRDefault="0008573E" w:rsidP="0008573E">
            <w:pPr>
              <w:widowControl/>
              <w:numPr>
                <w:ilvl w:val="0"/>
                <w:numId w:val="14"/>
              </w:numPr>
              <w:spacing w:before="100" w:beforeAutospacing="1" w:after="100" w:afterAutospacing="1"/>
              <w:jc w:val="left"/>
              <w:rPr>
                <w:szCs w:val="21"/>
              </w:rPr>
            </w:pPr>
            <w:r>
              <w:rPr>
                <w:szCs w:val="21"/>
              </w:rPr>
              <w:t>分项报价清单</w:t>
            </w:r>
          </w:p>
          <w:p w:rsidR="0008573E" w:rsidRDefault="0008573E" w:rsidP="0008573E">
            <w:pPr>
              <w:widowControl/>
              <w:numPr>
                <w:ilvl w:val="0"/>
                <w:numId w:val="14"/>
              </w:numPr>
              <w:spacing w:before="100" w:beforeAutospacing="1" w:after="100" w:afterAutospacing="1"/>
              <w:jc w:val="left"/>
              <w:rPr>
                <w:szCs w:val="21"/>
              </w:rPr>
            </w:pPr>
            <w:r>
              <w:rPr>
                <w:szCs w:val="21"/>
              </w:rPr>
              <w:t>投标人情况介绍</w:t>
            </w:r>
          </w:p>
          <w:p w:rsidR="0008573E" w:rsidRDefault="0008573E" w:rsidP="0008573E">
            <w:pPr>
              <w:widowControl/>
              <w:numPr>
                <w:ilvl w:val="0"/>
                <w:numId w:val="14"/>
              </w:numPr>
              <w:spacing w:before="100" w:beforeAutospacing="1" w:after="100" w:afterAutospacing="1"/>
              <w:jc w:val="left"/>
              <w:rPr>
                <w:szCs w:val="21"/>
              </w:rPr>
            </w:pPr>
            <w:r>
              <w:rPr>
                <w:szCs w:val="21"/>
              </w:rPr>
              <w:t>货物说明一览表</w:t>
            </w:r>
          </w:p>
          <w:p w:rsidR="0008573E" w:rsidRDefault="0008573E" w:rsidP="0008573E">
            <w:pPr>
              <w:widowControl/>
              <w:numPr>
                <w:ilvl w:val="0"/>
                <w:numId w:val="14"/>
              </w:numPr>
              <w:spacing w:before="100" w:beforeAutospacing="1" w:after="100" w:afterAutospacing="1"/>
              <w:jc w:val="left"/>
              <w:rPr>
                <w:szCs w:val="21"/>
              </w:rPr>
            </w:pPr>
            <w:r>
              <w:rPr>
                <w:szCs w:val="21"/>
              </w:rPr>
              <w:t>技术规格偏离表</w:t>
            </w:r>
          </w:p>
          <w:p w:rsidR="0008573E" w:rsidRDefault="0008573E" w:rsidP="0008573E">
            <w:pPr>
              <w:widowControl/>
              <w:numPr>
                <w:ilvl w:val="0"/>
                <w:numId w:val="14"/>
              </w:numPr>
              <w:spacing w:before="100" w:beforeAutospacing="1" w:after="100" w:afterAutospacing="1"/>
              <w:jc w:val="left"/>
              <w:rPr>
                <w:szCs w:val="21"/>
              </w:rPr>
            </w:pPr>
            <w:r>
              <w:rPr>
                <w:szCs w:val="21"/>
              </w:rPr>
              <w:t>商务需求偏离表</w:t>
            </w:r>
          </w:p>
          <w:p w:rsidR="0008573E" w:rsidRDefault="0008573E" w:rsidP="0008573E">
            <w:pPr>
              <w:widowControl/>
              <w:numPr>
                <w:ilvl w:val="0"/>
                <w:numId w:val="14"/>
              </w:numPr>
              <w:spacing w:before="100" w:beforeAutospacing="1" w:after="100" w:afterAutospacing="1"/>
              <w:jc w:val="left"/>
              <w:rPr>
                <w:szCs w:val="21"/>
              </w:rPr>
            </w:pPr>
            <w:r>
              <w:rPr>
                <w:szCs w:val="21"/>
              </w:rPr>
              <w:t>企业实力（格式自拟）</w:t>
            </w:r>
          </w:p>
          <w:p w:rsidR="0008573E" w:rsidRDefault="0008573E" w:rsidP="0008573E">
            <w:pPr>
              <w:widowControl/>
              <w:numPr>
                <w:ilvl w:val="0"/>
                <w:numId w:val="14"/>
              </w:numPr>
              <w:spacing w:before="100" w:beforeAutospacing="1" w:after="100" w:afterAutospacing="1"/>
              <w:jc w:val="left"/>
              <w:rPr>
                <w:szCs w:val="21"/>
              </w:rPr>
            </w:pPr>
            <w:r>
              <w:rPr>
                <w:szCs w:val="21"/>
              </w:rPr>
              <w:t>企业荣誉（格式自拟）</w:t>
            </w:r>
          </w:p>
          <w:p w:rsidR="0008573E" w:rsidRDefault="0008573E" w:rsidP="0008573E">
            <w:pPr>
              <w:widowControl/>
              <w:numPr>
                <w:ilvl w:val="0"/>
                <w:numId w:val="14"/>
              </w:numPr>
              <w:spacing w:before="100" w:beforeAutospacing="1" w:after="100" w:afterAutospacing="1"/>
              <w:jc w:val="left"/>
              <w:rPr>
                <w:szCs w:val="21"/>
              </w:rPr>
            </w:pPr>
            <w:r>
              <w:rPr>
                <w:szCs w:val="21"/>
              </w:rPr>
              <w:t>业绩经验（格式自拟）</w:t>
            </w:r>
          </w:p>
          <w:p w:rsidR="0008573E" w:rsidRDefault="0008573E" w:rsidP="0008573E">
            <w:pPr>
              <w:widowControl/>
              <w:numPr>
                <w:ilvl w:val="0"/>
                <w:numId w:val="14"/>
              </w:numPr>
              <w:spacing w:before="100" w:beforeAutospacing="1" w:after="100" w:afterAutospacing="1"/>
              <w:jc w:val="left"/>
              <w:rPr>
                <w:szCs w:val="21"/>
              </w:rPr>
            </w:pPr>
            <w:r>
              <w:rPr>
                <w:szCs w:val="21"/>
              </w:rPr>
              <w:t>售后服务能力及便利性（格式自拟）</w:t>
            </w:r>
          </w:p>
          <w:p w:rsidR="0008573E" w:rsidRDefault="0008573E" w:rsidP="0008573E">
            <w:pPr>
              <w:widowControl/>
              <w:numPr>
                <w:ilvl w:val="0"/>
                <w:numId w:val="14"/>
              </w:numPr>
              <w:spacing w:before="100" w:beforeAutospacing="1" w:after="100" w:afterAutospacing="1"/>
              <w:jc w:val="left"/>
              <w:rPr>
                <w:rFonts w:ascii="宋体" w:hAnsi="宋体" w:cs="宋体"/>
                <w:szCs w:val="21"/>
              </w:rPr>
            </w:pPr>
            <w:r>
              <w:rPr>
                <w:szCs w:val="21"/>
              </w:rPr>
              <w:t>投标人认为需要加以说明的其他内容</w:t>
            </w:r>
          </w:p>
        </w:tc>
      </w:tr>
    </w:tbl>
    <w:p w:rsidR="0008573E" w:rsidRDefault="0008573E">
      <w:pPr>
        <w:divId w:val="237786446"/>
        <w:rPr>
          <w:rFonts w:ascii="宋体" w:hAnsi="宋体" w:hint="eastAsia"/>
          <w:sz w:val="24"/>
        </w:rPr>
      </w:pPr>
    </w:p>
    <w:p w:rsidR="0008573E" w:rsidRPr="0008573E" w:rsidRDefault="0008573E" w:rsidP="0008573E">
      <w:pPr>
        <w:sectPr w:rsidR="0008573E" w:rsidRPr="0008573E" w:rsidSect="0008573E">
          <w:footerReference w:type="even" r:id="rId10"/>
          <w:footerReference w:type="default" r:id="rId11"/>
          <w:headerReference w:type="first" r:id="rId12"/>
          <w:pgSz w:w="11907" w:h="16840"/>
          <w:pgMar w:top="1440" w:right="1417" w:bottom="1440" w:left="1417" w:header="851" w:footer="992" w:gutter="0"/>
          <w:cols w:space="425"/>
          <w:titlePg/>
          <w:docGrid w:linePitch="462"/>
        </w:sectPr>
      </w:pPr>
      <w:bookmarkStart w:id="0" w:name="_GoBack"/>
      <w:bookmarkEnd w:id="0"/>
    </w:p>
    <w:p w:rsidR="00C54C61" w:rsidRDefault="00C54C61">
      <w:pPr>
        <w:spacing w:line="360" w:lineRule="auto"/>
        <w:contextualSpacing/>
      </w:pPr>
    </w:p>
    <w:p w:rsidR="00C54C61" w:rsidRDefault="00BF3A17">
      <w:pPr>
        <w:spacing w:line="360" w:lineRule="auto"/>
        <w:contextualSpacing/>
        <w:jc w:val="center"/>
        <w:rPr>
          <w:b/>
          <w:sz w:val="120"/>
          <w:szCs w:val="120"/>
        </w:rPr>
      </w:pPr>
      <w:r>
        <w:rPr>
          <w:rFonts w:hint="eastAsia"/>
          <w:b/>
          <w:sz w:val="120"/>
          <w:szCs w:val="120"/>
        </w:rPr>
        <w:t>政府采购</w:t>
      </w:r>
    </w:p>
    <w:p w:rsidR="00C54C61" w:rsidRDefault="00BF3A17">
      <w:pPr>
        <w:spacing w:line="360" w:lineRule="auto"/>
        <w:contextualSpacing/>
        <w:jc w:val="center"/>
        <w:rPr>
          <w:b/>
          <w:sz w:val="120"/>
          <w:szCs w:val="120"/>
        </w:rPr>
      </w:pPr>
      <w:r>
        <w:rPr>
          <w:rFonts w:hint="eastAsia"/>
          <w:b/>
          <w:sz w:val="120"/>
          <w:szCs w:val="120"/>
        </w:rPr>
        <w:t>招标文件</w:t>
      </w:r>
    </w:p>
    <w:p w:rsidR="00C54C61" w:rsidRDefault="00BF3A17">
      <w:pPr>
        <w:spacing w:line="360" w:lineRule="auto"/>
        <w:contextualSpacing/>
        <w:jc w:val="center"/>
        <w:rPr>
          <w:b/>
          <w:sz w:val="52"/>
          <w:szCs w:val="52"/>
        </w:rPr>
      </w:pPr>
      <w:r>
        <w:rPr>
          <w:rFonts w:hint="eastAsia"/>
          <w:b/>
          <w:sz w:val="52"/>
          <w:szCs w:val="52"/>
        </w:rPr>
        <w:t>（通用货物类）</w:t>
      </w: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BF3A17">
      <w:pPr>
        <w:spacing w:line="360" w:lineRule="auto"/>
        <w:contextualSpacing/>
        <w:jc w:val="center"/>
        <w:rPr>
          <w:b/>
          <w:sz w:val="44"/>
          <w:szCs w:val="44"/>
        </w:rPr>
      </w:pPr>
      <w:r>
        <w:rPr>
          <w:rFonts w:hint="eastAsia"/>
          <w:b/>
          <w:sz w:val="44"/>
          <w:szCs w:val="44"/>
        </w:rPr>
        <w:t>中</w:t>
      </w:r>
      <w:r>
        <w:rPr>
          <w:rFonts w:ascii="宋体" w:hAnsi="宋体" w:hint="eastAsia"/>
          <w:b/>
          <w:sz w:val="44"/>
          <w:szCs w:val="44"/>
        </w:rPr>
        <w:t>国·</w:t>
      </w:r>
      <w:r>
        <w:rPr>
          <w:rFonts w:hint="eastAsia"/>
          <w:b/>
          <w:sz w:val="44"/>
          <w:szCs w:val="44"/>
        </w:rPr>
        <w:t>深圳</w:t>
      </w:r>
    </w:p>
    <w:p w:rsidR="00C54C61" w:rsidRDefault="00C54C61">
      <w:pPr>
        <w:spacing w:line="360" w:lineRule="auto"/>
        <w:contextualSpacing/>
        <w:jc w:val="center"/>
      </w:pPr>
    </w:p>
    <w:p w:rsidR="00C54C61" w:rsidRDefault="00C54C61">
      <w:pPr>
        <w:spacing w:line="360" w:lineRule="auto"/>
        <w:contextualSpacing/>
        <w:jc w:val="center"/>
      </w:pPr>
    </w:p>
    <w:p w:rsidR="00C54C61" w:rsidRDefault="00C54C61">
      <w:pPr>
        <w:spacing w:line="360" w:lineRule="auto"/>
        <w:contextualSpacing/>
        <w:jc w:val="center"/>
      </w:pPr>
    </w:p>
    <w:p w:rsidR="00C54C61" w:rsidRDefault="00C54C61">
      <w:pPr>
        <w:spacing w:line="360" w:lineRule="auto"/>
        <w:contextualSpacing/>
      </w:pPr>
    </w:p>
    <w:p w:rsidR="00C54C61" w:rsidRDefault="00C54C61">
      <w:pPr>
        <w:spacing w:line="360" w:lineRule="auto"/>
        <w:contextualSpacing/>
        <w:jc w:val="center"/>
      </w:pPr>
    </w:p>
    <w:p w:rsidR="00C54C61" w:rsidRDefault="00C54C61">
      <w:pPr>
        <w:spacing w:line="360" w:lineRule="auto"/>
        <w:contextualSpacing/>
        <w:jc w:val="center"/>
      </w:pPr>
    </w:p>
    <w:p w:rsidR="00C54C61" w:rsidRDefault="00C54C61">
      <w:pPr>
        <w:spacing w:line="360" w:lineRule="auto"/>
        <w:contextualSpacing/>
        <w:jc w:val="center"/>
      </w:pPr>
    </w:p>
    <w:p w:rsidR="00C54C61" w:rsidRDefault="00BF3A17">
      <w:pPr>
        <w:spacing w:line="360" w:lineRule="auto"/>
        <w:contextualSpacing/>
        <w:jc w:val="center"/>
        <w:rPr>
          <w:sz w:val="28"/>
          <w:szCs w:val="28"/>
        </w:rPr>
      </w:pPr>
      <w:r>
        <w:rPr>
          <w:rFonts w:hint="eastAsia"/>
          <w:sz w:val="28"/>
          <w:szCs w:val="28"/>
        </w:rPr>
        <w:t>（</w:t>
      </w:r>
      <w:r>
        <w:rPr>
          <w:sz w:val="28"/>
          <w:szCs w:val="28"/>
        </w:rPr>
        <w:t>20</w:t>
      </w:r>
      <w:r>
        <w:rPr>
          <w:rFonts w:hint="eastAsia"/>
          <w:sz w:val="28"/>
          <w:szCs w:val="28"/>
        </w:rPr>
        <w:t>21</w:t>
      </w:r>
      <w:r>
        <w:rPr>
          <w:rFonts w:hint="eastAsia"/>
          <w:sz w:val="28"/>
          <w:szCs w:val="28"/>
        </w:rPr>
        <w:t>）</w:t>
      </w:r>
    </w:p>
    <w:p w:rsidR="00C54C61" w:rsidRDefault="00BF3A17">
      <w:pPr>
        <w:spacing w:line="360" w:lineRule="auto"/>
        <w:contextualSpacing/>
        <w:rPr>
          <w:color w:val="FF0000"/>
        </w:rPr>
      </w:pPr>
      <w:r>
        <w:rPr>
          <w:rFonts w:hint="eastAsia"/>
          <w:color w:val="FF0000"/>
        </w:rPr>
        <w:lastRenderedPageBreak/>
        <w:t>警示条款</w:t>
      </w: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（一）在采购活动中应当回避而未回避的；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（二）未按本条例规定签订、履行采购合同，造成严重后果的；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（三）隐瞒真实情况，提供虚假资料的；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（四）以非法手段排斥其他供应商参与竞争的；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（五）与其他采购参加人串通投标的；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（六）恶意投诉的；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（七）向采购项目相关人行贿或者提供其他不当利益的；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（八）阻碍、抗拒主管部门监督检查的；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（九）其他违反本条例规定的行为。</w:t>
      </w:r>
    </w:p>
    <w:p w:rsidR="00C54C61" w:rsidRDefault="00C54C61">
      <w:pPr>
        <w:spacing w:line="360" w:lineRule="auto"/>
        <w:ind w:firstLineChars="200" w:firstLine="640"/>
        <w:contextualSpacing/>
        <w:rPr>
          <w:rFonts w:ascii="宋体" w:hAnsi="宋体"/>
          <w:color w:val="FF0000"/>
          <w:sz w:val="32"/>
          <w:szCs w:val="32"/>
        </w:rPr>
      </w:pPr>
    </w:p>
    <w:p w:rsidR="00C54C61" w:rsidRDefault="00BF3A17">
      <w:pPr>
        <w:spacing w:line="360" w:lineRule="auto"/>
        <w:ind w:firstLineChars="200" w:firstLine="640"/>
        <w:contextualSpacing/>
        <w:rPr>
          <w:rFonts w:ascii="宋体" w:hAnsi="宋体"/>
          <w:color w:val="FF0000"/>
          <w:sz w:val="32"/>
          <w:szCs w:val="32"/>
        </w:rPr>
      </w:pPr>
      <w:r>
        <w:rPr>
          <w:rFonts w:ascii="宋体" w:hAnsi="宋体" w:hint="eastAsia"/>
          <w:color w:val="FF0000"/>
          <w:sz w:val="32"/>
          <w:szCs w:val="32"/>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rsidR="00C54C61" w:rsidRDefault="00BF3A17">
      <w:pPr>
        <w:spacing w:line="360" w:lineRule="auto"/>
        <w:ind w:firstLineChars="200" w:firstLine="640"/>
        <w:contextualSpacing/>
        <w:rPr>
          <w:rFonts w:ascii="宋体" w:hAnsi="宋体"/>
          <w:color w:val="FF0000"/>
          <w:sz w:val="32"/>
          <w:szCs w:val="32"/>
        </w:rPr>
      </w:pPr>
      <w:r>
        <w:rPr>
          <w:rFonts w:ascii="宋体" w:hAnsi="宋体"/>
          <w:color w:val="FF0000"/>
          <w:sz w:val="32"/>
          <w:szCs w:val="32"/>
        </w:rPr>
        <w:t>（一）投标截止后，撤销投标的；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color w:val="FF0000"/>
          <w:sz w:val="32"/>
          <w:szCs w:val="32"/>
        </w:rPr>
        <w:t>（二）中标后无正当理由未在规定期限内签订合同的；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color w:val="FF0000"/>
          <w:sz w:val="32"/>
          <w:szCs w:val="32"/>
        </w:rPr>
        <w:t>（三）将中标项目转让给他人、或者在投标文件中未说明且未经采购人、采购招标机构同意，将中标项目分包给他人的；</w:t>
      </w:r>
    </w:p>
    <w:p w:rsidR="00C54C61" w:rsidRDefault="00BF3A17">
      <w:pPr>
        <w:spacing w:line="360" w:lineRule="auto"/>
        <w:ind w:firstLineChars="200" w:firstLine="640"/>
        <w:contextualSpacing/>
        <w:rPr>
          <w:rFonts w:ascii="宋体" w:hAnsi="宋体"/>
          <w:color w:val="FF0000"/>
          <w:sz w:val="32"/>
          <w:szCs w:val="32"/>
        </w:rPr>
      </w:pPr>
      <w:r>
        <w:rPr>
          <w:rFonts w:ascii="宋体" w:hAnsi="宋体"/>
          <w:color w:val="FF0000"/>
          <w:sz w:val="32"/>
          <w:szCs w:val="32"/>
        </w:rPr>
        <w:t>（四）拒绝履行合同义务的</w:t>
      </w:r>
      <w:r>
        <w:rPr>
          <w:rFonts w:ascii="宋体" w:hAnsi="宋体" w:hint="eastAsia"/>
          <w:color w:val="FF0000"/>
          <w:sz w:val="32"/>
          <w:szCs w:val="32"/>
        </w:rPr>
        <w:t>。</w:t>
      </w:r>
    </w:p>
    <w:p w:rsidR="00C54C61" w:rsidRDefault="00C54C61">
      <w:pPr>
        <w:pStyle w:val="a4"/>
      </w:pPr>
    </w:p>
    <w:p w:rsidR="00C54C61" w:rsidRDefault="00C54C61"/>
    <w:p w:rsidR="00C54C61" w:rsidRDefault="00BF3A17">
      <w:pPr>
        <w:pStyle w:val="10"/>
        <w:spacing w:before="0" w:after="0"/>
        <w:contextualSpacing/>
      </w:pPr>
      <w:r>
        <w:rPr>
          <w:rFonts w:hint="eastAsia"/>
        </w:rPr>
        <w:t>关键信息</w:t>
      </w:r>
    </w:p>
    <w:p w:rsidR="00C54C61" w:rsidRDefault="00BF3A17">
      <w:pPr>
        <w:pStyle w:val="2"/>
        <w:spacing w:before="0" w:after="0" w:line="360" w:lineRule="auto"/>
        <w:contextualSpacing/>
      </w:pPr>
      <w:r>
        <w:rPr>
          <w:rFonts w:hint="eastAsia"/>
        </w:rPr>
        <w:t>项目信息</w:t>
      </w:r>
    </w:p>
    <w:p w:rsidR="00C54C61" w:rsidRDefault="00BF3A17">
      <w:pPr>
        <w:spacing w:line="360" w:lineRule="auto"/>
        <w:contextualSpacing/>
        <w:rPr>
          <w:rFonts w:ascii="宋体" w:hAnsi="宋体"/>
          <w:sz w:val="32"/>
        </w:rPr>
      </w:pPr>
      <w:r>
        <w:rPr>
          <w:rFonts w:ascii="宋体" w:hAnsi="宋体"/>
          <w:sz w:val="32"/>
        </w:rPr>
        <w:t xml:space="preserve">      项目编号：  </w:t>
      </w:r>
      <w:r>
        <w:rPr>
          <w:rFonts w:ascii="宋体" w:hAnsi="宋体" w:hint="eastAsia"/>
          <w:sz w:val="32"/>
        </w:rPr>
        <w:t xml:space="preserve"> </w:t>
      </w:r>
      <w:r>
        <w:rPr>
          <w:rFonts w:ascii="宋体" w:hAnsi="宋体"/>
          <w:sz w:val="32"/>
        </w:rPr>
        <w:t>NSDL2021196504</w:t>
      </w:r>
    </w:p>
    <w:p w:rsidR="00C54C61" w:rsidRDefault="00BF3A17">
      <w:pPr>
        <w:spacing w:line="360" w:lineRule="auto"/>
        <w:ind w:left="2880" w:hangingChars="900" w:hanging="2880"/>
        <w:contextualSpacing/>
        <w:rPr>
          <w:rFonts w:ascii="宋体" w:hAnsi="宋体"/>
          <w:sz w:val="32"/>
        </w:rPr>
      </w:pPr>
      <w:r>
        <w:rPr>
          <w:rFonts w:ascii="宋体" w:hAnsi="宋体"/>
          <w:sz w:val="32"/>
        </w:rPr>
        <w:t xml:space="preserve">      项目名称：  </w:t>
      </w:r>
      <w:r>
        <w:rPr>
          <w:rFonts w:ascii="宋体" w:hAnsi="宋体" w:hint="eastAsia"/>
          <w:sz w:val="32"/>
        </w:rPr>
        <w:t>深圳市第十届运动会南山区代表团团服采购项目</w:t>
      </w:r>
    </w:p>
    <w:p w:rsidR="00C54C61" w:rsidRDefault="00BF3A17">
      <w:pPr>
        <w:spacing w:line="360" w:lineRule="auto"/>
        <w:contextualSpacing/>
        <w:rPr>
          <w:rFonts w:ascii="宋体" w:hAnsi="宋体"/>
          <w:sz w:val="32"/>
        </w:rPr>
      </w:pPr>
      <w:r>
        <w:rPr>
          <w:rFonts w:ascii="宋体" w:hAnsi="宋体"/>
          <w:sz w:val="32"/>
        </w:rPr>
        <w:t xml:space="preserve">      包   号：   </w:t>
      </w:r>
      <w:r>
        <w:rPr>
          <w:rFonts w:ascii="宋体" w:hAnsi="宋体" w:hint="eastAsia"/>
          <w:sz w:val="32"/>
        </w:rPr>
        <w:t>A</w:t>
      </w:r>
    </w:p>
    <w:p w:rsidR="00C54C61" w:rsidRDefault="00BF3A17">
      <w:pPr>
        <w:spacing w:line="360" w:lineRule="auto"/>
        <w:contextualSpacing/>
        <w:rPr>
          <w:rFonts w:ascii="宋体" w:hAnsi="宋体"/>
          <w:sz w:val="32"/>
        </w:rPr>
      </w:pPr>
      <w:r>
        <w:rPr>
          <w:rFonts w:ascii="宋体" w:hAnsi="宋体"/>
          <w:sz w:val="32"/>
        </w:rPr>
        <w:t xml:space="preserve">      项目类型：  </w:t>
      </w:r>
      <w:r>
        <w:rPr>
          <w:rFonts w:ascii="宋体" w:hAnsi="宋体" w:hint="eastAsia"/>
          <w:sz w:val="32"/>
        </w:rPr>
        <w:t>货物</w:t>
      </w:r>
      <w:r>
        <w:rPr>
          <w:rFonts w:ascii="宋体" w:hAnsi="宋体"/>
          <w:sz w:val="32"/>
        </w:rPr>
        <w:t>类</w:t>
      </w:r>
    </w:p>
    <w:p w:rsidR="00C54C61" w:rsidRDefault="00BF3A17">
      <w:pPr>
        <w:spacing w:line="360" w:lineRule="auto"/>
        <w:contextualSpacing/>
        <w:rPr>
          <w:rFonts w:ascii="宋体" w:hAnsi="宋体"/>
          <w:sz w:val="32"/>
        </w:rPr>
      </w:pPr>
      <w:r>
        <w:rPr>
          <w:rFonts w:ascii="宋体" w:hAnsi="宋体"/>
          <w:sz w:val="32"/>
        </w:rPr>
        <w:t xml:space="preserve">      采购方式：  公开招标</w:t>
      </w:r>
    </w:p>
    <w:p w:rsidR="00C54C61" w:rsidRDefault="00BF3A17">
      <w:pPr>
        <w:spacing w:line="360" w:lineRule="auto"/>
        <w:contextualSpacing/>
        <w:rPr>
          <w:rFonts w:ascii="宋体" w:hAnsi="宋体"/>
          <w:sz w:val="32"/>
        </w:rPr>
      </w:pPr>
      <w:r>
        <w:rPr>
          <w:rFonts w:ascii="宋体" w:hAnsi="宋体"/>
          <w:sz w:val="32"/>
        </w:rPr>
        <w:t xml:space="preserve">      货币类型：  人民币</w:t>
      </w:r>
    </w:p>
    <w:p w:rsidR="00C54C61" w:rsidRDefault="00C54C61">
      <w:pPr>
        <w:spacing w:line="360" w:lineRule="auto"/>
        <w:contextualSpacing/>
        <w:rPr>
          <w:rFonts w:ascii="宋体" w:hAnsi="宋体"/>
          <w:sz w:val="32"/>
        </w:rPr>
      </w:pPr>
    </w:p>
    <w:p w:rsidR="00C54C61" w:rsidRDefault="00C54C61">
      <w:pPr>
        <w:pStyle w:val="a4"/>
      </w:pPr>
    </w:p>
    <w:p w:rsidR="00C54C61" w:rsidRDefault="00BF3A17">
      <w:pPr>
        <w:pStyle w:val="2"/>
        <w:spacing w:before="0" w:after="0" w:line="360" w:lineRule="auto"/>
        <w:contextualSpacing/>
        <w:rPr>
          <w:sz w:val="36"/>
        </w:rPr>
      </w:pPr>
      <w:r>
        <w:rPr>
          <w:rFonts w:hint="eastAsia"/>
          <w:sz w:val="36"/>
        </w:rPr>
        <w:t>投标文件初审表</w:t>
      </w:r>
    </w:p>
    <w:p w:rsidR="00C54C61" w:rsidRDefault="00BF3A17">
      <w:pPr>
        <w:spacing w:line="360" w:lineRule="auto"/>
        <w:contextualSpacing/>
        <w:jc w:val="center"/>
        <w:rPr>
          <w:b/>
        </w:rPr>
      </w:pPr>
      <w:r>
        <w:rPr>
          <w:rFonts w:hint="eastAsia"/>
          <w:b/>
        </w:rPr>
        <w:t>（凡有下列情形之一的，</w:t>
      </w:r>
      <w:r>
        <w:rPr>
          <w:rFonts w:hint="eastAsia"/>
          <w:b/>
          <w:color w:val="FF0000"/>
        </w:rPr>
        <w:t>初审不通过，投标无效</w:t>
      </w:r>
      <w:r>
        <w:rPr>
          <w:rFonts w:hint="eastAsia"/>
          <w:b/>
        </w:rPr>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7108"/>
      </w:tblGrid>
      <w:tr w:rsidR="00C54C61">
        <w:tc>
          <w:tcPr>
            <w:tcW w:w="8529" w:type="dxa"/>
            <w:gridSpan w:val="2"/>
          </w:tcPr>
          <w:p w:rsidR="00C54C61" w:rsidRDefault="00BF3A17">
            <w:pPr>
              <w:spacing w:line="360" w:lineRule="auto"/>
              <w:contextualSpacing/>
              <w:jc w:val="center"/>
            </w:pPr>
            <w:r>
              <w:rPr>
                <w:rFonts w:hint="eastAsia"/>
              </w:rPr>
              <w:t>资格性检查表</w:t>
            </w:r>
          </w:p>
        </w:tc>
      </w:tr>
      <w:tr w:rsidR="00C54C61">
        <w:tc>
          <w:tcPr>
            <w:tcW w:w="1421" w:type="dxa"/>
          </w:tcPr>
          <w:p w:rsidR="00C54C61" w:rsidRDefault="00BF3A17">
            <w:pPr>
              <w:spacing w:line="360" w:lineRule="auto"/>
              <w:contextualSpacing/>
            </w:pPr>
            <w:r>
              <w:t>1</w:t>
            </w:r>
          </w:p>
        </w:tc>
        <w:tc>
          <w:tcPr>
            <w:tcW w:w="7108" w:type="dxa"/>
          </w:tcPr>
          <w:p w:rsidR="00C54C61" w:rsidRDefault="00BF3A17">
            <w:pPr>
              <w:spacing w:line="360" w:lineRule="auto"/>
              <w:contextualSpacing/>
            </w:pPr>
            <w:r>
              <w:rPr>
                <w:rFonts w:hint="eastAsia"/>
              </w:rPr>
              <w:t>投标人不具备招标文件所列的资格要求，或未提交相应的资格证明资料（详见招标公告</w:t>
            </w:r>
            <w:r>
              <w:rPr>
                <w:rFonts w:hint="eastAsia"/>
              </w:rPr>
              <w:t xml:space="preserve"> </w:t>
            </w:r>
            <w:r>
              <w:rPr>
                <w:rFonts w:hint="eastAsia"/>
              </w:rPr>
              <w:t>投标人资格要求）；</w:t>
            </w:r>
          </w:p>
        </w:tc>
      </w:tr>
      <w:tr w:rsidR="00C54C61">
        <w:tc>
          <w:tcPr>
            <w:tcW w:w="8529" w:type="dxa"/>
            <w:gridSpan w:val="2"/>
          </w:tcPr>
          <w:p w:rsidR="00C54C61" w:rsidRDefault="00BF3A17">
            <w:pPr>
              <w:spacing w:line="360" w:lineRule="auto"/>
              <w:contextualSpacing/>
              <w:jc w:val="center"/>
            </w:pPr>
            <w:r>
              <w:rPr>
                <w:rFonts w:hint="eastAsia"/>
              </w:rPr>
              <w:t>符合性检查表</w:t>
            </w:r>
          </w:p>
        </w:tc>
      </w:tr>
      <w:tr w:rsidR="00C54C61">
        <w:tc>
          <w:tcPr>
            <w:tcW w:w="1421" w:type="dxa"/>
          </w:tcPr>
          <w:p w:rsidR="00C54C61" w:rsidRDefault="00BF3A17">
            <w:pPr>
              <w:spacing w:line="360" w:lineRule="auto"/>
              <w:contextualSpacing/>
            </w:pPr>
            <w:r>
              <w:rPr>
                <w:rFonts w:hint="eastAsia"/>
              </w:rPr>
              <w:t>1</w:t>
            </w:r>
          </w:p>
        </w:tc>
        <w:tc>
          <w:tcPr>
            <w:tcW w:w="7108" w:type="dxa"/>
          </w:tcPr>
          <w:p w:rsidR="00C54C61" w:rsidRDefault="00BF3A17">
            <w:pPr>
              <w:spacing w:line="360" w:lineRule="auto"/>
              <w:contextualSpacing/>
            </w:pPr>
            <w:r>
              <w:rPr>
                <w:rFonts w:hint="eastAsia"/>
              </w:rPr>
              <w:t>将一个包或一个标段的内容拆开投标；</w:t>
            </w:r>
          </w:p>
        </w:tc>
      </w:tr>
      <w:tr w:rsidR="00C54C61">
        <w:tc>
          <w:tcPr>
            <w:tcW w:w="1421" w:type="dxa"/>
          </w:tcPr>
          <w:p w:rsidR="00C54C61" w:rsidRDefault="00BF3A17">
            <w:pPr>
              <w:spacing w:line="360" w:lineRule="auto"/>
              <w:contextualSpacing/>
            </w:pPr>
            <w:r>
              <w:rPr>
                <w:rFonts w:hint="eastAsia"/>
              </w:rPr>
              <w:t>2</w:t>
            </w:r>
          </w:p>
        </w:tc>
        <w:tc>
          <w:tcPr>
            <w:tcW w:w="7108" w:type="dxa"/>
          </w:tcPr>
          <w:p w:rsidR="00C54C61" w:rsidRDefault="00BF3A17">
            <w:pPr>
              <w:spacing w:line="360" w:lineRule="auto"/>
              <w:contextualSpacing/>
            </w:pPr>
            <w:r>
              <w:rPr>
                <w:rFonts w:hint="eastAsia"/>
              </w:rPr>
              <w:t>对同一项目投标时，提供两套以上的投标方案（招标文件另有规定的除外）；</w:t>
            </w:r>
          </w:p>
        </w:tc>
      </w:tr>
      <w:tr w:rsidR="00C54C61">
        <w:tc>
          <w:tcPr>
            <w:tcW w:w="1421" w:type="dxa"/>
          </w:tcPr>
          <w:p w:rsidR="00C54C61" w:rsidRDefault="00BF3A17">
            <w:pPr>
              <w:spacing w:line="360" w:lineRule="auto"/>
              <w:contextualSpacing/>
            </w:pPr>
            <w:r>
              <w:rPr>
                <w:rFonts w:hint="eastAsia"/>
              </w:rPr>
              <w:t>3</w:t>
            </w:r>
          </w:p>
        </w:tc>
        <w:tc>
          <w:tcPr>
            <w:tcW w:w="7108" w:type="dxa"/>
          </w:tcPr>
          <w:p w:rsidR="00C54C61" w:rsidRDefault="00BF3A17">
            <w:pPr>
              <w:spacing w:line="360" w:lineRule="auto"/>
              <w:contextualSpacing/>
            </w:pPr>
            <w:r>
              <w:rPr>
                <w:rFonts w:hint="eastAsia"/>
              </w:rPr>
              <w:t>投标报价高于财政预算限额（最高投标限价）的；</w:t>
            </w:r>
          </w:p>
        </w:tc>
      </w:tr>
      <w:tr w:rsidR="00C54C61">
        <w:tc>
          <w:tcPr>
            <w:tcW w:w="1421" w:type="dxa"/>
          </w:tcPr>
          <w:p w:rsidR="00C54C61" w:rsidRDefault="00BF3A17">
            <w:pPr>
              <w:spacing w:line="360" w:lineRule="auto"/>
              <w:contextualSpacing/>
            </w:pPr>
            <w:r>
              <w:rPr>
                <w:rFonts w:hint="eastAsia"/>
              </w:rPr>
              <w:t>4</w:t>
            </w:r>
          </w:p>
        </w:tc>
        <w:tc>
          <w:tcPr>
            <w:tcW w:w="7108" w:type="dxa"/>
          </w:tcPr>
          <w:p w:rsidR="00C54C61" w:rsidRDefault="00BF3A17">
            <w:pPr>
              <w:spacing w:line="360" w:lineRule="auto"/>
              <w:contextualSpacing/>
            </w:pPr>
            <w:r>
              <w:rPr>
                <w:rFonts w:ascii="宋体" w:hAnsi="宋体" w:hint="eastAsia"/>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成员对投标人提供的说明材料判断不一致的，按照“少数服从多数”的原则确定评审委员会的意见）；</w:t>
            </w:r>
          </w:p>
        </w:tc>
      </w:tr>
      <w:tr w:rsidR="00C54C61">
        <w:tc>
          <w:tcPr>
            <w:tcW w:w="1421" w:type="dxa"/>
          </w:tcPr>
          <w:p w:rsidR="00C54C61" w:rsidRDefault="00BF3A17">
            <w:pPr>
              <w:spacing w:line="360" w:lineRule="auto"/>
              <w:contextualSpacing/>
            </w:pPr>
            <w:r>
              <w:rPr>
                <w:rFonts w:hint="eastAsia"/>
              </w:rPr>
              <w:t>5</w:t>
            </w:r>
          </w:p>
        </w:tc>
        <w:tc>
          <w:tcPr>
            <w:tcW w:w="7108" w:type="dxa"/>
          </w:tcPr>
          <w:p w:rsidR="00C54C61" w:rsidRDefault="00BF3A17">
            <w:pPr>
              <w:spacing w:line="360" w:lineRule="auto"/>
              <w:contextualSpacing/>
              <w:rPr>
                <w:color w:val="FF0000"/>
              </w:rPr>
            </w:pPr>
            <w:r>
              <w:rPr>
                <w:rFonts w:hint="eastAsia"/>
              </w:rPr>
              <w:t>投标报价有缺漏项目</w:t>
            </w:r>
          </w:p>
        </w:tc>
      </w:tr>
      <w:tr w:rsidR="00C54C61">
        <w:tc>
          <w:tcPr>
            <w:tcW w:w="1421" w:type="dxa"/>
          </w:tcPr>
          <w:p w:rsidR="00C54C61" w:rsidRDefault="00BF3A17">
            <w:pPr>
              <w:spacing w:line="360" w:lineRule="auto"/>
              <w:contextualSpacing/>
            </w:pPr>
            <w:r>
              <w:rPr>
                <w:rFonts w:hint="eastAsia"/>
              </w:rPr>
              <w:t>6</w:t>
            </w:r>
          </w:p>
        </w:tc>
        <w:tc>
          <w:tcPr>
            <w:tcW w:w="7108" w:type="dxa"/>
          </w:tcPr>
          <w:p w:rsidR="00C54C61" w:rsidRDefault="00BF3A17">
            <w:pPr>
              <w:spacing w:line="360" w:lineRule="auto"/>
              <w:contextualSpacing/>
              <w:rPr>
                <w:color w:val="FF0000"/>
              </w:rPr>
            </w:pPr>
            <w:r>
              <w:rPr>
                <w:rFonts w:hint="eastAsia"/>
              </w:rPr>
              <w:t>所投产品、工程、服务在商务、技术等方面没有实质性满足招标文件要求的（是否实质性满足招标文件要求，由评标委员会根据《实质性条款响应情况表》做出评判）；</w:t>
            </w:r>
          </w:p>
        </w:tc>
      </w:tr>
      <w:tr w:rsidR="00C54C61">
        <w:tc>
          <w:tcPr>
            <w:tcW w:w="1421" w:type="dxa"/>
          </w:tcPr>
          <w:p w:rsidR="00C54C61" w:rsidRDefault="00BF3A17">
            <w:pPr>
              <w:spacing w:line="360" w:lineRule="auto"/>
              <w:contextualSpacing/>
            </w:pPr>
            <w:r>
              <w:rPr>
                <w:rFonts w:hint="eastAsia"/>
              </w:rPr>
              <w:t>7</w:t>
            </w:r>
          </w:p>
        </w:tc>
        <w:tc>
          <w:tcPr>
            <w:tcW w:w="7108" w:type="dxa"/>
          </w:tcPr>
          <w:p w:rsidR="00C54C61" w:rsidRDefault="00BF3A17">
            <w:pPr>
              <w:spacing w:line="360" w:lineRule="auto"/>
              <w:contextualSpacing/>
            </w:pPr>
            <w:r>
              <w:rPr>
                <w:rFonts w:hint="eastAsia"/>
              </w:rPr>
              <w:t>未按招标文件所提供的样式填写</w:t>
            </w:r>
            <w:r>
              <w:t>《</w:t>
            </w:r>
            <w:r>
              <w:rPr>
                <w:rFonts w:hint="eastAsia"/>
              </w:rPr>
              <w:t>投标函》；未按招标文件所提供的</w:t>
            </w:r>
            <w:r>
              <w:rPr>
                <w:rFonts w:hint="eastAsia"/>
                <w:szCs w:val="21"/>
              </w:rPr>
              <w:t>《政府采购投标及履约承诺函</w:t>
            </w:r>
            <w:r>
              <w:rPr>
                <w:rFonts w:hint="eastAsia"/>
              </w:rPr>
              <w:t>》进行承诺；未按招标文件对投标文件组成的要求提供投标文件的（投标文件组成不完整）；</w:t>
            </w:r>
          </w:p>
        </w:tc>
      </w:tr>
      <w:tr w:rsidR="00C54C61">
        <w:tc>
          <w:tcPr>
            <w:tcW w:w="1421" w:type="dxa"/>
          </w:tcPr>
          <w:p w:rsidR="00C54C61" w:rsidRDefault="00BF3A17">
            <w:pPr>
              <w:spacing w:line="360" w:lineRule="auto"/>
              <w:contextualSpacing/>
            </w:pPr>
            <w:r>
              <w:rPr>
                <w:rFonts w:hint="eastAsia"/>
              </w:rPr>
              <w:t>8</w:t>
            </w:r>
          </w:p>
        </w:tc>
        <w:tc>
          <w:tcPr>
            <w:tcW w:w="7108" w:type="dxa"/>
          </w:tcPr>
          <w:p w:rsidR="00C54C61" w:rsidRDefault="00BF3A17">
            <w:pPr>
              <w:spacing w:line="360" w:lineRule="auto"/>
              <w:contextualSpacing/>
            </w:pPr>
            <w:r>
              <w:rPr>
                <w:rFonts w:hint="eastAsia"/>
              </w:rPr>
              <w:t>投标文件存在列放位置错误，导致属于信息公开内容的没有被公开；</w:t>
            </w:r>
          </w:p>
        </w:tc>
      </w:tr>
      <w:tr w:rsidR="00C54C61">
        <w:tc>
          <w:tcPr>
            <w:tcW w:w="1421" w:type="dxa"/>
          </w:tcPr>
          <w:p w:rsidR="00C54C61" w:rsidRDefault="00BF3A17">
            <w:pPr>
              <w:spacing w:line="360" w:lineRule="auto"/>
              <w:contextualSpacing/>
            </w:pPr>
            <w:r>
              <w:rPr>
                <w:rFonts w:hint="eastAsia"/>
              </w:rPr>
              <w:t>9</w:t>
            </w:r>
          </w:p>
        </w:tc>
        <w:tc>
          <w:tcPr>
            <w:tcW w:w="7108" w:type="dxa"/>
          </w:tcPr>
          <w:p w:rsidR="00C54C61" w:rsidRDefault="00BF3A17">
            <w:pPr>
              <w:spacing w:line="360" w:lineRule="auto"/>
              <w:contextualSpacing/>
            </w:pPr>
            <w:r>
              <w:rPr>
                <w:rFonts w:hint="eastAsia"/>
              </w:rPr>
              <w:t>投标文件电子文档带病毒；</w:t>
            </w:r>
          </w:p>
        </w:tc>
      </w:tr>
      <w:tr w:rsidR="00C54C61">
        <w:tc>
          <w:tcPr>
            <w:tcW w:w="1421" w:type="dxa"/>
          </w:tcPr>
          <w:p w:rsidR="00C54C61" w:rsidRDefault="00BF3A17">
            <w:pPr>
              <w:spacing w:line="360" w:lineRule="auto"/>
              <w:contextualSpacing/>
            </w:pPr>
            <w:r>
              <w:rPr>
                <w:rFonts w:hint="eastAsia"/>
              </w:rPr>
              <w:t>10</w:t>
            </w:r>
          </w:p>
        </w:tc>
        <w:tc>
          <w:tcPr>
            <w:tcW w:w="7108" w:type="dxa"/>
          </w:tcPr>
          <w:p w:rsidR="00C54C61" w:rsidRDefault="00BF3A17">
            <w:pPr>
              <w:spacing w:line="360" w:lineRule="auto"/>
              <w:contextualSpacing/>
            </w:pPr>
            <w:r>
              <w:rPr>
                <w:rFonts w:hint="eastAsia"/>
              </w:rPr>
              <w:t>投标文件用不属于本公司的电子密钥进行加密的；</w:t>
            </w:r>
          </w:p>
        </w:tc>
      </w:tr>
      <w:tr w:rsidR="00C54C61">
        <w:tc>
          <w:tcPr>
            <w:tcW w:w="1421" w:type="dxa"/>
          </w:tcPr>
          <w:p w:rsidR="00C54C61" w:rsidRDefault="00BF3A17">
            <w:pPr>
              <w:spacing w:line="360" w:lineRule="auto"/>
              <w:contextualSpacing/>
            </w:pPr>
            <w:r>
              <w:rPr>
                <w:rFonts w:hint="eastAsia"/>
              </w:rPr>
              <w:t>11</w:t>
            </w:r>
          </w:p>
        </w:tc>
        <w:tc>
          <w:tcPr>
            <w:tcW w:w="7108" w:type="dxa"/>
          </w:tcPr>
          <w:p w:rsidR="00C54C61" w:rsidRDefault="00BF3A17">
            <w:pPr>
              <w:spacing w:line="360" w:lineRule="auto"/>
              <w:contextualSpacing/>
            </w:pPr>
            <w:r>
              <w:rPr>
                <w:rFonts w:hint="eastAsia"/>
              </w:rPr>
              <w:t>误选了非本项目的最新加密规则文件，导致投标文件不能在开标时解密；</w:t>
            </w:r>
          </w:p>
        </w:tc>
      </w:tr>
      <w:tr w:rsidR="00C54C61">
        <w:tc>
          <w:tcPr>
            <w:tcW w:w="1421" w:type="dxa"/>
          </w:tcPr>
          <w:p w:rsidR="00C54C61" w:rsidRDefault="00BF3A17">
            <w:pPr>
              <w:spacing w:line="360" w:lineRule="auto"/>
              <w:contextualSpacing/>
            </w:pPr>
            <w:r>
              <w:rPr>
                <w:rFonts w:hint="eastAsia"/>
              </w:rPr>
              <w:t>12</w:t>
            </w:r>
          </w:p>
        </w:tc>
        <w:tc>
          <w:tcPr>
            <w:tcW w:w="7108" w:type="dxa"/>
          </w:tcPr>
          <w:p w:rsidR="00C54C61" w:rsidRDefault="00BF3A17">
            <w:pPr>
              <w:spacing w:line="360" w:lineRule="auto"/>
              <w:contextualSpacing/>
            </w:pPr>
            <w:r>
              <w:rPr>
                <w:rFonts w:hint="eastAsia"/>
              </w:rPr>
              <w:t>法律、法规规定的其他情形。</w:t>
            </w:r>
          </w:p>
        </w:tc>
      </w:tr>
    </w:tbl>
    <w:p w:rsidR="00C54C61" w:rsidRDefault="00BF3A17">
      <w:pPr>
        <w:spacing w:line="360" w:lineRule="auto"/>
        <w:contextualSpacing/>
        <w:rPr>
          <w:color w:val="FF0000"/>
        </w:rPr>
      </w:pPr>
      <w:r>
        <w:rPr>
          <w:rFonts w:hint="eastAsia"/>
          <w:color w:val="FF0000"/>
        </w:rPr>
        <w:br w:type="page"/>
      </w:r>
    </w:p>
    <w:p w:rsidR="00C54C61" w:rsidRDefault="00BF3A17">
      <w:pPr>
        <w:pStyle w:val="30"/>
        <w:spacing w:before="0" w:after="0" w:line="360" w:lineRule="auto"/>
        <w:contextualSpacing/>
        <w:jc w:val="center"/>
        <w:rPr>
          <w:color w:val="FF0000"/>
        </w:rPr>
      </w:pPr>
      <w:r>
        <w:rPr>
          <w:rFonts w:hint="eastAsia"/>
          <w:color w:val="FF0000"/>
        </w:rPr>
        <w:t>综合评分法</w:t>
      </w:r>
      <w:r>
        <w:rPr>
          <w:color w:val="FF0000"/>
        </w:rPr>
        <w:t>评标信息</w:t>
      </w:r>
    </w:p>
    <w:p w:rsidR="00C54C61" w:rsidRDefault="00C54C61">
      <w:pPr>
        <w:spacing w:line="360" w:lineRule="auto"/>
        <w:contextualSpacing/>
        <w:rPr>
          <w:b/>
          <w:bCs/>
          <w:color w:val="FF0000"/>
        </w:rPr>
      </w:pP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C54C61">
        <w:trPr>
          <w:tblCellSpacing w:w="0" w:type="dxa"/>
          <w:jc w:val="center"/>
        </w:trPr>
        <w:tc>
          <w:tcPr>
            <w:tcW w:w="0" w:type="auto"/>
            <w:tcBorders>
              <w:top w:val="nil"/>
              <w:left w:val="nil"/>
              <w:bottom w:val="nil"/>
              <w:right w:val="nil"/>
            </w:tcBorders>
            <w:vAlign w:val="center"/>
          </w:tcPr>
          <w:p w:rsidR="00C54C61" w:rsidRDefault="00BF3A17">
            <w:pPr>
              <w:spacing w:line="360" w:lineRule="auto"/>
              <w:contextualSpacing/>
              <w:rPr>
                <w:b/>
                <w:bCs/>
                <w:color w:val="FF0000"/>
              </w:rPr>
            </w:pPr>
            <w:r>
              <w:rPr>
                <w:rFonts w:hint="eastAsia"/>
                <w:b/>
                <w:bCs/>
                <w:color w:val="FF0000"/>
              </w:rPr>
              <w:t xml:space="preserve">    </w:t>
            </w:r>
          </w:p>
          <w:p w:rsidR="00C54C61" w:rsidRDefault="00BF3A17">
            <w:pPr>
              <w:spacing w:line="360" w:lineRule="auto"/>
              <w:ind w:firstLineChars="200" w:firstLine="422"/>
              <w:contextualSpacing/>
              <w:rPr>
                <w:b/>
                <w:bCs/>
                <w:color w:val="FF0000"/>
              </w:rPr>
            </w:pPr>
            <w:r>
              <w:rPr>
                <w:rFonts w:hint="eastAsia"/>
                <w:b/>
                <w:bCs/>
                <w:color w:val="FF0000"/>
              </w:rPr>
              <w:t>一、</w:t>
            </w:r>
            <w:r>
              <w:rPr>
                <w:b/>
                <w:bCs/>
                <w:color w:val="FF0000"/>
              </w:rPr>
              <w:t>评标方法：综合评分法（新价格分算法）</w:t>
            </w:r>
            <w:r>
              <w:rPr>
                <w:rFonts w:hint="eastAsia"/>
                <w:b/>
                <w:bCs/>
                <w:color w:val="FF0000"/>
              </w:rPr>
              <w:t>30</w:t>
            </w:r>
            <w:r>
              <w:rPr>
                <w:rFonts w:hint="eastAsia"/>
                <w:b/>
                <w:bCs/>
                <w:color w:val="FF0000"/>
              </w:rPr>
              <w:t>分</w:t>
            </w:r>
          </w:p>
        </w:tc>
      </w:tr>
      <w:tr w:rsidR="00C54C61">
        <w:trPr>
          <w:tblCellSpacing w:w="0" w:type="dxa"/>
          <w:jc w:val="center"/>
        </w:trPr>
        <w:tc>
          <w:tcPr>
            <w:tcW w:w="0" w:type="auto"/>
            <w:tcBorders>
              <w:top w:val="nil"/>
              <w:left w:val="nil"/>
              <w:bottom w:val="nil"/>
              <w:right w:val="nil"/>
            </w:tcBorders>
            <w:vAlign w:val="center"/>
          </w:tcPr>
          <w:p w:rsidR="00C54C61" w:rsidRDefault="00BF3A17" w:rsidP="00EE5467">
            <w:pPr>
              <w:spacing w:line="360" w:lineRule="auto"/>
              <w:ind w:firstLineChars="196" w:firstLine="412"/>
              <w:contextualSpacing/>
              <w:rPr>
                <w:rFonts w:ascii="ˎ̥" w:hAnsi="ˎ̥"/>
              </w:rPr>
            </w:pPr>
            <w:r>
              <w:rPr>
                <w:rFonts w:hint="eastAsia"/>
              </w:rPr>
              <w:t xml:space="preserve">   </w:t>
            </w:r>
            <w:r>
              <w:rPr>
                <w:rFonts w:ascii="ˎ̥" w:hAnsi="ˎ̥" w:hint="eastAsia"/>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ascii="ˎ̥" w:hAnsi="ˎ̥" w:hint="eastAsia"/>
              </w:rPr>
              <w:t>。</w:t>
            </w:r>
            <w:r>
              <w:t xml:space="preserve"> </w:t>
            </w:r>
          </w:p>
          <w:p w:rsidR="00C54C61" w:rsidRDefault="00BF3A17">
            <w:pPr>
              <w:spacing w:line="360" w:lineRule="auto"/>
              <w:contextualSpacing/>
            </w:pPr>
            <w:r>
              <w:rPr>
                <w:rFonts w:hint="eastAsia"/>
              </w:rPr>
              <w:t xml:space="preserve">    </w:t>
            </w:r>
            <w:r>
              <w:t>价格分计算方法：</w:t>
            </w:r>
          </w:p>
          <w:p w:rsidR="00C54C61" w:rsidRDefault="00BF3A17">
            <w:pPr>
              <w:spacing w:line="360" w:lineRule="auto"/>
              <w:contextualSpacing/>
            </w:pPr>
            <w:r>
              <w:rPr>
                <w:rFonts w:hint="eastAsia"/>
              </w:rPr>
              <w:t xml:space="preserve">    </w:t>
            </w:r>
            <w:r>
              <w:t>采用低价优先法计算，即满足招标文件要求且投标价格最低的投标报价为评标基准价，其价格分为满分。其他投标人的价格分统一按照下列公式计算：</w:t>
            </w:r>
            <w:r>
              <w:t xml:space="preserve"> </w:t>
            </w:r>
            <w:r>
              <w:br/>
            </w:r>
            <w:r>
              <w:rPr>
                <w:rFonts w:hint="eastAsia"/>
              </w:rPr>
              <w:t xml:space="preserve">    </w:t>
            </w:r>
            <w:r>
              <w:t>投标报价得分</w:t>
            </w:r>
            <w:r>
              <w:t>=(</w:t>
            </w:r>
            <w:r>
              <w:t>评标基准价／投标报价</w:t>
            </w:r>
            <w:r>
              <w:t xml:space="preserve">)×100 </w:t>
            </w:r>
            <w:r>
              <w:br/>
            </w:r>
            <w:r>
              <w:rPr>
                <w:rFonts w:hint="eastAsia"/>
              </w:rPr>
              <w:t xml:space="preserve">    </w:t>
            </w:r>
            <w:r>
              <w:t>评标总得分＝</w:t>
            </w:r>
            <w:r>
              <w:t>F1×A1</w:t>
            </w:r>
            <w:r>
              <w:t>＋</w:t>
            </w:r>
            <w:r>
              <w:t>F2×A2</w:t>
            </w:r>
            <w:r>
              <w:t>＋</w:t>
            </w:r>
            <w:r>
              <w:t>……</w:t>
            </w:r>
            <w:r>
              <w:t>＋</w:t>
            </w:r>
            <w:r>
              <w:t xml:space="preserve">Fn×An </w:t>
            </w:r>
            <w:r>
              <w:br/>
            </w:r>
            <w:r>
              <w:rPr>
                <w:rFonts w:hint="eastAsia"/>
              </w:rPr>
              <w:t xml:space="preserve">    </w:t>
            </w:r>
            <w:r>
              <w:t>F1</w:t>
            </w:r>
            <w:r>
              <w:t>、</w:t>
            </w:r>
            <w:r>
              <w:t>F2……Fn</w:t>
            </w:r>
            <w:r>
              <w:t>分别为各项评审因素的得分；</w:t>
            </w:r>
            <w:r>
              <w:t xml:space="preserve"> </w:t>
            </w:r>
            <w:r>
              <w:br/>
            </w:r>
            <w:r>
              <w:rPr>
                <w:rFonts w:hint="eastAsia"/>
              </w:rPr>
              <w:t xml:space="preserve">    </w:t>
            </w: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r>
              <w:br/>
            </w:r>
            <w:r>
              <w:rPr>
                <w:rFonts w:hint="eastAsia"/>
              </w:rPr>
              <w:t xml:space="preserve">    </w:t>
            </w:r>
            <w:r>
              <w:t>评标过程中，不得去掉报价中的最高报价和最低报价。</w:t>
            </w:r>
            <w:r>
              <w:t xml:space="preserve"> </w:t>
            </w:r>
            <w:r>
              <w:br/>
            </w:r>
            <w:r>
              <w:rPr>
                <w:rFonts w:hint="eastAsia"/>
              </w:rPr>
              <w:t xml:space="preserve">    </w:t>
            </w:r>
            <w:r>
              <w:t>此方法适用于货物类、服务类、工程类项目。</w:t>
            </w:r>
            <w:r>
              <w:t xml:space="preserve"> </w:t>
            </w:r>
          </w:p>
          <w:p w:rsidR="00C54C61" w:rsidRDefault="00BF3A17">
            <w:pPr>
              <w:spacing w:line="360" w:lineRule="auto"/>
              <w:contextualSpacing/>
              <w:rPr>
                <w:b/>
                <w:bCs/>
                <w:color w:val="FF0000"/>
              </w:rPr>
            </w:pPr>
            <w:r>
              <w:rPr>
                <w:rFonts w:hint="eastAsia"/>
                <w:b/>
                <w:bCs/>
                <w:color w:val="FF0000"/>
              </w:rPr>
              <w:t xml:space="preserve">   </w:t>
            </w:r>
          </w:p>
        </w:tc>
      </w:tr>
    </w:tbl>
    <w:p w:rsidR="00C54C61" w:rsidRDefault="00BF3A17">
      <w:pPr>
        <w:spacing w:line="360" w:lineRule="auto"/>
        <w:contextualSpacing/>
        <w:rPr>
          <w:b/>
          <w:bCs/>
          <w:color w:val="FF0000"/>
        </w:rPr>
      </w:pPr>
      <w:r>
        <w:rPr>
          <w:rFonts w:hint="eastAsia"/>
          <w:b/>
          <w:bCs/>
          <w:color w:val="FF0000"/>
        </w:rPr>
        <w:t>二、评标信息</w:t>
      </w:r>
    </w:p>
    <w:p w:rsidR="00C54C61" w:rsidRDefault="00C54C61">
      <w:pPr>
        <w:spacing w:line="360" w:lineRule="auto"/>
        <w:contextualSpacing/>
        <w:rPr>
          <w:color w:val="FF0000"/>
        </w:rPr>
      </w:pPr>
    </w:p>
    <w:p w:rsidR="00C54C61" w:rsidRDefault="00C54C61">
      <w:pPr>
        <w:spacing w:line="360" w:lineRule="auto"/>
        <w:contextualSpacing/>
        <w:rPr>
          <w:rFonts w:ascii="宋体" w:hAnsi="宋体"/>
          <w:b/>
        </w:rPr>
      </w:pP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555"/>
        <w:gridCol w:w="5942"/>
        <w:gridCol w:w="624"/>
      </w:tblGrid>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b/>
                <w:szCs w:val="21"/>
              </w:rPr>
            </w:pPr>
            <w:r>
              <w:rPr>
                <w:rFonts w:ascii="宋体" w:hAnsi="宋体" w:cs="宋体" w:hint="eastAsia"/>
                <w:b/>
                <w:szCs w:val="21"/>
              </w:rPr>
              <w:t>序号</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b/>
                <w:szCs w:val="21"/>
              </w:rPr>
            </w:pPr>
            <w:r>
              <w:rPr>
                <w:rFonts w:ascii="宋体" w:hAnsi="宋体" w:cs="宋体" w:hint="eastAsia"/>
                <w:b/>
                <w:szCs w:val="21"/>
              </w:rPr>
              <w:t>评审因素</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b/>
                <w:szCs w:val="21"/>
              </w:rPr>
            </w:pPr>
            <w:r>
              <w:rPr>
                <w:rFonts w:ascii="宋体" w:hAnsi="宋体" w:cs="宋体" w:hint="eastAsia"/>
                <w:b/>
                <w:szCs w:val="21"/>
              </w:rPr>
              <w:t>评分细则</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b/>
                <w:szCs w:val="21"/>
              </w:rPr>
            </w:pPr>
            <w:r>
              <w:rPr>
                <w:rFonts w:ascii="宋体" w:hAnsi="宋体" w:cs="宋体" w:hint="eastAsia"/>
                <w:b/>
                <w:szCs w:val="21"/>
              </w:rPr>
              <w:t>分值</w:t>
            </w:r>
          </w:p>
        </w:tc>
      </w:tr>
      <w:tr w:rsidR="00C54C61">
        <w:trPr>
          <w:trHeight w:val="23"/>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b/>
                <w:szCs w:val="21"/>
              </w:rPr>
            </w:pPr>
            <w:r>
              <w:rPr>
                <w:rFonts w:ascii="宋体" w:hAnsi="宋体" w:cs="宋体" w:hint="eastAsia"/>
                <w:b/>
                <w:szCs w:val="21"/>
              </w:rPr>
              <w:t>商务部分（25分）</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pStyle w:val="aff3"/>
              <w:spacing w:line="360" w:lineRule="auto"/>
              <w:ind w:firstLineChars="0" w:firstLine="0"/>
              <w:contextualSpacing/>
              <w:jc w:val="center"/>
              <w:rPr>
                <w:rFonts w:ascii="宋体" w:hAnsi="宋体" w:cs="宋体"/>
                <w:szCs w:val="21"/>
              </w:rPr>
            </w:pPr>
            <w:r>
              <w:rPr>
                <w:rFonts w:ascii="宋体" w:hAnsi="宋体" w:cs="宋体" w:hint="eastAsia"/>
                <w:szCs w:val="21"/>
              </w:rPr>
              <w:t>1</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商务条款偏离情况</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rPr>
                <w:rFonts w:ascii="宋体" w:hAnsi="宋体" w:cs="宋体"/>
                <w:szCs w:val="21"/>
              </w:rPr>
            </w:pPr>
            <w:r>
              <w:rPr>
                <w:rFonts w:ascii="宋体" w:hAnsi="宋体" w:cs="宋体" w:hint="eastAsia"/>
                <w:szCs w:val="21"/>
              </w:rPr>
              <w:t>1、评审标准：</w:t>
            </w:r>
          </w:p>
          <w:p w:rsidR="00C54C61" w:rsidRDefault="00BF3A17">
            <w:pPr>
              <w:spacing w:line="360" w:lineRule="auto"/>
              <w:contextualSpacing/>
              <w:rPr>
                <w:rFonts w:ascii="宋体" w:hAnsi="宋体" w:cs="宋体"/>
                <w:szCs w:val="21"/>
              </w:rPr>
            </w:pPr>
            <w:r>
              <w:rPr>
                <w:rFonts w:ascii="宋体" w:hAnsi="宋体" w:cs="宋体" w:hint="eastAsia"/>
                <w:szCs w:val="21"/>
              </w:rPr>
              <w:t>投标人应如实填写《商务需求偏离表》，评审委员会根据响应情况进行打分，全部满足的70分，每负偏离一项扣20分，扣完为止。</w:t>
            </w:r>
          </w:p>
          <w:p w:rsidR="00C54C61" w:rsidRDefault="00BF3A17">
            <w:pPr>
              <w:spacing w:line="360" w:lineRule="auto"/>
              <w:contextualSpacing/>
              <w:rPr>
                <w:rFonts w:ascii="宋体" w:hAnsi="宋体" w:cs="宋体"/>
                <w:szCs w:val="21"/>
              </w:rPr>
            </w:pPr>
            <w:r>
              <w:rPr>
                <w:rFonts w:ascii="宋体" w:hAnsi="宋体" w:cs="宋体" w:hint="eastAsia"/>
                <w:szCs w:val="21"/>
              </w:rPr>
              <w:t>在交货期满足招标文件要求的基础上，每提前1个日历日得10分，最高得30分。</w:t>
            </w:r>
          </w:p>
          <w:p w:rsidR="00C54C61" w:rsidRDefault="00BF3A17">
            <w:pPr>
              <w:spacing w:line="360" w:lineRule="auto"/>
              <w:contextualSpacing/>
              <w:rPr>
                <w:rFonts w:ascii="宋体" w:hAnsi="宋体" w:cs="宋体"/>
                <w:szCs w:val="21"/>
              </w:rPr>
            </w:pPr>
            <w:r>
              <w:rPr>
                <w:rFonts w:ascii="宋体" w:hAnsi="宋体" w:cs="宋体" w:hint="eastAsia"/>
                <w:szCs w:val="21"/>
              </w:rPr>
              <w:t>2、证明文件：</w:t>
            </w:r>
          </w:p>
          <w:p w:rsidR="00C54C61" w:rsidRDefault="00BF3A17">
            <w:pPr>
              <w:spacing w:line="360" w:lineRule="auto"/>
              <w:contextualSpacing/>
              <w:rPr>
                <w:rFonts w:ascii="宋体" w:hAnsi="宋体" w:cs="宋体"/>
                <w:szCs w:val="21"/>
              </w:rPr>
            </w:pPr>
            <w:r>
              <w:rPr>
                <w:rFonts w:ascii="宋体" w:hAnsi="宋体" w:cs="宋体" w:hint="eastAsia"/>
                <w:szCs w:val="21"/>
              </w:rPr>
              <w:t>投标人须如实填写《商务需求偏离表》，并按招标文件的要求提供相关证明资料。投标人未提供相关证明材料或者提供的证明材料不符合要求的或提供的证明材料不清晰导致评审专家无法辨认的，该项参数按照负偏离处理，扣除相应分值。</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3</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pStyle w:val="aff3"/>
              <w:spacing w:line="360" w:lineRule="auto"/>
              <w:ind w:firstLineChars="0" w:firstLine="0"/>
              <w:contextualSpacing/>
              <w:jc w:val="center"/>
              <w:rPr>
                <w:rFonts w:ascii="宋体" w:hAnsi="宋体" w:cs="宋体"/>
                <w:szCs w:val="21"/>
              </w:rPr>
            </w:pPr>
            <w:r>
              <w:rPr>
                <w:rFonts w:ascii="宋体" w:hAnsi="宋体" w:cs="宋体" w:hint="eastAsia"/>
                <w:szCs w:val="21"/>
              </w:rPr>
              <w:t>2</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企业实力</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rPr>
                <w:rFonts w:ascii="宋体" w:hAnsi="宋体" w:cs="宋体"/>
                <w:kern w:val="0"/>
                <w:szCs w:val="21"/>
              </w:rPr>
            </w:pPr>
            <w:r>
              <w:rPr>
                <w:rFonts w:ascii="宋体" w:hAnsi="宋体" w:cs="宋体" w:hint="eastAsia"/>
                <w:kern w:val="0"/>
                <w:szCs w:val="21"/>
              </w:rPr>
              <w:t>投标人获得：1.质量管理体系认证证书；2.环境管理体系认证证书；3.职业健康安全管理体系认证证书，且</w:t>
            </w:r>
            <w:r>
              <w:rPr>
                <w:rFonts w:ascii="宋体" w:hAnsi="宋体" w:cs="宋体" w:hint="eastAsia"/>
                <w:szCs w:val="21"/>
              </w:rPr>
              <w:t>认证范围应包括：体育运动服装、鞋帽、箱包的销售</w:t>
            </w:r>
            <w:r>
              <w:rPr>
                <w:rFonts w:ascii="宋体" w:hAnsi="宋体" w:cs="宋体" w:hint="eastAsia"/>
                <w:kern w:val="0"/>
                <w:szCs w:val="21"/>
              </w:rPr>
              <w:t>。</w:t>
            </w:r>
          </w:p>
          <w:p w:rsidR="00C54C61" w:rsidRDefault="00BF3A17">
            <w:pPr>
              <w:spacing w:line="360" w:lineRule="auto"/>
              <w:contextualSpacing/>
              <w:rPr>
                <w:rFonts w:ascii="宋体" w:hAnsi="宋体" w:cs="宋体"/>
                <w:szCs w:val="21"/>
              </w:rPr>
            </w:pPr>
            <w:r>
              <w:rPr>
                <w:rFonts w:ascii="宋体" w:hAnsi="宋体" w:cs="宋体" w:hint="eastAsia"/>
                <w:szCs w:val="21"/>
              </w:rPr>
              <w:t>（1）全部提供得100分；</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（2）提供2项，得60分； </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（3）提供1项，得20分； </w:t>
            </w:r>
          </w:p>
          <w:p w:rsidR="00C54C61" w:rsidRDefault="00BF3A17">
            <w:pPr>
              <w:spacing w:line="360" w:lineRule="auto"/>
              <w:contextualSpacing/>
              <w:rPr>
                <w:rFonts w:ascii="宋体" w:hAnsi="宋体" w:cs="宋体"/>
                <w:szCs w:val="21"/>
              </w:rPr>
            </w:pPr>
            <w:r>
              <w:rPr>
                <w:rFonts w:ascii="宋体" w:hAnsi="宋体" w:cs="宋体" w:hint="eastAsia"/>
                <w:szCs w:val="21"/>
              </w:rPr>
              <w:t>（4）未提供不得分。</w:t>
            </w:r>
          </w:p>
          <w:p w:rsidR="00C54C61" w:rsidRDefault="00BF3A17">
            <w:pPr>
              <w:widowControl/>
              <w:spacing w:line="360" w:lineRule="auto"/>
              <w:contextualSpacing/>
              <w:jc w:val="left"/>
              <w:rPr>
                <w:rFonts w:ascii="宋体" w:hAnsi="宋体" w:cs="宋体"/>
                <w:szCs w:val="21"/>
              </w:rPr>
            </w:pPr>
            <w:r>
              <w:rPr>
                <w:rFonts w:ascii="宋体" w:hAnsi="宋体" w:cs="宋体" w:hint="eastAsia"/>
                <w:kern w:val="0"/>
                <w:szCs w:val="21"/>
                <w:lang w:bidi="ar"/>
              </w:rPr>
              <w:t>证明文件：提供有效期内的认证证书复印件或扫描件并加盖投标人公章，原件备查，同时提供中国国家认证认可监督管理委员会网站（http://www.cnca.gov.cn/）认证结果信息查询图。 须同时提供至少一名内审员证书，投标人提供近三个月为内审员依法缴纳社保证明材料。</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4</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pStyle w:val="aff3"/>
              <w:spacing w:line="360" w:lineRule="auto"/>
              <w:ind w:firstLineChars="0" w:firstLine="0"/>
              <w:contextualSpacing/>
              <w:jc w:val="center"/>
              <w:rPr>
                <w:rFonts w:ascii="宋体" w:hAnsi="宋体" w:cs="宋体"/>
                <w:szCs w:val="21"/>
              </w:rPr>
            </w:pPr>
            <w:r>
              <w:rPr>
                <w:rFonts w:ascii="宋体" w:hAnsi="宋体" w:cs="宋体" w:hint="eastAsia"/>
                <w:szCs w:val="21"/>
              </w:rPr>
              <w:t>3</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企业荣誉</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numPr>
                <w:ilvl w:val="0"/>
                <w:numId w:val="7"/>
              </w:numPr>
              <w:spacing w:line="360" w:lineRule="auto"/>
              <w:contextualSpacing/>
              <w:rPr>
                <w:rFonts w:ascii="宋体" w:hAnsi="宋体" w:cs="宋体"/>
                <w:szCs w:val="21"/>
              </w:rPr>
            </w:pPr>
            <w:r>
              <w:rPr>
                <w:rFonts w:ascii="宋体" w:hAnsi="宋体" w:cs="宋体" w:hint="eastAsia"/>
                <w:szCs w:val="21"/>
              </w:rPr>
              <w:t xml:space="preserve">投标人获得2017年以来荣获体育行业“最佳运动装备和器材品牌运营机构”荣誉得20分； </w:t>
            </w:r>
          </w:p>
          <w:p w:rsidR="00C54C61" w:rsidRDefault="00BF3A17">
            <w:pPr>
              <w:numPr>
                <w:ilvl w:val="0"/>
                <w:numId w:val="7"/>
              </w:numPr>
              <w:spacing w:line="360" w:lineRule="auto"/>
              <w:contextualSpacing/>
              <w:rPr>
                <w:rFonts w:ascii="宋体" w:hAnsi="宋体" w:cs="宋体"/>
                <w:szCs w:val="21"/>
              </w:rPr>
            </w:pPr>
            <w:r>
              <w:rPr>
                <w:rFonts w:ascii="宋体" w:hAnsi="宋体" w:cs="宋体" w:hint="eastAsia"/>
                <w:szCs w:val="21"/>
              </w:rPr>
              <w:t>投标人具有5星级售后服务认证荣誉证书，得20分；</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2、投标人获得亚运会、大运会、全运会赛事服务荣誉证书。 以上荣誉每获得一项荣誉20分，满分60分； </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（二）评分依据： </w:t>
            </w:r>
          </w:p>
          <w:p w:rsidR="00C54C61" w:rsidRDefault="00BF3A17">
            <w:pPr>
              <w:spacing w:line="360" w:lineRule="auto"/>
              <w:contextualSpacing/>
              <w:rPr>
                <w:rFonts w:ascii="宋体" w:hAnsi="宋体" w:cs="宋体"/>
                <w:szCs w:val="21"/>
              </w:rPr>
            </w:pPr>
            <w:r>
              <w:rPr>
                <w:rFonts w:ascii="宋体" w:hAnsi="宋体" w:cs="宋体" w:hint="eastAsia"/>
                <w:szCs w:val="21"/>
              </w:rPr>
              <w:t>需提供相关证书扫描件或者奖杯图片或者获奖截图等证明材料，未提供不得分</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5</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pStyle w:val="aff3"/>
              <w:spacing w:line="360" w:lineRule="auto"/>
              <w:ind w:firstLineChars="0" w:firstLine="0"/>
              <w:contextualSpacing/>
              <w:jc w:val="center"/>
              <w:rPr>
                <w:rFonts w:ascii="宋体" w:hAnsi="宋体" w:cs="宋体"/>
                <w:szCs w:val="21"/>
              </w:rPr>
            </w:pPr>
            <w:r>
              <w:rPr>
                <w:rFonts w:ascii="宋体" w:hAnsi="宋体" w:cs="宋体" w:hint="eastAsia"/>
                <w:szCs w:val="21"/>
              </w:rPr>
              <w:t>4</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napToGrid w:val="0"/>
                <w:szCs w:val="21"/>
              </w:rPr>
            </w:pPr>
            <w:r>
              <w:rPr>
                <w:rFonts w:ascii="宋体" w:hAnsi="宋体" w:cs="宋体" w:hint="eastAsia"/>
                <w:szCs w:val="21"/>
              </w:rPr>
              <w:t>业绩经验</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rPr>
                <w:rFonts w:ascii="宋体" w:hAnsi="宋体" w:cs="宋体"/>
                <w:szCs w:val="21"/>
              </w:rPr>
            </w:pPr>
            <w:r>
              <w:rPr>
                <w:rFonts w:ascii="宋体" w:hAnsi="宋体" w:cs="宋体" w:hint="eastAsia"/>
                <w:szCs w:val="21"/>
              </w:rPr>
              <w:t>投标人2018年1月1日至今具有市级或市级以上的运动会服装项目业绩，每提供1项得25分，最高得100分。</w:t>
            </w:r>
          </w:p>
          <w:p w:rsidR="00C54C61" w:rsidRDefault="00BF3A17">
            <w:pPr>
              <w:spacing w:line="360" w:lineRule="auto"/>
              <w:contextualSpacing/>
              <w:rPr>
                <w:rFonts w:ascii="宋体" w:hAnsi="宋体" w:cs="宋体"/>
                <w:szCs w:val="21"/>
              </w:rPr>
            </w:pPr>
            <w:r>
              <w:rPr>
                <w:rFonts w:ascii="宋体" w:hAnsi="宋体" w:cs="宋体" w:hint="eastAsia"/>
                <w:szCs w:val="21"/>
              </w:rPr>
              <w:t>【注：需提供业绩合同关键页（包括采购内容、采购金额、签约日期、双方盖章）复印件并加盖投标人公章，时间以合同签订日期为准，未按上述要求提供证明材料的业绩不得分。】</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4</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pStyle w:val="aff3"/>
              <w:spacing w:line="360" w:lineRule="auto"/>
              <w:ind w:firstLineChars="0" w:firstLine="0"/>
              <w:contextualSpacing/>
              <w:jc w:val="center"/>
              <w:rPr>
                <w:rFonts w:ascii="宋体" w:hAnsi="宋体" w:cs="宋体"/>
                <w:szCs w:val="21"/>
              </w:rPr>
            </w:pPr>
            <w:r>
              <w:rPr>
                <w:rFonts w:ascii="宋体" w:hAnsi="宋体" w:cs="宋体" w:hint="eastAsia"/>
                <w:szCs w:val="21"/>
              </w:rPr>
              <w:t>5</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售后服务能力及便利性</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rPr>
                <w:rFonts w:ascii="宋体" w:hAnsi="宋体" w:cs="宋体"/>
                <w:szCs w:val="21"/>
              </w:rPr>
            </w:pPr>
            <w:r>
              <w:rPr>
                <w:rFonts w:ascii="宋体" w:hAnsi="宋体" w:cs="宋体" w:hint="eastAsia"/>
                <w:szCs w:val="21"/>
              </w:rPr>
              <w:t xml:space="preserve">（一）考察内容： </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1、投标人为本项目至少提供5名售后服务人员及一台专属车辆，否则该项不得分。 </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2、上述服务人员全部具有2013年以来参与过国家级或以上大型综合性运动会项目经验的得100分；全部具有省级或以上大型综合性运动会项目经验的得60分；全部具有地市级或以上大型综合性运动会项目经验的得20分，其他情况不得分。 </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（二）评分依据： </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（1）提供投标人近三个月为上述全部售后服务人员依法缴纳社保凭证。 </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（2）提供上述售后服务人员参与大型综合性运动会项目的工作证以及投标人参与上述项目的中标通知书及合同扫描件。 </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（3）提供投标人深圳牌照车辆行驶证扫描件。 </w:t>
            </w:r>
          </w:p>
          <w:p w:rsidR="00C54C61" w:rsidRDefault="00BF3A17">
            <w:pPr>
              <w:spacing w:line="360" w:lineRule="auto"/>
              <w:contextualSpacing/>
              <w:rPr>
                <w:rFonts w:ascii="宋体" w:hAnsi="宋体" w:cs="宋体"/>
                <w:szCs w:val="21"/>
              </w:rPr>
            </w:pPr>
            <w:r>
              <w:rPr>
                <w:rFonts w:ascii="宋体" w:hAnsi="宋体" w:cs="宋体" w:hint="eastAsia"/>
                <w:szCs w:val="21"/>
              </w:rPr>
              <w:t>（4）未按要求提供上述资料或者不符合要求的不得分，原件备查。</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4</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pStyle w:val="aff3"/>
              <w:spacing w:line="360" w:lineRule="auto"/>
              <w:ind w:firstLineChars="0" w:firstLine="0"/>
              <w:contextualSpacing/>
              <w:jc w:val="center"/>
              <w:rPr>
                <w:rFonts w:ascii="宋体" w:hAnsi="宋体" w:cs="宋体"/>
                <w:szCs w:val="21"/>
              </w:rPr>
            </w:pPr>
            <w:r>
              <w:rPr>
                <w:rFonts w:ascii="宋体" w:hAnsi="宋体" w:cs="宋体" w:hint="eastAsia"/>
                <w:szCs w:val="21"/>
              </w:rPr>
              <w:t>6</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诚信</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rPr>
                <w:rFonts w:ascii="宋体" w:hAnsi="宋体" w:cs="宋体"/>
                <w:szCs w:val="21"/>
              </w:rPr>
            </w:pPr>
            <w:r>
              <w:rPr>
                <w:rFonts w:ascii="宋体" w:hAnsi="宋体" w:cs="宋体" w:hint="eastAsia"/>
                <w:szCs w:val="21"/>
              </w:rPr>
              <w:t>投标人在参与政府采购活动中出现诚信相关问题且在相关主管部门处理措施实施期限内的本项不得分，否则得满分。投标人无需提供任何证明材料，由评标委员会根据采购系统的查询结果评分。</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5</w:t>
            </w:r>
          </w:p>
        </w:tc>
      </w:tr>
      <w:tr w:rsidR="00C54C61">
        <w:trPr>
          <w:trHeight w:val="23"/>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b/>
                <w:szCs w:val="21"/>
              </w:rPr>
            </w:pPr>
            <w:r>
              <w:rPr>
                <w:rFonts w:ascii="宋体" w:hAnsi="宋体" w:cs="宋体" w:hint="eastAsia"/>
                <w:b/>
                <w:szCs w:val="21"/>
              </w:rPr>
              <w:t>技术部分（45分）</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C54C61">
            <w:pPr>
              <w:pStyle w:val="aff3"/>
              <w:spacing w:line="360" w:lineRule="auto"/>
              <w:ind w:firstLineChars="0" w:firstLine="0"/>
              <w:contextualSpacing/>
              <w:jc w:val="center"/>
              <w:rPr>
                <w:rFonts w:ascii="宋体" w:hAnsi="宋体" w:cs="宋体"/>
                <w:szCs w:val="21"/>
              </w:rPr>
            </w:pP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widowControl/>
              <w:spacing w:line="360" w:lineRule="auto"/>
              <w:contextualSpacing/>
              <w:jc w:val="center"/>
              <w:rPr>
                <w:rFonts w:ascii="宋体" w:hAnsi="宋体" w:cs="宋体"/>
                <w:szCs w:val="21"/>
              </w:rPr>
            </w:pPr>
            <w:r>
              <w:rPr>
                <w:rFonts w:ascii="宋体" w:hAnsi="宋体" w:cs="宋体" w:hint="eastAsia"/>
                <w:szCs w:val="21"/>
              </w:rPr>
              <w:t>重要参数响应</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rPr>
                <w:rFonts w:ascii="宋体" w:hAnsi="宋体" w:cs="宋体"/>
                <w:szCs w:val="21"/>
              </w:rPr>
            </w:pPr>
            <w:r>
              <w:rPr>
                <w:rFonts w:ascii="宋体" w:hAnsi="宋体" w:cs="宋体" w:hint="eastAsia"/>
                <w:szCs w:val="21"/>
              </w:rPr>
              <w:t>1、评审标准：</w:t>
            </w:r>
          </w:p>
          <w:p w:rsidR="00C54C61" w:rsidRDefault="00BF3A17">
            <w:pPr>
              <w:spacing w:line="360" w:lineRule="auto"/>
              <w:contextualSpacing/>
              <w:rPr>
                <w:rFonts w:ascii="宋体" w:hAnsi="宋体" w:cs="宋体"/>
                <w:szCs w:val="21"/>
              </w:rPr>
            </w:pPr>
            <w:r>
              <w:rPr>
                <w:rFonts w:ascii="宋体" w:hAnsi="宋体" w:cs="宋体" w:hint="eastAsia"/>
                <w:szCs w:val="21"/>
              </w:rPr>
              <w:t>投标人应如实填写《技术规格偏离表》，评审委员会根据技术需求参数响应情况进行打分，各项技术参数指标及要求全部满足的得100分，带“▲”重要参数每负偏离一项</w:t>
            </w:r>
            <w:r>
              <w:rPr>
                <w:rFonts w:ascii="宋体" w:hAnsi="宋体" w:cs="宋体" w:hint="eastAsia"/>
                <w:color w:val="C00000"/>
                <w:szCs w:val="21"/>
              </w:rPr>
              <w:t>扣15</w:t>
            </w:r>
            <w:r>
              <w:rPr>
                <w:rFonts w:ascii="宋体" w:hAnsi="宋体" w:cs="宋体" w:hint="eastAsia"/>
                <w:szCs w:val="21"/>
              </w:rPr>
              <w:t>分，扣完为止。</w:t>
            </w:r>
          </w:p>
          <w:p w:rsidR="00C54C61" w:rsidRDefault="00BF3A17">
            <w:pPr>
              <w:spacing w:line="360" w:lineRule="auto"/>
              <w:contextualSpacing/>
              <w:rPr>
                <w:rFonts w:ascii="宋体" w:hAnsi="宋体" w:cs="宋体"/>
                <w:szCs w:val="21"/>
              </w:rPr>
            </w:pPr>
            <w:r>
              <w:rPr>
                <w:rFonts w:ascii="宋体" w:hAnsi="宋体" w:cs="宋体" w:hint="eastAsia"/>
                <w:szCs w:val="21"/>
              </w:rPr>
              <w:t>2、证明文件：</w:t>
            </w:r>
          </w:p>
          <w:p w:rsidR="00C54C61" w:rsidRDefault="00BF3A17">
            <w:pPr>
              <w:spacing w:line="360" w:lineRule="auto"/>
              <w:contextualSpacing/>
              <w:rPr>
                <w:rFonts w:ascii="宋体" w:hAnsi="宋体" w:cs="宋体"/>
                <w:szCs w:val="21"/>
              </w:rPr>
            </w:pPr>
            <w:r>
              <w:rPr>
                <w:rFonts w:ascii="宋体" w:hAnsi="宋体" w:cs="宋体" w:hint="eastAsia"/>
                <w:szCs w:val="21"/>
              </w:rPr>
              <w:t>投标人须如实全面填写《技术规格偏离表》，并按招标文件的要求提供相关证明资料扫描件。投标人未提供相关证明材料或者提供的证明材料不符合要求的或提供的证明材料不清晰导致评审专家无法辨认的，该项参数按照负偏离处理。</w:t>
            </w:r>
          </w:p>
          <w:p w:rsidR="00C54C61" w:rsidRDefault="00BF3A17">
            <w:pPr>
              <w:pStyle w:val="aff3"/>
              <w:spacing w:line="360" w:lineRule="auto"/>
              <w:ind w:firstLineChars="0" w:firstLine="0"/>
              <w:contextualSpacing/>
              <w:rPr>
                <w:rFonts w:ascii="宋体" w:hAnsi="宋体" w:cs="宋体"/>
                <w:bCs/>
                <w:szCs w:val="21"/>
              </w:rPr>
            </w:pPr>
            <w:r>
              <w:rPr>
                <w:rFonts w:ascii="宋体" w:hAnsi="宋体" w:cs="宋体" w:hint="eastAsia"/>
                <w:bCs/>
                <w:szCs w:val="21"/>
              </w:rPr>
              <w:t>投标样品</w:t>
            </w:r>
            <w:r>
              <w:rPr>
                <w:rFonts w:ascii="宋体" w:hAnsi="宋体" w:cs="宋体" w:hint="eastAsia"/>
                <w:szCs w:val="21"/>
              </w:rPr>
              <w:t>与投标文件《技术规格偏离表》中对应的投标内容存在不符的，对应项参数按照负偏离处理。</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25</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pStyle w:val="aff3"/>
              <w:spacing w:line="360" w:lineRule="auto"/>
              <w:ind w:firstLineChars="0" w:firstLine="0"/>
              <w:contextualSpacing/>
              <w:jc w:val="center"/>
              <w:rPr>
                <w:rFonts w:ascii="宋体" w:hAnsi="宋体" w:cs="宋体"/>
                <w:szCs w:val="21"/>
              </w:rPr>
            </w:pPr>
            <w:r>
              <w:rPr>
                <w:rFonts w:ascii="宋体" w:hAnsi="宋体" w:cs="宋体" w:hint="eastAsia"/>
                <w:szCs w:val="21"/>
              </w:rPr>
              <w:t>1</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widowControl/>
              <w:spacing w:line="360" w:lineRule="auto"/>
              <w:contextualSpacing/>
              <w:jc w:val="center"/>
              <w:rPr>
                <w:rFonts w:ascii="宋体" w:hAnsi="宋体" w:cs="宋体"/>
                <w:szCs w:val="21"/>
              </w:rPr>
            </w:pPr>
            <w:r>
              <w:rPr>
                <w:rFonts w:ascii="宋体" w:hAnsi="宋体" w:cs="宋体" w:hint="eastAsia"/>
                <w:szCs w:val="21"/>
              </w:rPr>
              <w:t>一般参数响应</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rPr>
                <w:rFonts w:ascii="宋体" w:hAnsi="宋体" w:cs="宋体"/>
                <w:szCs w:val="21"/>
              </w:rPr>
            </w:pPr>
            <w:r>
              <w:rPr>
                <w:rFonts w:ascii="宋体" w:hAnsi="宋体" w:cs="宋体" w:hint="eastAsia"/>
                <w:szCs w:val="21"/>
              </w:rPr>
              <w:t>1、评审标准：</w:t>
            </w:r>
          </w:p>
          <w:p w:rsidR="00C54C61" w:rsidRDefault="00BF3A17">
            <w:pPr>
              <w:spacing w:line="360" w:lineRule="auto"/>
              <w:contextualSpacing/>
              <w:rPr>
                <w:rFonts w:ascii="宋体" w:hAnsi="宋体" w:cs="宋体"/>
                <w:szCs w:val="21"/>
              </w:rPr>
            </w:pPr>
            <w:r>
              <w:rPr>
                <w:rFonts w:ascii="宋体" w:hAnsi="宋体" w:cs="宋体" w:hint="eastAsia"/>
                <w:szCs w:val="21"/>
              </w:rPr>
              <w:t>投标人应如实填写《技术规格偏离表》，评审委员会根据技术需求参数响应情况进行打分，各项技术参数指标及要求全部满足的得100分，每负偏离一项扣10分；扣完为止。</w:t>
            </w:r>
          </w:p>
          <w:p w:rsidR="00C54C61" w:rsidRDefault="00BF3A17">
            <w:pPr>
              <w:spacing w:line="360" w:lineRule="auto"/>
              <w:contextualSpacing/>
              <w:rPr>
                <w:rFonts w:ascii="宋体" w:hAnsi="宋体" w:cs="宋体"/>
                <w:szCs w:val="21"/>
              </w:rPr>
            </w:pPr>
            <w:r>
              <w:rPr>
                <w:rFonts w:ascii="宋体" w:hAnsi="宋体" w:cs="宋体" w:hint="eastAsia"/>
                <w:szCs w:val="21"/>
              </w:rPr>
              <w:t>2、证明文件：</w:t>
            </w:r>
          </w:p>
          <w:p w:rsidR="00C54C61" w:rsidRDefault="00BF3A17">
            <w:pPr>
              <w:spacing w:line="360" w:lineRule="auto"/>
              <w:contextualSpacing/>
              <w:rPr>
                <w:rFonts w:ascii="宋体" w:hAnsi="宋体" w:cs="宋体"/>
                <w:szCs w:val="21"/>
              </w:rPr>
            </w:pPr>
            <w:r>
              <w:rPr>
                <w:rFonts w:ascii="宋体" w:hAnsi="宋体" w:cs="宋体" w:hint="eastAsia"/>
                <w:szCs w:val="21"/>
              </w:rPr>
              <w:t>投标人须如实全面填写《技术规格偏离表》，并按招标文件的要求提供相关证明资料扫描件。投标人未提供相关证明材料或者提供的证明材料不符合要求的或提供的证明材料不清晰导致评审专家无法辨认的，该项参数按照负偏离处理。</w:t>
            </w:r>
          </w:p>
          <w:p w:rsidR="00C54C61" w:rsidRDefault="00BF3A17">
            <w:pPr>
              <w:pStyle w:val="aff3"/>
              <w:numPr>
                <w:ilvl w:val="0"/>
                <w:numId w:val="8"/>
              </w:numPr>
              <w:spacing w:line="360" w:lineRule="auto"/>
              <w:ind w:left="0" w:firstLineChars="0" w:firstLine="0"/>
              <w:contextualSpacing/>
              <w:rPr>
                <w:rFonts w:ascii="宋体" w:hAnsi="宋体" w:cs="宋体"/>
                <w:kern w:val="0"/>
                <w:szCs w:val="21"/>
              </w:rPr>
            </w:pPr>
            <w:r>
              <w:rPr>
                <w:rFonts w:ascii="宋体" w:hAnsi="宋体" w:cs="宋体" w:hint="eastAsia"/>
                <w:bCs/>
                <w:szCs w:val="21"/>
              </w:rPr>
              <w:t>投标样品</w:t>
            </w:r>
            <w:r>
              <w:rPr>
                <w:rFonts w:ascii="宋体" w:hAnsi="宋体" w:cs="宋体" w:hint="eastAsia"/>
                <w:szCs w:val="21"/>
              </w:rPr>
              <w:t>与投标文件《技术规格偏离表》中对应的投标内容存在不符的，对应项参数按照负偏离处理。</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8</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pStyle w:val="aff3"/>
              <w:spacing w:line="360" w:lineRule="auto"/>
              <w:ind w:firstLineChars="0" w:firstLine="0"/>
              <w:contextualSpacing/>
              <w:jc w:val="center"/>
              <w:rPr>
                <w:rFonts w:ascii="宋体" w:hAnsi="宋体" w:cs="宋体"/>
                <w:szCs w:val="21"/>
              </w:rPr>
            </w:pPr>
            <w:r>
              <w:rPr>
                <w:rFonts w:ascii="宋体" w:hAnsi="宋体" w:cs="宋体" w:hint="eastAsia"/>
                <w:szCs w:val="21"/>
              </w:rPr>
              <w:t>2</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widowControl/>
              <w:spacing w:line="360" w:lineRule="auto"/>
              <w:contextualSpacing/>
              <w:jc w:val="center"/>
              <w:rPr>
                <w:rFonts w:ascii="宋体" w:hAnsi="宋体" w:cs="宋体"/>
                <w:szCs w:val="21"/>
              </w:rPr>
            </w:pPr>
            <w:r>
              <w:rPr>
                <w:rFonts w:ascii="宋体" w:hAnsi="宋体" w:cs="宋体" w:hint="eastAsia"/>
                <w:szCs w:val="21"/>
              </w:rPr>
              <w:t>样品符合性</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rPr>
                <w:rFonts w:ascii="宋体" w:hAnsi="宋体" w:cs="宋体"/>
                <w:szCs w:val="21"/>
              </w:rPr>
            </w:pPr>
            <w:r>
              <w:rPr>
                <w:rFonts w:ascii="宋体" w:hAnsi="宋体" w:cs="宋体" w:hint="eastAsia"/>
                <w:szCs w:val="21"/>
              </w:rPr>
              <w:t>根据投标人提供的实物样品所体现的技术工艺水平是否符合招标文件规定要求进行评审：</w:t>
            </w:r>
          </w:p>
          <w:p w:rsidR="00C54C61" w:rsidRDefault="00BF3A17">
            <w:pPr>
              <w:spacing w:line="360" w:lineRule="auto"/>
              <w:contextualSpacing/>
              <w:rPr>
                <w:rFonts w:ascii="宋体" w:hAnsi="宋体" w:cs="宋体"/>
                <w:szCs w:val="21"/>
              </w:rPr>
            </w:pPr>
            <w:r>
              <w:rPr>
                <w:rFonts w:ascii="宋体" w:hAnsi="宋体" w:cs="宋体" w:hint="eastAsia"/>
                <w:szCs w:val="21"/>
              </w:rPr>
              <w:t>（1）实物样品所体现的技术指标及工艺水平满足或优于招标文件规定，得100分；</w:t>
            </w:r>
          </w:p>
          <w:p w:rsidR="00C54C61" w:rsidRDefault="00BF3A17">
            <w:pPr>
              <w:spacing w:line="360" w:lineRule="auto"/>
              <w:contextualSpacing/>
              <w:rPr>
                <w:rFonts w:ascii="宋体" w:hAnsi="宋体" w:cs="宋体"/>
                <w:szCs w:val="21"/>
              </w:rPr>
            </w:pPr>
            <w:r>
              <w:rPr>
                <w:rFonts w:ascii="宋体" w:hAnsi="宋体" w:cs="宋体" w:hint="eastAsia"/>
                <w:szCs w:val="21"/>
              </w:rPr>
              <w:t>（2）实物样品所体现的技术工艺水平一般得，70分；</w:t>
            </w:r>
          </w:p>
          <w:p w:rsidR="00C54C61" w:rsidRDefault="00BF3A17">
            <w:pPr>
              <w:spacing w:line="360" w:lineRule="auto"/>
              <w:contextualSpacing/>
              <w:rPr>
                <w:rFonts w:ascii="宋体" w:hAnsi="宋体" w:cs="宋体"/>
                <w:szCs w:val="21"/>
              </w:rPr>
            </w:pPr>
            <w:r>
              <w:rPr>
                <w:rFonts w:ascii="宋体" w:hAnsi="宋体" w:cs="宋体" w:hint="eastAsia"/>
                <w:szCs w:val="21"/>
              </w:rPr>
              <w:t>（3）实物样品所体现的技术工艺水平差得，40分。</w:t>
            </w:r>
          </w:p>
          <w:p w:rsidR="00C54C61" w:rsidRDefault="00BF3A17">
            <w:pPr>
              <w:pStyle w:val="a4"/>
              <w:contextualSpacing/>
              <w:rPr>
                <w:rFonts w:ascii="宋体" w:hAnsi="宋体" w:cs="宋体"/>
                <w:sz w:val="21"/>
                <w:szCs w:val="21"/>
              </w:rPr>
            </w:pPr>
            <w:r>
              <w:rPr>
                <w:rFonts w:ascii="宋体" w:hAnsi="宋体" w:cs="宋体" w:hint="eastAsia"/>
                <w:sz w:val="21"/>
                <w:szCs w:val="21"/>
              </w:rPr>
              <w:t>（4）未按照要求提供样品或不提供样品不得分。</w:t>
            </w:r>
          </w:p>
          <w:p w:rsidR="00C54C61" w:rsidRDefault="00BF3A17">
            <w:pPr>
              <w:pStyle w:val="aff3"/>
              <w:spacing w:line="360" w:lineRule="auto"/>
              <w:ind w:firstLineChars="0" w:firstLine="0"/>
              <w:contextualSpacing/>
              <w:rPr>
                <w:rFonts w:ascii="宋体" w:hAnsi="宋体" w:cs="宋体"/>
                <w:kern w:val="0"/>
                <w:szCs w:val="21"/>
              </w:rPr>
            </w:pPr>
            <w:r>
              <w:rPr>
                <w:rFonts w:ascii="宋体" w:hAnsi="宋体" w:cs="宋体" w:hint="eastAsia"/>
                <w:szCs w:val="21"/>
              </w:rPr>
              <w:t>（需提供实物样品做为评分依据，未提供样品或提供不全的不得分。）</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4</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pStyle w:val="aff3"/>
              <w:spacing w:line="360" w:lineRule="auto"/>
              <w:ind w:firstLineChars="0" w:firstLine="0"/>
              <w:contextualSpacing/>
              <w:jc w:val="center"/>
              <w:rPr>
                <w:rFonts w:ascii="宋体" w:hAnsi="宋体" w:cs="宋体"/>
                <w:szCs w:val="21"/>
              </w:rPr>
            </w:pPr>
            <w:r>
              <w:rPr>
                <w:rFonts w:ascii="宋体" w:hAnsi="宋体" w:cs="宋体" w:hint="eastAsia"/>
                <w:szCs w:val="21"/>
              </w:rPr>
              <w:t>3</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widowControl/>
              <w:spacing w:line="360" w:lineRule="auto"/>
              <w:contextualSpacing/>
              <w:jc w:val="center"/>
              <w:rPr>
                <w:rFonts w:ascii="宋体" w:hAnsi="宋体" w:cs="宋体"/>
                <w:szCs w:val="21"/>
              </w:rPr>
            </w:pPr>
            <w:r>
              <w:rPr>
                <w:rFonts w:ascii="宋体" w:hAnsi="宋体" w:cs="宋体" w:hint="eastAsia"/>
                <w:bCs/>
                <w:szCs w:val="21"/>
              </w:rPr>
              <w:t>项目实施方案</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widowControl/>
              <w:numPr>
                <w:ilvl w:val="0"/>
                <w:numId w:val="9"/>
              </w:numPr>
              <w:spacing w:line="360" w:lineRule="auto"/>
              <w:contextualSpacing/>
              <w:jc w:val="left"/>
              <w:rPr>
                <w:rFonts w:ascii="宋体" w:hAnsi="宋体" w:cs="宋体"/>
                <w:kern w:val="0"/>
                <w:szCs w:val="21"/>
              </w:rPr>
            </w:pPr>
            <w:r>
              <w:rPr>
                <w:rFonts w:ascii="宋体" w:hAnsi="宋体" w:cs="宋体" w:hint="eastAsia"/>
                <w:kern w:val="0"/>
                <w:szCs w:val="21"/>
              </w:rPr>
              <w:t xml:space="preserve">评分内容：投标人应在投标文件中针对本项目详细说明项目实施方案，方案应包括供货方案、质量保障方案，要求方案要全面、具体、针对性强、科学合理、可操作性强。 </w:t>
            </w:r>
          </w:p>
          <w:p w:rsidR="00C54C61" w:rsidRDefault="00BF3A17">
            <w:pPr>
              <w:widowControl/>
              <w:numPr>
                <w:ilvl w:val="0"/>
                <w:numId w:val="9"/>
              </w:numPr>
              <w:spacing w:line="360" w:lineRule="auto"/>
              <w:contextualSpacing/>
              <w:jc w:val="left"/>
              <w:rPr>
                <w:rFonts w:ascii="宋体" w:hAnsi="宋体" w:cs="宋体"/>
                <w:szCs w:val="21"/>
              </w:rPr>
            </w:pPr>
            <w:r>
              <w:rPr>
                <w:rFonts w:ascii="宋体" w:hAnsi="宋体" w:cs="宋体" w:hint="eastAsia"/>
                <w:kern w:val="0"/>
                <w:szCs w:val="21"/>
              </w:rPr>
              <w:t>评分依据：评审委员会根据招标文件的需求和投标文件的响应情况，进行评价及分档评分：</w:t>
            </w:r>
          </w:p>
          <w:p w:rsidR="00C54C61" w:rsidRDefault="00BF3A17">
            <w:pPr>
              <w:widowControl/>
              <w:numPr>
                <w:ilvl w:val="0"/>
                <w:numId w:val="10"/>
              </w:numPr>
              <w:spacing w:line="360" w:lineRule="auto"/>
              <w:contextualSpacing/>
              <w:jc w:val="left"/>
              <w:rPr>
                <w:rFonts w:ascii="宋体" w:hAnsi="宋体" w:cs="宋体"/>
                <w:kern w:val="0"/>
                <w:szCs w:val="21"/>
              </w:rPr>
            </w:pPr>
            <w:r>
              <w:rPr>
                <w:rFonts w:ascii="宋体" w:hAnsi="宋体" w:cs="宋体" w:hint="eastAsia"/>
                <w:kern w:val="0"/>
                <w:szCs w:val="21"/>
              </w:rPr>
              <w:t>技术实施保障措施内容全面；</w:t>
            </w:r>
          </w:p>
          <w:p w:rsidR="00C54C61" w:rsidRDefault="00BF3A17">
            <w:pPr>
              <w:widowControl/>
              <w:numPr>
                <w:ilvl w:val="0"/>
                <w:numId w:val="10"/>
              </w:numPr>
              <w:spacing w:line="360" w:lineRule="auto"/>
              <w:contextualSpacing/>
              <w:jc w:val="left"/>
              <w:rPr>
                <w:rFonts w:ascii="宋体" w:hAnsi="宋体" w:cs="宋体"/>
                <w:szCs w:val="21"/>
              </w:rPr>
            </w:pPr>
            <w:r>
              <w:rPr>
                <w:rFonts w:ascii="宋体" w:hAnsi="宋体" w:cs="宋体" w:hint="eastAsia"/>
                <w:kern w:val="0"/>
                <w:szCs w:val="21"/>
              </w:rPr>
              <w:t xml:space="preserve">技术保障措施内容具体； </w:t>
            </w:r>
          </w:p>
          <w:p w:rsidR="00C54C61" w:rsidRDefault="00BF3A17">
            <w:pPr>
              <w:widowControl/>
              <w:numPr>
                <w:ilvl w:val="0"/>
                <w:numId w:val="10"/>
              </w:numPr>
              <w:spacing w:line="360" w:lineRule="auto"/>
              <w:contextualSpacing/>
              <w:jc w:val="left"/>
              <w:rPr>
                <w:rFonts w:ascii="宋体" w:hAnsi="宋体" w:cs="宋体"/>
                <w:kern w:val="0"/>
                <w:szCs w:val="21"/>
              </w:rPr>
            </w:pPr>
            <w:r>
              <w:rPr>
                <w:rFonts w:ascii="宋体" w:hAnsi="宋体" w:cs="宋体" w:hint="eastAsia"/>
                <w:kern w:val="0"/>
                <w:szCs w:val="21"/>
              </w:rPr>
              <w:t>技术实施保障措施内容科学合理；</w:t>
            </w:r>
          </w:p>
          <w:p w:rsidR="00C54C61" w:rsidRDefault="00BF3A17">
            <w:pPr>
              <w:widowControl/>
              <w:numPr>
                <w:ilvl w:val="0"/>
                <w:numId w:val="10"/>
              </w:numPr>
              <w:spacing w:line="360" w:lineRule="auto"/>
              <w:contextualSpacing/>
              <w:jc w:val="left"/>
              <w:rPr>
                <w:rFonts w:ascii="宋体" w:hAnsi="宋体" w:cs="宋体"/>
                <w:szCs w:val="21"/>
              </w:rPr>
            </w:pPr>
            <w:r>
              <w:rPr>
                <w:rFonts w:ascii="宋体" w:hAnsi="宋体" w:cs="宋体" w:hint="eastAsia"/>
                <w:kern w:val="0"/>
                <w:szCs w:val="21"/>
              </w:rPr>
              <w:t>技术实施保障措施内容针对性强；</w:t>
            </w:r>
          </w:p>
          <w:p w:rsidR="00C54C61" w:rsidRDefault="00BF3A17">
            <w:pPr>
              <w:widowControl/>
              <w:numPr>
                <w:ilvl w:val="0"/>
                <w:numId w:val="10"/>
              </w:numPr>
              <w:spacing w:line="360" w:lineRule="auto"/>
              <w:contextualSpacing/>
              <w:jc w:val="left"/>
              <w:rPr>
                <w:rFonts w:ascii="宋体" w:hAnsi="宋体" w:cs="宋体"/>
                <w:szCs w:val="21"/>
              </w:rPr>
            </w:pPr>
            <w:r>
              <w:rPr>
                <w:rFonts w:ascii="宋体" w:hAnsi="宋体" w:cs="宋体" w:hint="eastAsia"/>
                <w:kern w:val="0"/>
                <w:szCs w:val="21"/>
              </w:rPr>
              <w:t xml:space="preserve">技术实施保障措施内容可操作性强。 </w:t>
            </w:r>
          </w:p>
          <w:p w:rsidR="00C54C61" w:rsidRDefault="00BF3A17">
            <w:pPr>
              <w:widowControl/>
              <w:spacing w:line="360" w:lineRule="auto"/>
              <w:contextualSpacing/>
              <w:jc w:val="left"/>
              <w:rPr>
                <w:rFonts w:ascii="宋体" w:hAnsi="宋体" w:cs="宋体"/>
                <w:kern w:val="0"/>
                <w:szCs w:val="21"/>
              </w:rPr>
            </w:pPr>
            <w:r>
              <w:rPr>
                <w:rFonts w:ascii="宋体" w:hAnsi="宋体" w:cs="宋体" w:hint="eastAsia"/>
                <w:kern w:val="0"/>
                <w:szCs w:val="21"/>
              </w:rPr>
              <w:t>优评分标准：满足以上五项要求的评价为优，得100分；</w:t>
            </w:r>
          </w:p>
          <w:p w:rsidR="00C54C61" w:rsidRDefault="00BF3A17">
            <w:pPr>
              <w:widowControl/>
              <w:spacing w:line="360" w:lineRule="auto"/>
              <w:contextualSpacing/>
              <w:jc w:val="left"/>
              <w:rPr>
                <w:rFonts w:ascii="宋体" w:hAnsi="宋体" w:cs="宋体"/>
                <w:kern w:val="0"/>
                <w:szCs w:val="21"/>
              </w:rPr>
            </w:pPr>
            <w:r>
              <w:rPr>
                <w:rFonts w:ascii="宋体" w:hAnsi="宋体" w:cs="宋体" w:hint="eastAsia"/>
                <w:kern w:val="0"/>
                <w:szCs w:val="21"/>
              </w:rPr>
              <w:t>良评分标准：满足以上四项要求的评价为良，得 80分；</w:t>
            </w:r>
          </w:p>
          <w:p w:rsidR="00C54C61" w:rsidRDefault="00BF3A17">
            <w:pPr>
              <w:widowControl/>
              <w:spacing w:line="360" w:lineRule="auto"/>
              <w:contextualSpacing/>
              <w:jc w:val="left"/>
              <w:rPr>
                <w:rFonts w:ascii="宋体" w:hAnsi="宋体" w:cs="宋体"/>
                <w:kern w:val="0"/>
                <w:szCs w:val="21"/>
              </w:rPr>
            </w:pPr>
            <w:r>
              <w:rPr>
                <w:rFonts w:ascii="宋体" w:hAnsi="宋体" w:cs="宋体" w:hint="eastAsia"/>
                <w:kern w:val="0"/>
                <w:szCs w:val="21"/>
              </w:rPr>
              <w:t>中评分标准：满足以上三项要求的评价为中，得60 分；</w:t>
            </w:r>
          </w:p>
          <w:p w:rsidR="00C54C61" w:rsidRDefault="00BF3A17">
            <w:pPr>
              <w:widowControl/>
              <w:spacing w:line="360" w:lineRule="auto"/>
              <w:contextualSpacing/>
              <w:jc w:val="left"/>
              <w:rPr>
                <w:rFonts w:ascii="宋体" w:hAnsi="宋体" w:cs="宋体"/>
                <w:kern w:val="0"/>
                <w:szCs w:val="21"/>
              </w:rPr>
            </w:pPr>
            <w:r>
              <w:rPr>
                <w:rFonts w:ascii="宋体" w:hAnsi="宋体" w:cs="宋体" w:hint="eastAsia"/>
                <w:kern w:val="0"/>
                <w:szCs w:val="21"/>
              </w:rPr>
              <w:t>合格评分标准：满足以上二项要求的评价为中，得 20分；</w:t>
            </w:r>
          </w:p>
          <w:p w:rsidR="00C54C61" w:rsidRDefault="00BF3A17">
            <w:pPr>
              <w:widowControl/>
              <w:spacing w:line="360" w:lineRule="auto"/>
              <w:contextualSpacing/>
              <w:jc w:val="left"/>
              <w:rPr>
                <w:rFonts w:ascii="宋体" w:hAnsi="宋体" w:cs="宋体"/>
                <w:szCs w:val="21"/>
              </w:rPr>
            </w:pPr>
            <w:r>
              <w:rPr>
                <w:rFonts w:ascii="宋体" w:hAnsi="宋体" w:cs="宋体" w:hint="eastAsia"/>
                <w:kern w:val="0"/>
                <w:szCs w:val="21"/>
              </w:rPr>
              <w:t xml:space="preserve">差评分标准：上述情况之外的评差，得0 分。 </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4</w:t>
            </w:r>
          </w:p>
        </w:tc>
      </w:tr>
      <w:tr w:rsidR="00C54C61">
        <w:trPr>
          <w:trHeight w:val="23"/>
          <w:jc w:val="center"/>
        </w:trPr>
        <w:tc>
          <w:tcPr>
            <w:tcW w:w="378" w:type="pct"/>
            <w:tcBorders>
              <w:top w:val="single" w:sz="4" w:space="0" w:color="auto"/>
              <w:left w:val="single" w:sz="4" w:space="0" w:color="auto"/>
              <w:bottom w:val="single" w:sz="4" w:space="0" w:color="auto"/>
              <w:right w:val="single" w:sz="4" w:space="0" w:color="auto"/>
            </w:tcBorders>
            <w:vAlign w:val="center"/>
          </w:tcPr>
          <w:p w:rsidR="00C54C61" w:rsidRDefault="00BF3A17">
            <w:pPr>
              <w:pStyle w:val="aff3"/>
              <w:spacing w:line="360" w:lineRule="auto"/>
              <w:ind w:firstLineChars="0" w:firstLine="0"/>
              <w:contextualSpacing/>
              <w:jc w:val="center"/>
              <w:rPr>
                <w:rFonts w:ascii="宋体" w:hAnsi="宋体" w:cs="宋体"/>
                <w:szCs w:val="21"/>
              </w:rPr>
            </w:pPr>
            <w:r>
              <w:rPr>
                <w:rFonts w:ascii="宋体" w:hAnsi="宋体" w:cs="宋体" w:hint="eastAsia"/>
                <w:szCs w:val="21"/>
              </w:rPr>
              <w:t>4</w:t>
            </w:r>
          </w:p>
        </w:tc>
        <w:tc>
          <w:tcPr>
            <w:tcW w:w="885" w:type="pct"/>
            <w:tcBorders>
              <w:top w:val="single" w:sz="4" w:space="0" w:color="auto"/>
              <w:left w:val="single" w:sz="4" w:space="0" w:color="auto"/>
              <w:bottom w:val="single" w:sz="4" w:space="0" w:color="auto"/>
              <w:right w:val="single" w:sz="4" w:space="0" w:color="auto"/>
            </w:tcBorders>
            <w:vAlign w:val="center"/>
          </w:tcPr>
          <w:p w:rsidR="00C54C61" w:rsidRDefault="00BF3A17">
            <w:pPr>
              <w:widowControl/>
              <w:spacing w:line="360" w:lineRule="auto"/>
              <w:contextualSpacing/>
              <w:jc w:val="center"/>
              <w:rPr>
                <w:rFonts w:ascii="宋体" w:hAnsi="宋体" w:cs="宋体"/>
                <w:szCs w:val="21"/>
              </w:rPr>
            </w:pPr>
            <w:r>
              <w:rPr>
                <w:rFonts w:ascii="宋体" w:hAnsi="宋体" w:cs="宋体" w:hint="eastAsia"/>
                <w:szCs w:val="21"/>
              </w:rPr>
              <w:t>售后服务方案</w:t>
            </w:r>
          </w:p>
        </w:tc>
        <w:tc>
          <w:tcPr>
            <w:tcW w:w="3382"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rPr>
                <w:rFonts w:ascii="宋体" w:hAnsi="宋体" w:cs="宋体"/>
                <w:szCs w:val="21"/>
              </w:rPr>
            </w:pPr>
            <w:r>
              <w:rPr>
                <w:rFonts w:ascii="宋体" w:hAnsi="宋体" w:cs="宋体" w:hint="eastAsia"/>
                <w:szCs w:val="21"/>
              </w:rPr>
              <w:t xml:space="preserve">（一）评分内容： 投标人应在投标文件中针对本项目详细说明售后服务方案，方案应包括售后服务团队、应急响应时间、售后服务车辆、配送方案等，要求方案要全面、具体、针对性强、科学合理、可操作性强。 </w:t>
            </w:r>
          </w:p>
          <w:p w:rsidR="00C54C61" w:rsidRDefault="00BF3A17">
            <w:pPr>
              <w:spacing w:line="360" w:lineRule="auto"/>
              <w:contextualSpacing/>
              <w:rPr>
                <w:rFonts w:ascii="宋体" w:hAnsi="宋体" w:cs="宋体"/>
                <w:szCs w:val="21"/>
              </w:rPr>
            </w:pPr>
            <w:r>
              <w:rPr>
                <w:rFonts w:ascii="宋体" w:hAnsi="宋体" w:cs="宋体" w:hint="eastAsia"/>
                <w:szCs w:val="21"/>
              </w:rPr>
              <w:t>（二）评分依据：评审委员会根据招标文件的需求和投标文件的响应情况，进行评价及分档评分：</w:t>
            </w:r>
          </w:p>
          <w:p w:rsidR="00C54C61" w:rsidRDefault="00BF3A17">
            <w:pPr>
              <w:spacing w:line="360" w:lineRule="auto"/>
              <w:contextualSpacing/>
              <w:rPr>
                <w:rFonts w:ascii="宋体" w:hAnsi="宋体" w:cs="宋体"/>
                <w:szCs w:val="21"/>
              </w:rPr>
            </w:pPr>
            <w:r>
              <w:rPr>
                <w:rFonts w:ascii="宋体" w:hAnsi="宋体" w:cs="宋体" w:hint="eastAsia"/>
                <w:szCs w:val="21"/>
              </w:rPr>
              <w:t>（1）技术实施保障措施内容全面；</w:t>
            </w:r>
          </w:p>
          <w:p w:rsidR="00C54C61" w:rsidRDefault="00BF3A17">
            <w:pPr>
              <w:spacing w:line="360" w:lineRule="auto"/>
              <w:contextualSpacing/>
              <w:rPr>
                <w:rFonts w:ascii="宋体" w:hAnsi="宋体" w:cs="宋体"/>
                <w:szCs w:val="21"/>
              </w:rPr>
            </w:pPr>
            <w:r>
              <w:rPr>
                <w:rFonts w:ascii="宋体" w:hAnsi="宋体" w:cs="宋体" w:hint="eastAsia"/>
                <w:szCs w:val="21"/>
              </w:rPr>
              <w:t>（2）技术保障措施内容具体；</w:t>
            </w:r>
          </w:p>
          <w:p w:rsidR="00C54C61" w:rsidRDefault="00BF3A17">
            <w:pPr>
              <w:spacing w:line="360" w:lineRule="auto"/>
              <w:contextualSpacing/>
              <w:rPr>
                <w:rFonts w:ascii="宋体" w:hAnsi="宋体" w:cs="宋体"/>
                <w:szCs w:val="21"/>
              </w:rPr>
            </w:pPr>
            <w:r>
              <w:rPr>
                <w:rFonts w:ascii="宋体" w:hAnsi="宋体" w:cs="宋体" w:hint="eastAsia"/>
                <w:szCs w:val="21"/>
              </w:rPr>
              <w:t>（3）技术实施保障措施内容科学合理；</w:t>
            </w:r>
          </w:p>
          <w:p w:rsidR="00C54C61" w:rsidRDefault="00BF3A17">
            <w:pPr>
              <w:spacing w:line="360" w:lineRule="auto"/>
              <w:contextualSpacing/>
              <w:rPr>
                <w:rFonts w:ascii="宋体" w:hAnsi="宋体" w:cs="宋体"/>
                <w:szCs w:val="21"/>
              </w:rPr>
            </w:pPr>
            <w:r>
              <w:rPr>
                <w:rFonts w:ascii="宋体" w:hAnsi="宋体" w:cs="宋体" w:hint="eastAsia"/>
                <w:szCs w:val="21"/>
              </w:rPr>
              <w:t>（4）技术实施保障措施内容针对性强；</w:t>
            </w:r>
          </w:p>
          <w:p w:rsidR="00C54C61" w:rsidRDefault="00BF3A17">
            <w:pPr>
              <w:spacing w:line="360" w:lineRule="auto"/>
              <w:contextualSpacing/>
              <w:rPr>
                <w:rFonts w:ascii="宋体" w:hAnsi="宋体" w:cs="宋体"/>
                <w:szCs w:val="21"/>
              </w:rPr>
            </w:pPr>
            <w:r>
              <w:rPr>
                <w:rFonts w:ascii="宋体" w:hAnsi="宋体" w:cs="宋体" w:hint="eastAsia"/>
                <w:szCs w:val="21"/>
              </w:rPr>
              <w:t xml:space="preserve">（5）技术实施保障措施内容可操作性强。 </w:t>
            </w:r>
          </w:p>
          <w:p w:rsidR="00C54C61" w:rsidRDefault="00BF3A17">
            <w:pPr>
              <w:spacing w:line="360" w:lineRule="auto"/>
              <w:contextualSpacing/>
              <w:rPr>
                <w:rFonts w:ascii="宋体" w:hAnsi="宋体" w:cs="宋体"/>
                <w:szCs w:val="21"/>
              </w:rPr>
            </w:pPr>
            <w:r>
              <w:rPr>
                <w:rFonts w:ascii="宋体" w:hAnsi="宋体" w:cs="宋体" w:hint="eastAsia"/>
                <w:szCs w:val="21"/>
              </w:rPr>
              <w:t>优评分标准： 满足以上五项要求的评价为优，得100分；</w:t>
            </w:r>
          </w:p>
          <w:p w:rsidR="00C54C61" w:rsidRDefault="00BF3A17">
            <w:pPr>
              <w:spacing w:line="360" w:lineRule="auto"/>
              <w:contextualSpacing/>
              <w:rPr>
                <w:rFonts w:ascii="宋体" w:hAnsi="宋体" w:cs="宋体"/>
                <w:szCs w:val="21"/>
              </w:rPr>
            </w:pPr>
            <w:r>
              <w:rPr>
                <w:rFonts w:ascii="宋体" w:hAnsi="宋体" w:cs="宋体" w:hint="eastAsia"/>
                <w:szCs w:val="21"/>
              </w:rPr>
              <w:t>良评分标准：满足以上四项要求的评价为良， 得80分；</w:t>
            </w:r>
          </w:p>
          <w:p w:rsidR="00C54C61" w:rsidRDefault="00BF3A17">
            <w:pPr>
              <w:spacing w:line="360" w:lineRule="auto"/>
              <w:contextualSpacing/>
              <w:rPr>
                <w:rFonts w:ascii="宋体" w:hAnsi="宋体" w:cs="宋体"/>
                <w:szCs w:val="21"/>
              </w:rPr>
            </w:pPr>
            <w:r>
              <w:rPr>
                <w:rFonts w:ascii="宋体" w:hAnsi="宋体" w:cs="宋体" w:hint="eastAsia"/>
                <w:szCs w:val="21"/>
              </w:rPr>
              <w:t>中评分标准：满足以上三项要求的评价为中，得 60分；</w:t>
            </w:r>
          </w:p>
          <w:p w:rsidR="00C54C61" w:rsidRDefault="00BF3A17">
            <w:pPr>
              <w:spacing w:line="360" w:lineRule="auto"/>
              <w:contextualSpacing/>
              <w:rPr>
                <w:rFonts w:ascii="宋体" w:hAnsi="宋体" w:cs="宋体"/>
                <w:szCs w:val="21"/>
              </w:rPr>
            </w:pPr>
            <w:r>
              <w:rPr>
                <w:rFonts w:ascii="宋体" w:hAnsi="宋体" w:cs="宋体" w:hint="eastAsia"/>
                <w:szCs w:val="21"/>
              </w:rPr>
              <w:t>合格评分标准：满足以上二项要求的评价为中，得 20分；</w:t>
            </w:r>
          </w:p>
          <w:p w:rsidR="00C54C61" w:rsidRDefault="00BF3A17">
            <w:pPr>
              <w:spacing w:line="360" w:lineRule="auto"/>
              <w:contextualSpacing/>
              <w:rPr>
                <w:rFonts w:ascii="宋体" w:hAnsi="宋体" w:cs="宋体"/>
                <w:szCs w:val="21"/>
              </w:rPr>
            </w:pPr>
            <w:r>
              <w:rPr>
                <w:rFonts w:ascii="宋体" w:hAnsi="宋体" w:cs="宋体" w:hint="eastAsia"/>
                <w:szCs w:val="21"/>
              </w:rPr>
              <w:t>差评分标准：上述情况之外的评差，得 0 分。</w:t>
            </w:r>
          </w:p>
        </w:tc>
        <w:tc>
          <w:tcPr>
            <w:tcW w:w="353" w:type="pct"/>
            <w:tcBorders>
              <w:top w:val="single" w:sz="4" w:space="0" w:color="auto"/>
              <w:left w:val="single" w:sz="4" w:space="0" w:color="auto"/>
              <w:bottom w:val="single" w:sz="4" w:space="0" w:color="auto"/>
              <w:right w:val="single" w:sz="4" w:space="0" w:color="auto"/>
            </w:tcBorders>
            <w:vAlign w:val="center"/>
          </w:tcPr>
          <w:p w:rsidR="00C54C61" w:rsidRDefault="00BF3A17">
            <w:pPr>
              <w:spacing w:line="360" w:lineRule="auto"/>
              <w:contextualSpacing/>
              <w:jc w:val="center"/>
              <w:rPr>
                <w:rFonts w:ascii="宋体" w:hAnsi="宋体" w:cs="宋体"/>
                <w:szCs w:val="21"/>
              </w:rPr>
            </w:pPr>
            <w:r>
              <w:rPr>
                <w:rFonts w:ascii="宋体" w:hAnsi="宋体" w:cs="宋体" w:hint="eastAsia"/>
                <w:szCs w:val="21"/>
              </w:rPr>
              <w:t>4</w:t>
            </w:r>
          </w:p>
        </w:tc>
      </w:tr>
    </w:tbl>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BF3A17">
      <w:pPr>
        <w:pStyle w:val="4"/>
        <w:spacing w:before="0" w:after="0" w:line="360" w:lineRule="auto"/>
        <w:contextualSpacing/>
        <w:jc w:val="center"/>
        <w:rPr>
          <w:rFonts w:ascii="宋体" w:eastAsia="宋体" w:hAnsi="宋体"/>
          <w:szCs w:val="32"/>
        </w:rPr>
      </w:pPr>
      <w:r>
        <w:rPr>
          <w:rFonts w:ascii="宋体" w:eastAsia="宋体" w:hAnsi="宋体" w:hint="eastAsia"/>
          <w:szCs w:val="32"/>
        </w:rPr>
        <w:t xml:space="preserve"> 其它关键信息</w:t>
      </w:r>
    </w:p>
    <w:p w:rsidR="00C54C61" w:rsidRDefault="00BF3A17">
      <w:pPr>
        <w:spacing w:line="360" w:lineRule="auto"/>
        <w:ind w:firstLineChars="1550" w:firstLine="3268"/>
        <w:contextualSpacing/>
        <w:rPr>
          <w:b/>
        </w:rPr>
      </w:pPr>
      <w:r>
        <w:rPr>
          <w:rFonts w:hint="eastAsia"/>
          <w:b/>
        </w:rPr>
        <w:t xml:space="preserve"> </w:t>
      </w:r>
      <w:r>
        <w:rPr>
          <w:rFonts w:hint="eastAsia"/>
          <w:b/>
        </w:rPr>
        <w:t>一、评标定标信息</w:t>
      </w:r>
    </w:p>
    <w:p w:rsidR="00C54C61" w:rsidRDefault="00C54C61">
      <w:pPr>
        <w:spacing w:line="360" w:lineRule="auto"/>
        <w:contextualSpacing/>
      </w:pPr>
    </w:p>
    <w:p w:rsidR="00C54C61" w:rsidRDefault="00BF3A17">
      <w:pPr>
        <w:spacing w:line="360" w:lineRule="auto"/>
        <w:contextualSpacing/>
      </w:pPr>
      <w:r>
        <w:rPr>
          <w:rFonts w:hint="eastAsia"/>
        </w:rPr>
        <w:t xml:space="preserve">                               </w:t>
      </w:r>
      <w:r>
        <w:rPr>
          <w:rFonts w:hint="eastAsia"/>
          <w:b/>
        </w:rPr>
        <w:t>非评定分离项目</w:t>
      </w:r>
    </w:p>
    <w:tbl>
      <w:tblPr>
        <w:tblStyle w:val="af7"/>
        <w:tblW w:w="0" w:type="auto"/>
        <w:tblLayout w:type="fixed"/>
        <w:tblLook w:val="04A0" w:firstRow="1" w:lastRow="0" w:firstColumn="1" w:lastColumn="0" w:noHBand="0" w:noVBand="1"/>
      </w:tblPr>
      <w:tblGrid>
        <w:gridCol w:w="4264"/>
        <w:gridCol w:w="4265"/>
      </w:tblGrid>
      <w:tr w:rsidR="00C54C61">
        <w:tc>
          <w:tcPr>
            <w:tcW w:w="4264" w:type="dxa"/>
          </w:tcPr>
          <w:p w:rsidR="00C54C61" w:rsidRDefault="00BF3A17">
            <w:pPr>
              <w:spacing w:line="360" w:lineRule="auto"/>
              <w:contextualSpacing/>
              <w:jc w:val="center"/>
            </w:pPr>
            <w:r>
              <w:rPr>
                <w:rFonts w:hint="eastAsia"/>
              </w:rPr>
              <w:t>评标方法</w:t>
            </w:r>
          </w:p>
        </w:tc>
        <w:tc>
          <w:tcPr>
            <w:tcW w:w="4265" w:type="dxa"/>
          </w:tcPr>
          <w:p w:rsidR="00C54C61" w:rsidRDefault="00BF3A17">
            <w:pPr>
              <w:spacing w:line="360" w:lineRule="auto"/>
              <w:contextualSpacing/>
              <w:jc w:val="center"/>
            </w:pPr>
            <w:r>
              <w:rPr>
                <w:rFonts w:hint="eastAsia"/>
              </w:rPr>
              <w:t>综合评分法</w:t>
            </w:r>
          </w:p>
        </w:tc>
      </w:tr>
      <w:tr w:rsidR="00C54C61">
        <w:tc>
          <w:tcPr>
            <w:tcW w:w="4264" w:type="dxa"/>
          </w:tcPr>
          <w:p w:rsidR="00C54C61" w:rsidRDefault="00BF3A17">
            <w:pPr>
              <w:spacing w:line="360" w:lineRule="auto"/>
              <w:contextualSpacing/>
              <w:jc w:val="center"/>
            </w:pPr>
            <w:r>
              <w:rPr>
                <w:rFonts w:hint="eastAsia"/>
              </w:rPr>
              <w:t>中标供应商家数</w:t>
            </w:r>
          </w:p>
        </w:tc>
        <w:tc>
          <w:tcPr>
            <w:tcW w:w="4265" w:type="dxa"/>
          </w:tcPr>
          <w:p w:rsidR="00C54C61" w:rsidRDefault="00BF3A17">
            <w:pPr>
              <w:spacing w:line="360" w:lineRule="auto"/>
              <w:contextualSpacing/>
              <w:jc w:val="center"/>
            </w:pPr>
            <w:r>
              <w:rPr>
                <w:rFonts w:hint="eastAsia"/>
              </w:rPr>
              <w:t>1</w:t>
            </w:r>
          </w:p>
        </w:tc>
      </w:tr>
    </w:tbl>
    <w:p w:rsidR="00C54C61" w:rsidRDefault="00C54C61">
      <w:pPr>
        <w:spacing w:line="360" w:lineRule="auto"/>
        <w:contextualSpacing/>
      </w:pPr>
    </w:p>
    <w:p w:rsidR="00C54C61" w:rsidRDefault="00C54C61">
      <w:pPr>
        <w:spacing w:line="360" w:lineRule="auto"/>
        <w:contextualSpacing/>
      </w:pPr>
    </w:p>
    <w:p w:rsidR="00C54C61" w:rsidRDefault="00BF3A17">
      <w:pPr>
        <w:spacing w:line="360" w:lineRule="auto"/>
        <w:contextualSpacing/>
        <w:rPr>
          <w:b/>
        </w:rPr>
      </w:pPr>
      <w:r>
        <w:rPr>
          <w:rFonts w:hint="eastAsia"/>
        </w:rPr>
        <w:t xml:space="preserve"> </w:t>
      </w:r>
      <w:r>
        <w:rPr>
          <w:rFonts w:hint="eastAsia"/>
          <w:b/>
        </w:rPr>
        <w:t xml:space="preserve">                  </w:t>
      </w:r>
      <w:r>
        <w:rPr>
          <w:rFonts w:hint="eastAsia"/>
          <w:b/>
        </w:rPr>
        <w:t>二、关于享受优惠政策的主体及价格扣除比例</w:t>
      </w:r>
    </w:p>
    <w:p w:rsidR="00C54C61" w:rsidRDefault="00BF3A17">
      <w:pPr>
        <w:spacing w:line="360" w:lineRule="auto"/>
        <w:ind w:firstLineChars="200" w:firstLine="420"/>
        <w:contextualSpacing/>
      </w:pPr>
      <w:r>
        <w:rPr>
          <w:rFonts w:hint="eastAsia"/>
        </w:rPr>
        <w:t>（一）小型企业、微型企业、监狱企业、残疾人福利性单位提供本企业制造的货物，或者提供其他符合优惠主体资格条件企业制造的货物，</w:t>
      </w:r>
      <w:r>
        <w:rPr>
          <w:rFonts w:hint="eastAsia"/>
          <w:b/>
          <w:color w:val="FF0000"/>
        </w:rPr>
        <w:t>以及非小微企业提供（代理销售）小微企业制造的货物，</w:t>
      </w:r>
      <w:r>
        <w:rPr>
          <w:rFonts w:hint="eastAsia"/>
        </w:rPr>
        <w:t>对其所投产品的价格给予</w:t>
      </w:r>
      <w:r>
        <w:rPr>
          <w:rFonts w:hint="eastAsia"/>
          <w:color w:val="FF0000"/>
          <w:u w:val="single"/>
        </w:rPr>
        <w:t xml:space="preserve">6 </w:t>
      </w:r>
      <w:r>
        <w:t>%</w:t>
      </w:r>
      <w:r>
        <w:rPr>
          <w:rFonts w:hint="eastAsia"/>
        </w:rPr>
        <w:t>的扣除，</w:t>
      </w:r>
      <w:r>
        <w:rPr>
          <w:rFonts w:hint="eastAsia"/>
        </w:rPr>
        <w:t xml:space="preserve"> </w:t>
      </w:r>
      <w:r>
        <w:rPr>
          <w:rFonts w:hint="eastAsia"/>
        </w:rPr>
        <w:t>用扣除后的价格参与评审。满足多项优惠政策的企业，不重复享受多项价格扣除政策。（以上所提货物，是指单一产品采购项目中的货物，或者非单一产品采购项目中的核心产品（货物），不包括使用大型企业注册商标的货物。）</w:t>
      </w:r>
    </w:p>
    <w:p w:rsidR="00C54C61" w:rsidRDefault="00BF3A17">
      <w:pPr>
        <w:spacing w:line="360" w:lineRule="auto"/>
        <w:ind w:firstLineChars="200" w:firstLine="420"/>
        <w:contextualSpacing/>
      </w:pPr>
      <w:r>
        <w:rPr>
          <w:rFonts w:hint="eastAsia"/>
        </w:rPr>
        <w:t>（二）优惠主体资格的认定资料为《中小企业声明函》、《残疾人福利性单位声明函》以及《监狱企业声明函》等承诺性质的资料（声明函样式见本招标文件第一册第三章“投标文件格式、附件”中“四、投标人情况介绍”章节提供的格式）；监狱企业或者代理提供监狱企业货物的供应商如须享受优惠政策，除上述资料外，还须提供省级以上监狱管理局、戒毒管理局出具的监狱企业证明文件。</w:t>
      </w:r>
    </w:p>
    <w:p w:rsidR="00C54C61" w:rsidRDefault="00BF3A17">
      <w:pPr>
        <w:spacing w:line="360" w:lineRule="auto"/>
        <w:contextualSpacing/>
        <w:jc w:val="center"/>
        <w:rPr>
          <w:b/>
        </w:rPr>
      </w:pPr>
      <w:r>
        <w:rPr>
          <w:rFonts w:hint="eastAsia"/>
          <w:b/>
        </w:rPr>
        <w:t>三、关于失信供应商的价格上浮</w:t>
      </w:r>
    </w:p>
    <w:p w:rsidR="00C54C61" w:rsidRDefault="00BF3A17">
      <w:pPr>
        <w:spacing w:line="360" w:lineRule="auto"/>
        <w:ind w:firstLineChars="200" w:firstLine="420"/>
        <w:contextualSpacing/>
      </w:pPr>
      <w:r>
        <w:rPr>
          <w:rFonts w:hint="eastAsia"/>
        </w:rPr>
        <w:t>根据《深圳市财政委员会关于印发〈深圳市政府采购供应商诚信管理暂行办法操作细则〉的通知》（深财购〔</w:t>
      </w:r>
      <w:r>
        <w:t>2017</w:t>
      </w:r>
      <w:r>
        <w:rPr>
          <w:rFonts w:hint="eastAsia"/>
        </w:rPr>
        <w:t>〕</w:t>
      </w:r>
      <w:r>
        <w:t xml:space="preserve">42 </w:t>
      </w:r>
      <w:r>
        <w:rPr>
          <w:rFonts w:hint="eastAsia"/>
        </w:rPr>
        <w:t>号）的规定，采取价格评比法（比如最低价法）的项目，因违法违规行为被记入诚信档案的失信供应商最终报价在该企业最后一轮报价的基础上上浮</w:t>
      </w:r>
      <w:r>
        <w:t>10%</w:t>
      </w:r>
      <w:r>
        <w:rPr>
          <w:rFonts w:hint="eastAsia"/>
        </w:rPr>
        <w:t>。失信供应商符合优惠主体资格的，价格扣除和价格上浮一并执行。</w:t>
      </w:r>
    </w:p>
    <w:p w:rsidR="00C54C61" w:rsidRDefault="00BF3A17">
      <w:pPr>
        <w:spacing w:line="360" w:lineRule="auto"/>
        <w:contextualSpacing/>
        <w:jc w:val="center"/>
        <w:rPr>
          <w:b/>
        </w:rPr>
      </w:pPr>
      <w:r>
        <w:rPr>
          <w:rFonts w:hint="eastAsia"/>
          <w:b/>
        </w:rPr>
        <w:t>四、其他说明</w:t>
      </w:r>
    </w:p>
    <w:p w:rsidR="00C54C61" w:rsidRDefault="00BF3A17">
      <w:pPr>
        <w:spacing w:line="360" w:lineRule="auto"/>
        <w:ind w:firstLine="435"/>
        <w:contextualSpacing/>
        <w:jc w:val="left"/>
      </w:pPr>
      <w:r>
        <w:rPr>
          <w:rFonts w:hint="eastAsia"/>
        </w:rPr>
        <w:t>根据《深圳市财政局</w:t>
      </w:r>
      <w:r>
        <w:rPr>
          <w:rFonts w:hint="eastAsia"/>
        </w:rPr>
        <w:t xml:space="preserve"> </w:t>
      </w:r>
      <w:r>
        <w:rPr>
          <w:rFonts w:hint="eastAsia"/>
        </w:rPr>
        <w:t>深圳市政府采购中心关于印发</w:t>
      </w:r>
      <w:r>
        <w:rPr>
          <w:rFonts w:hint="eastAsia"/>
        </w:rPr>
        <w:t>&lt;</w:t>
      </w:r>
      <w:r>
        <w:rPr>
          <w:rFonts w:hint="eastAsia"/>
        </w:rPr>
        <w:t>深圳市政府采购落实支持企业复工复产政策的实施细则</w:t>
      </w:r>
      <w:r>
        <w:rPr>
          <w:rFonts w:hint="eastAsia"/>
        </w:rPr>
        <w:t>&gt;</w:t>
      </w:r>
      <w:r>
        <w:rPr>
          <w:rFonts w:hint="eastAsia"/>
        </w:rPr>
        <w:t>的通知》（深府购〔</w:t>
      </w:r>
      <w:r>
        <w:t>20</w:t>
      </w:r>
      <w:r>
        <w:rPr>
          <w:rFonts w:hint="eastAsia"/>
        </w:rPr>
        <w:t>20</w:t>
      </w:r>
      <w:r>
        <w:rPr>
          <w:rFonts w:hint="eastAsia"/>
        </w:rPr>
        <w:t>〕</w:t>
      </w:r>
      <w:r>
        <w:rPr>
          <w:rFonts w:hint="eastAsia"/>
        </w:rPr>
        <w:t>24</w:t>
      </w:r>
      <w:r>
        <w:rPr>
          <w:rFonts w:hint="eastAsia"/>
        </w:rPr>
        <w:t>号）的规定，</w:t>
      </w:r>
      <w:r>
        <w:rPr>
          <w:rFonts w:hint="eastAsia"/>
        </w:rPr>
        <w:t>1.</w:t>
      </w:r>
      <w:r>
        <w:rPr>
          <w:rFonts w:hint="eastAsia"/>
        </w:rPr>
        <w:t>鼓励采购人积极运用公共信用信息，明确对信用记录良好的投标人（特别是中小微企业）免收履约保证金，确需收取履约保证金的，列明通过保函等非现金方式收取；</w:t>
      </w:r>
      <w:r>
        <w:rPr>
          <w:rFonts w:hint="eastAsia"/>
        </w:rPr>
        <w:t>2.</w:t>
      </w:r>
      <w:r>
        <w:rPr>
          <w:rFonts w:hint="eastAsia"/>
        </w:rPr>
        <w:t>在采购合同中明确对上述企业加大首付款或预付款比例，具体由采购人根据项目实际情况确定。</w:t>
      </w:r>
    </w:p>
    <w:p w:rsidR="00C54C61" w:rsidRDefault="00BF3A17">
      <w:pPr>
        <w:spacing w:line="360" w:lineRule="auto"/>
        <w:ind w:firstLine="435"/>
        <w:contextualSpacing/>
        <w:jc w:val="left"/>
      </w:pPr>
      <w:r>
        <w:rPr>
          <w:rFonts w:hint="eastAsia"/>
        </w:rPr>
        <w:t>采购人拟采购的产品属于《关于调整优化节能产品环境标志产品政府采购执行机制的通知》（财库〔</w:t>
      </w:r>
      <w:r>
        <w:rPr>
          <w:rFonts w:hint="eastAsia"/>
        </w:rPr>
        <w:t>2019</w:t>
      </w:r>
      <w:r>
        <w:rPr>
          <w:rFonts w:hint="eastAsia"/>
        </w:rPr>
        <w:t>〕</w:t>
      </w:r>
      <w:r>
        <w:rPr>
          <w:rFonts w:hint="eastAsia"/>
        </w:rPr>
        <w:t>9</w:t>
      </w:r>
      <w:r>
        <w:rPr>
          <w:rFonts w:hint="eastAsia"/>
        </w:rPr>
        <w:t>号）品目清单范围的，应依据国家确定的认证机构出具的、处于有效期之内的节能产品、环境标志产品认证证书，对获得证书的产品实施政府优先采购或强制采购。对于已列入品目清单的产品类别，采购人可在采购需求中提出更高的节约资源和保护环境要求，对符合条件的获证产品给予适当评审加分。对于未列入品目清单的产品类别，鼓励采购人综合考虑节能、节水、环保、循环、低碳、再生、有机等因素，参考相关国家标准、行业标准或团体标准，在采购需求中提出相关绿色采购要求，促进绿色产品推广应用。</w:t>
      </w:r>
    </w:p>
    <w:p w:rsidR="00C54C61" w:rsidRDefault="00BF3A17">
      <w:pPr>
        <w:spacing w:line="360" w:lineRule="auto"/>
        <w:ind w:firstLine="435"/>
        <w:contextualSpacing/>
        <w:jc w:val="left"/>
      </w:pPr>
      <w:r>
        <w:rPr>
          <w:rFonts w:hint="eastAsia"/>
        </w:rPr>
        <w:t>招标文件解释权归政府集中采购机构，招标文件涉及到的采购需求部分等内容由政府集中采购机构责成采购单位解释。</w:t>
      </w:r>
      <w:r>
        <w:rPr>
          <w:rFonts w:hint="eastAsia"/>
          <w:b/>
          <w:color w:val="FF0000"/>
        </w:rPr>
        <w:t>采购单位对采购需求的完整性和真实性负责。</w:t>
      </w:r>
    </w:p>
    <w:p w:rsidR="00C54C61" w:rsidRDefault="00C54C61">
      <w:pPr>
        <w:spacing w:line="360" w:lineRule="auto"/>
        <w:ind w:firstLineChars="200" w:firstLine="422"/>
        <w:contextualSpacing/>
        <w:jc w:val="center"/>
        <w:rPr>
          <w:rFonts w:ascii="宋体" w:hAnsi="宋体"/>
          <w:b/>
          <w:color w:val="000000"/>
        </w:rPr>
      </w:pPr>
    </w:p>
    <w:p w:rsidR="00C54C61" w:rsidRDefault="00BF3A17">
      <w:pPr>
        <w:spacing w:line="360" w:lineRule="auto"/>
        <w:ind w:firstLineChars="200" w:firstLine="422"/>
        <w:contextualSpacing/>
        <w:jc w:val="center"/>
        <w:rPr>
          <w:rFonts w:ascii="宋体" w:hAnsi="宋体"/>
          <w:b/>
          <w:color w:val="000000"/>
        </w:rPr>
      </w:pPr>
      <w:r>
        <w:rPr>
          <w:rFonts w:ascii="宋体" w:hAnsi="宋体" w:hint="eastAsia"/>
          <w:b/>
          <w:color w:val="000000"/>
        </w:rPr>
        <w:t>五、中标服务费</w:t>
      </w:r>
    </w:p>
    <w:p w:rsidR="00C54C61" w:rsidRDefault="00BF3A17">
      <w:pPr>
        <w:spacing w:line="360" w:lineRule="auto"/>
        <w:ind w:firstLineChars="200" w:firstLine="420"/>
        <w:contextualSpacing/>
        <w:jc w:val="left"/>
        <w:rPr>
          <w:rFonts w:ascii="宋体" w:hAnsi="宋体"/>
          <w:color w:val="000000"/>
          <w:szCs w:val="21"/>
        </w:rPr>
      </w:pPr>
      <w:r>
        <w:rPr>
          <w:rFonts w:ascii="宋体" w:hAnsi="宋体" w:hint="eastAsia"/>
          <w:color w:val="000000"/>
          <w:szCs w:val="21"/>
        </w:rPr>
        <w:t>中标人在领取中标通知书前，应以银行转账的方式向采购实施机构（深圳市国信招标有限公司）交纳中标服务费。中标服务费收费标准参照《深圳市财政委员会关于规范深圳市社会采购代理机构管理有关事项的补充通知》（深财购〔2018〕27号）的标准，以中标金额为计算基数，按照差额定率累进法计算。详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5"/>
        <w:gridCol w:w="2891"/>
      </w:tblGrid>
      <w:tr w:rsidR="00C54C61">
        <w:trPr>
          <w:trHeight w:val="405"/>
          <w:jc w:val="center"/>
        </w:trPr>
        <w:tc>
          <w:tcPr>
            <w:tcW w:w="3275" w:type="dxa"/>
            <w:vAlign w:val="center"/>
          </w:tcPr>
          <w:p w:rsidR="00C54C61" w:rsidRDefault="00BF3A17">
            <w:pPr>
              <w:spacing w:line="360" w:lineRule="auto"/>
              <w:ind w:firstLineChars="200" w:firstLine="420"/>
              <w:contextualSpacing/>
              <w:jc w:val="center"/>
              <w:rPr>
                <w:rFonts w:ascii="宋体" w:hAnsi="宋体"/>
                <w:color w:val="000000"/>
                <w:szCs w:val="21"/>
              </w:rPr>
            </w:pPr>
            <w:r>
              <w:rPr>
                <w:rFonts w:ascii="宋体" w:hAnsi="宋体" w:hint="eastAsia"/>
                <w:color w:val="000000"/>
                <w:szCs w:val="21"/>
              </w:rPr>
              <w:t>中标金额（万元）</w:t>
            </w:r>
          </w:p>
        </w:tc>
        <w:tc>
          <w:tcPr>
            <w:tcW w:w="2891" w:type="dxa"/>
            <w:vAlign w:val="center"/>
          </w:tcPr>
          <w:p w:rsidR="00C54C61" w:rsidRDefault="00BF3A17">
            <w:pPr>
              <w:spacing w:line="360" w:lineRule="auto"/>
              <w:ind w:firstLineChars="200" w:firstLine="420"/>
              <w:contextualSpacing/>
              <w:jc w:val="center"/>
              <w:rPr>
                <w:rFonts w:ascii="宋体" w:hAnsi="宋体"/>
                <w:color w:val="000000"/>
                <w:szCs w:val="21"/>
              </w:rPr>
            </w:pPr>
            <w:r>
              <w:rPr>
                <w:rFonts w:ascii="宋体" w:hAnsi="宋体" w:hint="eastAsia"/>
                <w:color w:val="000000"/>
                <w:szCs w:val="21"/>
              </w:rPr>
              <w:t>货物类项目收费费率</w:t>
            </w:r>
          </w:p>
        </w:tc>
      </w:tr>
      <w:tr w:rsidR="00C54C61">
        <w:trPr>
          <w:trHeight w:val="405"/>
          <w:jc w:val="center"/>
        </w:trPr>
        <w:tc>
          <w:tcPr>
            <w:tcW w:w="3275" w:type="dxa"/>
            <w:vAlign w:val="center"/>
          </w:tcPr>
          <w:p w:rsidR="00C54C61" w:rsidRDefault="00BF3A17">
            <w:pPr>
              <w:spacing w:line="360" w:lineRule="auto"/>
              <w:ind w:firstLineChars="200" w:firstLine="420"/>
              <w:contextualSpacing/>
              <w:jc w:val="center"/>
              <w:rPr>
                <w:rFonts w:ascii="宋体" w:hAnsi="宋体"/>
                <w:color w:val="000000"/>
                <w:szCs w:val="21"/>
              </w:rPr>
            </w:pPr>
            <w:r>
              <w:rPr>
                <w:rFonts w:ascii="宋体" w:hAnsi="宋体" w:hint="eastAsia"/>
                <w:color w:val="000000"/>
                <w:szCs w:val="21"/>
              </w:rPr>
              <w:t>100及以下的部分</w:t>
            </w:r>
          </w:p>
        </w:tc>
        <w:tc>
          <w:tcPr>
            <w:tcW w:w="2891" w:type="dxa"/>
            <w:vAlign w:val="center"/>
          </w:tcPr>
          <w:p w:rsidR="00C54C61" w:rsidRDefault="00BF3A17">
            <w:pPr>
              <w:spacing w:line="360" w:lineRule="auto"/>
              <w:ind w:firstLineChars="500" w:firstLine="1050"/>
              <w:contextualSpacing/>
              <w:rPr>
                <w:rFonts w:ascii="宋体" w:hAnsi="宋体"/>
                <w:color w:val="000000"/>
                <w:szCs w:val="21"/>
              </w:rPr>
            </w:pPr>
            <w:r>
              <w:rPr>
                <w:rFonts w:ascii="宋体" w:hAnsi="宋体"/>
                <w:color w:val="000000"/>
                <w:szCs w:val="21"/>
              </w:rPr>
              <w:t>1.</w:t>
            </w:r>
            <w:r>
              <w:rPr>
                <w:rFonts w:ascii="宋体" w:hAnsi="宋体" w:hint="eastAsia"/>
                <w:color w:val="000000"/>
                <w:szCs w:val="21"/>
              </w:rPr>
              <w:t>50</w:t>
            </w:r>
            <w:r>
              <w:rPr>
                <w:rFonts w:ascii="宋体" w:hAnsi="宋体"/>
                <w:color w:val="000000"/>
                <w:szCs w:val="21"/>
              </w:rPr>
              <w:t>%</w:t>
            </w:r>
          </w:p>
        </w:tc>
      </w:tr>
      <w:tr w:rsidR="00C54C61">
        <w:trPr>
          <w:trHeight w:val="405"/>
          <w:jc w:val="center"/>
        </w:trPr>
        <w:tc>
          <w:tcPr>
            <w:tcW w:w="3275" w:type="dxa"/>
            <w:vAlign w:val="center"/>
          </w:tcPr>
          <w:p w:rsidR="00C54C61" w:rsidRDefault="00BF3A17">
            <w:pPr>
              <w:spacing w:line="360" w:lineRule="auto"/>
              <w:contextualSpacing/>
              <w:jc w:val="center"/>
              <w:rPr>
                <w:rFonts w:ascii="宋体" w:hAnsi="宋体"/>
                <w:color w:val="000000"/>
                <w:szCs w:val="21"/>
              </w:rPr>
            </w:pPr>
            <w:r>
              <w:rPr>
                <w:rFonts w:ascii="宋体" w:hAnsi="宋体" w:hint="eastAsia"/>
                <w:color w:val="000000"/>
                <w:szCs w:val="21"/>
              </w:rPr>
              <w:t>100～500的部分（不包含1</w:t>
            </w:r>
            <w:r>
              <w:rPr>
                <w:rFonts w:ascii="宋体" w:hAnsi="宋体"/>
                <w:color w:val="000000"/>
                <w:szCs w:val="21"/>
              </w:rPr>
              <w:t>00</w:t>
            </w:r>
            <w:r>
              <w:rPr>
                <w:rFonts w:ascii="宋体" w:hAnsi="宋体" w:hint="eastAsia"/>
                <w:color w:val="000000"/>
                <w:szCs w:val="21"/>
              </w:rPr>
              <w:t>）</w:t>
            </w:r>
          </w:p>
        </w:tc>
        <w:tc>
          <w:tcPr>
            <w:tcW w:w="2891" w:type="dxa"/>
            <w:vAlign w:val="center"/>
          </w:tcPr>
          <w:p w:rsidR="00C54C61" w:rsidRDefault="00BF3A17">
            <w:pPr>
              <w:spacing w:line="360" w:lineRule="auto"/>
              <w:ind w:firstLineChars="500" w:firstLine="1050"/>
              <w:contextualSpacing/>
              <w:rPr>
                <w:rFonts w:ascii="宋体" w:hAnsi="宋体"/>
                <w:color w:val="000000"/>
                <w:szCs w:val="21"/>
              </w:rPr>
            </w:pPr>
            <w:r>
              <w:rPr>
                <w:rFonts w:ascii="宋体" w:hAnsi="宋体" w:hint="eastAsia"/>
                <w:color w:val="000000"/>
                <w:szCs w:val="21"/>
              </w:rPr>
              <w:t>1.10%</w:t>
            </w:r>
          </w:p>
        </w:tc>
      </w:tr>
    </w:tbl>
    <w:p w:rsidR="00C54C61" w:rsidRDefault="00C54C61">
      <w:pPr>
        <w:spacing w:line="360" w:lineRule="auto"/>
        <w:ind w:firstLine="435"/>
        <w:contextualSpacing/>
        <w:jc w:val="left"/>
      </w:pPr>
    </w:p>
    <w:p w:rsidR="00C54C61" w:rsidRDefault="00C54C61">
      <w:pPr>
        <w:spacing w:line="360" w:lineRule="auto"/>
        <w:contextualSpacing/>
      </w:pPr>
    </w:p>
    <w:p w:rsidR="00C54C61" w:rsidRDefault="00BF3A17">
      <w:pPr>
        <w:pStyle w:val="10"/>
        <w:spacing w:before="0" w:after="0"/>
        <w:contextualSpacing/>
      </w:pPr>
      <w:r>
        <w:rPr>
          <w:rFonts w:hint="eastAsia"/>
        </w:rPr>
        <w:t>目</w:t>
      </w:r>
      <w:r>
        <w:rPr>
          <w:rFonts w:hint="eastAsia"/>
        </w:rPr>
        <w:t xml:space="preserve">   </w:t>
      </w:r>
      <w:r>
        <w:rPr>
          <w:rFonts w:hint="eastAsia"/>
        </w:rPr>
        <w:t>录</w:t>
      </w:r>
    </w:p>
    <w:p w:rsidR="00C54C61" w:rsidRDefault="00BF3A17">
      <w:pPr>
        <w:spacing w:line="360" w:lineRule="auto"/>
        <w:contextualSpacing/>
        <w:rPr>
          <w:b/>
          <w:sz w:val="24"/>
        </w:rPr>
      </w:pPr>
      <w:r>
        <w:rPr>
          <w:rFonts w:hint="eastAsia"/>
          <w:b/>
          <w:sz w:val="24"/>
        </w:rPr>
        <w:t>第一册</w:t>
      </w:r>
      <w:r>
        <w:rPr>
          <w:rFonts w:hint="eastAsia"/>
          <w:b/>
          <w:sz w:val="24"/>
        </w:rPr>
        <w:t xml:space="preserve">  </w:t>
      </w:r>
      <w:r>
        <w:rPr>
          <w:rFonts w:hint="eastAsia"/>
          <w:b/>
          <w:sz w:val="24"/>
        </w:rPr>
        <w:t>专用条款</w:t>
      </w:r>
    </w:p>
    <w:p w:rsidR="00C54C61" w:rsidRDefault="00BF3A17">
      <w:pPr>
        <w:spacing w:line="360" w:lineRule="auto"/>
        <w:contextualSpacing/>
        <w:rPr>
          <w:sz w:val="24"/>
        </w:rPr>
      </w:pPr>
      <w:r>
        <w:rPr>
          <w:rFonts w:hint="eastAsia"/>
          <w:sz w:val="24"/>
        </w:rPr>
        <w:t xml:space="preserve">          </w:t>
      </w:r>
      <w:r>
        <w:rPr>
          <w:rFonts w:hint="eastAsia"/>
          <w:sz w:val="24"/>
        </w:rPr>
        <w:t>关键信息</w:t>
      </w:r>
    </w:p>
    <w:p w:rsidR="00C54C61" w:rsidRDefault="00BF3A17">
      <w:pPr>
        <w:spacing w:line="360" w:lineRule="auto"/>
        <w:ind w:leftChars="300" w:left="630" w:firstLineChars="300" w:firstLine="630"/>
        <w:contextualSpacing/>
        <w:rPr>
          <w:rFonts w:ascii="宋体" w:hAnsi="宋体"/>
          <w:szCs w:val="21"/>
        </w:rPr>
      </w:pPr>
      <w:r>
        <w:rPr>
          <w:rFonts w:ascii="宋体" w:hAnsi="宋体" w:hint="eastAsia"/>
          <w:szCs w:val="21"/>
        </w:rPr>
        <w:t>第一章  招标公告</w:t>
      </w:r>
    </w:p>
    <w:p w:rsidR="00C54C61" w:rsidRDefault="00BF3A17">
      <w:pPr>
        <w:spacing w:line="360" w:lineRule="auto"/>
        <w:ind w:leftChars="300" w:left="630" w:firstLineChars="300" w:firstLine="630"/>
        <w:contextualSpacing/>
        <w:rPr>
          <w:rFonts w:ascii="宋体" w:hAnsi="宋体"/>
          <w:szCs w:val="21"/>
        </w:rPr>
      </w:pPr>
      <w:r>
        <w:rPr>
          <w:rFonts w:ascii="宋体" w:hAnsi="宋体" w:hint="eastAsia"/>
          <w:szCs w:val="21"/>
        </w:rPr>
        <w:t>第二章  招标项目需求</w:t>
      </w:r>
    </w:p>
    <w:p w:rsidR="00C54C61" w:rsidRDefault="00BF3A17">
      <w:pPr>
        <w:spacing w:line="360" w:lineRule="auto"/>
        <w:ind w:leftChars="300" w:left="630" w:firstLineChars="300" w:firstLine="630"/>
        <w:contextualSpacing/>
        <w:rPr>
          <w:rFonts w:ascii="宋体" w:hAnsi="宋体"/>
          <w:szCs w:val="21"/>
        </w:rPr>
      </w:pPr>
      <w:r>
        <w:rPr>
          <w:rFonts w:ascii="宋体" w:hAnsi="宋体" w:hint="eastAsia"/>
          <w:szCs w:val="21"/>
        </w:rPr>
        <w:t>第三章  投标文件格式、附件</w:t>
      </w:r>
    </w:p>
    <w:p w:rsidR="00C54C61" w:rsidRDefault="00BF3A17">
      <w:pPr>
        <w:spacing w:line="360" w:lineRule="auto"/>
        <w:ind w:leftChars="300" w:left="630" w:firstLineChars="300" w:firstLine="630"/>
        <w:contextualSpacing/>
        <w:rPr>
          <w:rFonts w:ascii="宋体" w:hAnsi="宋体"/>
          <w:szCs w:val="21"/>
        </w:rPr>
      </w:pPr>
      <w:r>
        <w:rPr>
          <w:rFonts w:ascii="宋体" w:hAnsi="宋体" w:hint="eastAsia"/>
          <w:szCs w:val="21"/>
        </w:rPr>
        <w:t>第四章  政府采购合同的签订、履行及验收</w:t>
      </w:r>
    </w:p>
    <w:p w:rsidR="00C54C61" w:rsidRDefault="00C54C61">
      <w:pPr>
        <w:spacing w:line="360" w:lineRule="auto"/>
        <w:contextualSpacing/>
        <w:rPr>
          <w:b/>
          <w:sz w:val="24"/>
        </w:rPr>
      </w:pPr>
    </w:p>
    <w:p w:rsidR="00C54C61" w:rsidRDefault="00BF3A17">
      <w:pPr>
        <w:spacing w:line="360" w:lineRule="auto"/>
        <w:contextualSpacing/>
        <w:rPr>
          <w:b/>
          <w:sz w:val="24"/>
        </w:rPr>
      </w:pPr>
      <w:r>
        <w:rPr>
          <w:rFonts w:hint="eastAsia"/>
          <w:b/>
          <w:sz w:val="24"/>
        </w:rPr>
        <w:t>第二册</w:t>
      </w:r>
      <w:r>
        <w:rPr>
          <w:rFonts w:hint="eastAsia"/>
          <w:b/>
          <w:sz w:val="24"/>
        </w:rPr>
        <w:t xml:space="preserve">  </w:t>
      </w:r>
      <w:r>
        <w:rPr>
          <w:rFonts w:hint="eastAsia"/>
          <w:b/>
          <w:sz w:val="24"/>
        </w:rPr>
        <w:t>通用条款</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通用条款内容可在深圳交易集团有限公司政府采购业务分公司网站（http://www.szzfcg.cn）以下栏目中查看（两处均可）：</w:t>
      </w:r>
    </w:p>
    <w:p w:rsidR="00C54C61" w:rsidRDefault="00BF3A17">
      <w:pPr>
        <w:spacing w:line="360" w:lineRule="auto"/>
        <w:contextualSpacing/>
      </w:pPr>
      <w:r>
        <w:rPr>
          <w:rFonts w:hint="eastAsia"/>
        </w:rPr>
        <w:t xml:space="preserve">     </w:t>
      </w:r>
      <w:r>
        <w:fldChar w:fldCharType="begin"/>
      </w:r>
      <w:r>
        <w:instrText xml:space="preserve"> </w:instrText>
      </w:r>
      <w:r>
        <w:rPr>
          <w:rFonts w:hint="eastAsia"/>
        </w:rPr>
        <w:instrText>eq \o\ac(</w:instrText>
      </w:r>
      <w:r>
        <w:rPr>
          <w:rFonts w:ascii="宋体" w:hint="eastAsia"/>
          <w:position w:val="-4"/>
          <w:sz w:val="31"/>
        </w:rPr>
        <w:instrText>○</w:instrText>
      </w:r>
      <w:r>
        <w:rPr>
          <w:rFonts w:hint="eastAsia"/>
        </w:rPr>
        <w:instrText>,1)</w:instrText>
      </w:r>
      <w:r>
        <w:fldChar w:fldCharType="end"/>
      </w:r>
      <w:r>
        <w:rPr>
          <w:rFonts w:ascii="宋体" w:hAnsi="宋体" w:hint="eastAsia"/>
          <w:szCs w:val="21"/>
        </w:rPr>
        <w:t>“业务服务”—“面向供应商”—“采购文件模板”；</w:t>
      </w:r>
    </w:p>
    <w:p w:rsidR="00C54C61" w:rsidRDefault="00BF3A17">
      <w:pPr>
        <w:spacing w:line="360" w:lineRule="auto"/>
        <w:contextualSpacing/>
        <w:rPr>
          <w:rFonts w:ascii="宋体" w:hAnsi="宋体"/>
          <w:szCs w:val="21"/>
        </w:rPr>
      </w:pPr>
      <w:r>
        <w:rPr>
          <w:rFonts w:hint="eastAsia"/>
        </w:rPr>
        <w:t xml:space="preserve">     </w:t>
      </w:r>
      <w:r>
        <w:fldChar w:fldCharType="begin"/>
      </w:r>
      <w:r>
        <w:instrText xml:space="preserve"> </w:instrText>
      </w:r>
      <w:r>
        <w:rPr>
          <w:rFonts w:hint="eastAsia"/>
        </w:rPr>
        <w:instrText>eq \o\ac(</w:instrText>
      </w:r>
      <w:r>
        <w:rPr>
          <w:rFonts w:ascii="宋体" w:hint="eastAsia"/>
          <w:position w:val="-4"/>
          <w:sz w:val="31"/>
        </w:rPr>
        <w:instrText>○</w:instrText>
      </w:r>
      <w:r>
        <w:rPr>
          <w:rFonts w:hint="eastAsia"/>
        </w:rPr>
        <w:instrText>,2)</w:instrText>
      </w:r>
      <w:r>
        <w:fldChar w:fldCharType="end"/>
      </w:r>
      <w:r>
        <w:rPr>
          <w:rFonts w:ascii="宋体" w:hAnsi="宋体" w:hint="eastAsia"/>
          <w:szCs w:val="21"/>
        </w:rPr>
        <w:t>“业务服务”—“面向采购人”—“采购文件模板”。</w:t>
      </w:r>
    </w:p>
    <w:p w:rsidR="00C54C61" w:rsidRDefault="00BF3A17">
      <w:pPr>
        <w:spacing w:line="360" w:lineRule="auto"/>
        <w:contextualSpacing/>
        <w:rPr>
          <w:b/>
        </w:rPr>
      </w:pPr>
      <w:r>
        <w:rPr>
          <w:rFonts w:hint="eastAsia"/>
          <w:b/>
        </w:rPr>
        <w:t>备注：</w:t>
      </w:r>
    </w:p>
    <w:p w:rsidR="00C54C61" w:rsidRDefault="00BF3A17">
      <w:pPr>
        <w:spacing w:line="360" w:lineRule="auto"/>
        <w:ind w:firstLineChars="200" w:firstLine="420"/>
        <w:contextualSpacing/>
        <w:rPr>
          <w:b/>
          <w:color w:val="FF0000"/>
        </w:rPr>
      </w:pPr>
      <w:r>
        <w:rPr>
          <w:rFonts w:ascii="宋体" w:hAnsi="宋体" w:hint="eastAsia"/>
          <w:color w:val="FF0000"/>
          <w:szCs w:val="21"/>
        </w:rPr>
        <w:t>1.本招标文件分为第一册“专用条款”和第二册“通用条款”。</w:t>
      </w:r>
    </w:p>
    <w:p w:rsidR="00C54C61" w:rsidRDefault="00BF3A17">
      <w:pPr>
        <w:spacing w:line="360" w:lineRule="auto"/>
        <w:ind w:firstLineChars="200" w:firstLine="420"/>
        <w:contextualSpacing/>
        <w:jc w:val="left"/>
        <w:rPr>
          <w:rFonts w:ascii="宋体" w:hAnsi="宋体"/>
          <w:color w:val="FF0000"/>
          <w:szCs w:val="21"/>
        </w:rPr>
      </w:pPr>
      <w:r>
        <w:rPr>
          <w:rFonts w:ascii="宋体" w:hAnsi="宋体" w:hint="eastAsia"/>
          <w:color w:val="FF0000"/>
          <w:szCs w:val="21"/>
        </w:rPr>
        <w:t>2.“专用条款”是对本次采购项目的具体要求，包含招标公告、招标项目需求、投标文件格式、合同条款及格式、附件等内容。</w:t>
      </w:r>
    </w:p>
    <w:p w:rsidR="00C54C61" w:rsidRDefault="00BF3A17">
      <w:pPr>
        <w:spacing w:line="360" w:lineRule="auto"/>
        <w:ind w:firstLineChars="200" w:firstLine="420"/>
        <w:contextualSpacing/>
        <w:jc w:val="left"/>
        <w:rPr>
          <w:rFonts w:ascii="宋体" w:hAnsi="宋体"/>
          <w:color w:val="FF0000"/>
          <w:szCs w:val="21"/>
        </w:rPr>
      </w:pPr>
      <w:r>
        <w:rPr>
          <w:rFonts w:ascii="宋体" w:hAnsi="宋体" w:hint="eastAsia"/>
          <w:color w:val="FF0000"/>
          <w:szCs w:val="21"/>
        </w:rPr>
        <w:t>3.“通用条款”是通用于政府采购项目的基础性条款，具有普遍性和通用性。</w:t>
      </w:r>
    </w:p>
    <w:p w:rsidR="00C54C61" w:rsidRDefault="00BF3A17">
      <w:pPr>
        <w:spacing w:line="360" w:lineRule="auto"/>
        <w:ind w:firstLineChars="200" w:firstLine="420"/>
        <w:contextualSpacing/>
        <w:jc w:val="left"/>
        <w:rPr>
          <w:rFonts w:ascii="宋体" w:hAnsi="宋体"/>
          <w:color w:val="FF0000"/>
          <w:szCs w:val="21"/>
        </w:rPr>
      </w:pPr>
      <w:r>
        <w:rPr>
          <w:rFonts w:ascii="宋体" w:hAnsi="宋体" w:hint="eastAsia"/>
          <w:color w:val="FF0000"/>
          <w:szCs w:val="21"/>
        </w:rPr>
        <w:t>4.当出现“专用条款”和“通用条款”表述不一致或有冲突时，以“专用条款”为准。</w:t>
      </w:r>
    </w:p>
    <w:p w:rsidR="00C54C61" w:rsidRDefault="00BF3A17">
      <w:pPr>
        <w:pStyle w:val="10"/>
        <w:spacing w:before="0" w:after="0"/>
        <w:contextualSpacing/>
        <w:rPr>
          <w:color w:val="FF0000"/>
          <w:sz w:val="24"/>
        </w:rPr>
      </w:pPr>
      <w:r>
        <w:rPr>
          <w:color w:val="FF0000"/>
        </w:rPr>
        <w:br w:type="page"/>
      </w:r>
      <w:bookmarkStart w:id="1" w:name="合同格式"/>
      <w:bookmarkStart w:id="2" w:name="bt投标报价汇总表"/>
      <w:bookmarkStart w:id="3" w:name="bt项目管理班子配备情况"/>
      <w:bookmarkStart w:id="4" w:name="bt其他资料由投标人自定"/>
      <w:bookmarkStart w:id="5" w:name="bt说明"/>
      <w:bookmarkStart w:id="6" w:name="bt投标人须知"/>
      <w:bookmarkStart w:id="7" w:name="bt投标函"/>
      <w:bookmarkStart w:id="8" w:name="bt合同格式"/>
      <w:bookmarkStart w:id="9" w:name="bt商务标投标文件格式"/>
      <w:bookmarkStart w:id="10" w:name="bt合同条款"/>
      <w:bookmarkStart w:id="11" w:name="bt投标文件签署授权委托书"/>
      <w:bookmarkStart w:id="12" w:name="bt其他资料2"/>
      <w:bookmarkStart w:id="13" w:name="bt投标人情况介绍"/>
      <w:bookmarkStart w:id="14" w:name="bt技术标投标文件格式"/>
      <w:bookmarkStart w:id="15" w:name="bt合同条款及格式"/>
      <w:bookmarkStart w:id="16" w:name="bt本工程承诺书"/>
      <w:bookmarkStart w:id="17" w:name="bt开标一览表"/>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rPr>
        <w:t>第一册</w:t>
      </w:r>
      <w:r>
        <w:rPr>
          <w:rFonts w:hint="eastAsia"/>
        </w:rPr>
        <w:t xml:space="preserve">  </w:t>
      </w:r>
      <w:r>
        <w:rPr>
          <w:rFonts w:hint="eastAsia"/>
        </w:rPr>
        <w:t>专用条款</w:t>
      </w:r>
    </w:p>
    <w:p w:rsidR="00C54C61" w:rsidRDefault="00BF3A17">
      <w:pPr>
        <w:pStyle w:val="2"/>
        <w:spacing w:before="0" w:after="0" w:line="360" w:lineRule="auto"/>
        <w:contextualSpacing/>
      </w:pPr>
      <w:r>
        <w:rPr>
          <w:rFonts w:hint="eastAsia"/>
        </w:rPr>
        <w:t>第一章  招标公告</w:t>
      </w:r>
    </w:p>
    <w:p w:rsidR="00C54C61" w:rsidRDefault="00C54C61">
      <w:pPr>
        <w:spacing w:line="360" w:lineRule="auto"/>
        <w:contextualSpacing/>
        <w:rPr>
          <w:rFonts w:ascii="宋体" w:hAnsi="宋体" w:cs="宋体"/>
          <w:kern w:val="0"/>
          <w:szCs w:val="21"/>
        </w:rPr>
      </w:pPr>
    </w:p>
    <w:p w:rsidR="00C54C61" w:rsidRDefault="00BF3A17">
      <w:pPr>
        <w:keepNext/>
        <w:keepLines/>
        <w:spacing w:line="360" w:lineRule="auto"/>
        <w:contextualSpacing/>
        <w:outlineLvl w:val="2"/>
        <w:rPr>
          <w:rFonts w:ascii="宋体" w:hAnsi="宋体"/>
          <w:b/>
          <w:bCs/>
          <w:sz w:val="28"/>
          <w:szCs w:val="32"/>
        </w:rPr>
      </w:pPr>
      <w:r>
        <w:rPr>
          <w:rFonts w:ascii="宋体" w:hAnsi="宋体"/>
          <w:b/>
          <w:bCs/>
          <w:sz w:val="28"/>
          <w:szCs w:val="32"/>
        </w:rPr>
        <w:t>投标人资格要求：</w:t>
      </w:r>
    </w:p>
    <w:p w:rsidR="00C54C61" w:rsidRDefault="00BF3A17">
      <w:pPr>
        <w:spacing w:line="360" w:lineRule="auto"/>
        <w:contextualSpacing/>
        <w:rPr>
          <w:rFonts w:ascii="宋体" w:hAnsi="宋体" w:cs="宋体"/>
          <w:kern w:val="0"/>
          <w:szCs w:val="21"/>
        </w:rPr>
      </w:pPr>
      <w:r>
        <w:rPr>
          <w:rFonts w:ascii="宋体" w:hAnsi="宋体" w:hint="eastAsia"/>
          <w:szCs w:val="21"/>
        </w:rPr>
        <w:t>（1）具有独立法人资格或具有独立承担民事责任的能力的其它组织（提供营业执照或事业单位法人证等法人证明扫描件，原件备查）。</w:t>
      </w:r>
    </w:p>
    <w:p w:rsidR="00C54C61" w:rsidRDefault="00BF3A17">
      <w:pPr>
        <w:spacing w:line="360" w:lineRule="auto"/>
        <w:contextualSpacing/>
        <w:rPr>
          <w:rFonts w:ascii="宋体" w:hAnsi="宋体" w:cs="宋体"/>
          <w:kern w:val="0"/>
          <w:szCs w:val="21"/>
        </w:rPr>
      </w:pPr>
      <w:r>
        <w:rPr>
          <w:rFonts w:ascii="宋体" w:hAnsi="宋体" w:hint="eastAsia"/>
          <w:szCs w:val="21"/>
        </w:rPr>
        <w:t>（2）</w:t>
      </w:r>
      <w:r>
        <w:rPr>
          <w:rFonts w:ascii="宋体" w:hAnsi="宋体" w:cs="宋体" w:hint="eastAsia"/>
          <w:kern w:val="0"/>
          <w:szCs w:val="21"/>
        </w:rPr>
        <w:t>本项目不接受联合体投标，本项目不接受进口产品。</w:t>
      </w:r>
    </w:p>
    <w:p w:rsidR="00C54C61" w:rsidRDefault="00BF3A17">
      <w:pPr>
        <w:spacing w:line="360" w:lineRule="auto"/>
        <w:contextualSpacing/>
        <w:rPr>
          <w:rFonts w:ascii="宋体" w:hAnsi="宋体" w:cs="宋体"/>
          <w:kern w:val="0"/>
          <w:szCs w:val="21"/>
        </w:rPr>
      </w:pPr>
      <w:r>
        <w:rPr>
          <w:rFonts w:ascii="宋体" w:hAnsi="宋体" w:cs="宋体" w:hint="eastAsia"/>
          <w:kern w:val="0"/>
          <w:szCs w:val="21"/>
        </w:rPr>
        <w:t>（3）参与本项目投标前三年内，在经营活动中没有重大违法记录（由供应商在《</w:t>
      </w:r>
      <w:r>
        <w:rPr>
          <w:rFonts w:hint="eastAsia"/>
          <w:szCs w:val="21"/>
        </w:rPr>
        <w:t>政府采购投标及履约承诺函</w:t>
      </w:r>
      <w:r>
        <w:rPr>
          <w:rFonts w:ascii="宋体" w:hAnsi="宋体" w:cs="宋体" w:hint="eastAsia"/>
          <w:kern w:val="0"/>
          <w:szCs w:val="21"/>
        </w:rPr>
        <w:t>》中作出声明）。</w:t>
      </w:r>
    </w:p>
    <w:p w:rsidR="00C54C61" w:rsidRDefault="00BF3A17">
      <w:pPr>
        <w:spacing w:line="360" w:lineRule="auto"/>
        <w:contextualSpacing/>
        <w:rPr>
          <w:rFonts w:ascii="宋体" w:hAnsi="宋体" w:cs="宋体"/>
          <w:kern w:val="0"/>
          <w:szCs w:val="21"/>
        </w:rPr>
      </w:pPr>
      <w:r>
        <w:rPr>
          <w:rFonts w:ascii="宋体" w:hAnsi="宋体" w:cs="宋体" w:hint="eastAsia"/>
          <w:kern w:val="0"/>
          <w:szCs w:val="21"/>
        </w:rPr>
        <w:t>（4）参与本项目政府采购活动时不存在被有关部门禁止参与政府采购活动且在有效期内的情况（由供应商在《</w:t>
      </w:r>
      <w:r>
        <w:rPr>
          <w:rFonts w:hint="eastAsia"/>
          <w:szCs w:val="21"/>
        </w:rPr>
        <w:t>政府采购投标及履约承诺函</w:t>
      </w:r>
      <w:r>
        <w:rPr>
          <w:rFonts w:ascii="宋体" w:hAnsi="宋体" w:cs="宋体" w:hint="eastAsia"/>
          <w:kern w:val="0"/>
          <w:szCs w:val="21"/>
        </w:rPr>
        <w:t>》中作出声明）；</w:t>
      </w:r>
    </w:p>
    <w:p w:rsidR="00C54C61" w:rsidRDefault="00BF3A17">
      <w:pPr>
        <w:spacing w:line="360" w:lineRule="auto"/>
        <w:contextualSpacing/>
        <w:rPr>
          <w:rFonts w:ascii="宋体" w:hAnsi="宋体" w:cs="宋体"/>
          <w:kern w:val="0"/>
          <w:szCs w:val="21"/>
        </w:rPr>
      </w:pPr>
      <w:r>
        <w:rPr>
          <w:rFonts w:ascii="宋体" w:hAnsi="宋体" w:cs="宋体" w:hint="eastAsia"/>
          <w:kern w:val="0"/>
          <w:szCs w:val="21"/>
        </w:rPr>
        <w:t>（5）具备《中华人民共和国政府采购法》第二十二条第一款的条件（由供应商在《政府采购投标及履约承诺函》中作出声明）。</w:t>
      </w:r>
    </w:p>
    <w:p w:rsidR="00C54C61" w:rsidRDefault="00BF3A17">
      <w:pPr>
        <w:spacing w:line="360" w:lineRule="auto"/>
        <w:contextualSpacing/>
        <w:rPr>
          <w:rFonts w:ascii="宋体" w:hAnsi="宋体" w:cs="宋体"/>
          <w:kern w:val="0"/>
          <w:szCs w:val="21"/>
        </w:rPr>
      </w:pPr>
      <w:r>
        <w:rPr>
          <w:rFonts w:ascii="宋体" w:hAnsi="宋体" w:cs="宋体" w:hint="eastAsia"/>
          <w:kern w:val="0"/>
          <w:szCs w:val="21"/>
        </w:rPr>
        <w:t>（6）未被列入失信被执行人、重大税收违法案件当事人名单、政府采购严重违法失信行为记录名单（由供应商在《政府采购投标及履约承诺函》中作出声明）。</w:t>
      </w:r>
    </w:p>
    <w:p w:rsidR="00C54C61" w:rsidRDefault="00BF3A17">
      <w:pPr>
        <w:spacing w:line="360" w:lineRule="auto"/>
        <w:ind w:firstLineChars="200" w:firstLine="420"/>
        <w:contextualSpacing/>
        <w:rPr>
          <w:rFonts w:ascii="宋体" w:hAnsi="宋体" w:cs="宋体"/>
          <w:kern w:val="0"/>
          <w:szCs w:val="21"/>
        </w:rPr>
      </w:pPr>
      <w:r>
        <w:rPr>
          <w:rFonts w:ascii="宋体" w:hAnsi="宋体" w:cs="宋体" w:hint="eastAsia"/>
          <w:kern w:val="0"/>
          <w:szCs w:val="21"/>
        </w:rPr>
        <w:t>注：“信用中国”、“中国政府采购网”、“深圳信用网”以及“深圳市政府采购监管网”为供应商信用信息的查询渠道，相关信息以开标当日的查询结果为准。</w:t>
      </w:r>
    </w:p>
    <w:p w:rsidR="00C54C61" w:rsidRDefault="00C54C61" w:rsidP="00EE5467">
      <w:pPr>
        <w:pStyle w:val="a5"/>
        <w:spacing w:beforeLines="25" w:before="60" w:afterLines="25" w:after="60" w:line="360" w:lineRule="auto"/>
        <w:ind w:firstLineChars="187" w:firstLine="393"/>
        <w:contextualSpacing/>
      </w:pPr>
    </w:p>
    <w:p w:rsidR="00C54C61" w:rsidRDefault="00BF3A17" w:rsidP="00EE5467">
      <w:pPr>
        <w:pStyle w:val="a5"/>
        <w:spacing w:beforeLines="25" w:before="60" w:afterLines="25" w:after="60" w:line="360" w:lineRule="auto"/>
        <w:ind w:firstLineChars="187" w:firstLine="393"/>
        <w:contextualSpacing/>
      </w:pPr>
      <w:r>
        <w:rPr>
          <w:rFonts w:hint="eastAsia"/>
        </w:rPr>
        <w:t>完整公告内容详见：</w:t>
      </w:r>
      <w:r>
        <w:rPr>
          <w:rFonts w:hint="eastAsia"/>
        </w:rPr>
        <w:t>http://www.szzfcg.cn</w:t>
      </w:r>
    </w:p>
    <w:p w:rsidR="00C54C61" w:rsidRDefault="00C54C61" w:rsidP="00EE5467">
      <w:pPr>
        <w:pStyle w:val="a5"/>
        <w:spacing w:beforeLines="25" w:before="60" w:afterLines="25" w:after="60" w:line="360" w:lineRule="auto"/>
        <w:ind w:firstLineChars="187" w:firstLine="393"/>
        <w:contextualSpacing/>
      </w:pPr>
    </w:p>
    <w:p w:rsidR="00C54C61" w:rsidRDefault="00C54C61" w:rsidP="00EE5467">
      <w:pPr>
        <w:pStyle w:val="a5"/>
        <w:spacing w:beforeLines="25" w:before="60" w:afterLines="25" w:after="60" w:line="360" w:lineRule="auto"/>
        <w:ind w:firstLineChars="187" w:firstLine="393"/>
        <w:contextualSpacing/>
      </w:pPr>
    </w:p>
    <w:p w:rsidR="00C54C61" w:rsidRDefault="00C54C61" w:rsidP="00EE5467">
      <w:pPr>
        <w:pStyle w:val="a5"/>
        <w:spacing w:beforeLines="25" w:before="60" w:afterLines="25" w:after="60" w:line="360" w:lineRule="auto"/>
        <w:ind w:firstLineChars="187" w:firstLine="393"/>
        <w:contextualSpacing/>
      </w:pPr>
    </w:p>
    <w:p w:rsidR="00C54C61" w:rsidRDefault="00C54C61" w:rsidP="00EE5467">
      <w:pPr>
        <w:pStyle w:val="a5"/>
        <w:spacing w:beforeLines="25" w:before="60" w:afterLines="25" w:after="60" w:line="360" w:lineRule="auto"/>
        <w:ind w:firstLineChars="187" w:firstLine="393"/>
        <w:contextualSpacing/>
      </w:pPr>
    </w:p>
    <w:p w:rsidR="00C54C61" w:rsidRDefault="00C54C61" w:rsidP="00EE5467">
      <w:pPr>
        <w:pStyle w:val="a5"/>
        <w:spacing w:beforeLines="25" w:before="60" w:afterLines="25" w:after="60" w:line="360" w:lineRule="auto"/>
        <w:ind w:firstLineChars="187" w:firstLine="393"/>
        <w:contextualSpacing/>
      </w:pPr>
    </w:p>
    <w:p w:rsidR="00C54C61" w:rsidRDefault="00C54C61" w:rsidP="00EE5467">
      <w:pPr>
        <w:pStyle w:val="a5"/>
        <w:spacing w:beforeLines="25" w:before="60" w:afterLines="25" w:after="60" w:line="360" w:lineRule="auto"/>
        <w:ind w:firstLineChars="187" w:firstLine="393"/>
        <w:contextualSpacing/>
        <w:jc w:val="right"/>
        <w:rPr>
          <w:rFonts w:ascii="宋体" w:hAnsi="宋体"/>
          <w:szCs w:val="21"/>
        </w:rPr>
      </w:pPr>
    </w:p>
    <w:p w:rsidR="00C54C61" w:rsidRDefault="00BF3A17">
      <w:pPr>
        <w:spacing w:line="360" w:lineRule="auto"/>
        <w:ind w:firstLineChars="3000" w:firstLine="7200"/>
        <w:contextualSpacing/>
        <w:rPr>
          <w:sz w:val="24"/>
        </w:rPr>
      </w:pPr>
      <w:r>
        <w:rPr>
          <w:sz w:val="24"/>
        </w:rPr>
        <w:br w:type="page"/>
      </w:r>
    </w:p>
    <w:p w:rsidR="00C54C61" w:rsidRDefault="00BF3A17">
      <w:pPr>
        <w:pStyle w:val="2"/>
        <w:spacing w:before="0" w:after="0" w:line="360" w:lineRule="auto"/>
        <w:contextualSpacing/>
      </w:pPr>
      <w:r>
        <w:rPr>
          <w:rFonts w:hint="eastAsia"/>
        </w:rPr>
        <w:t>第二章  招标项目需求</w:t>
      </w:r>
    </w:p>
    <w:p w:rsidR="00C54C61" w:rsidRDefault="00BF3A17">
      <w:pPr>
        <w:pStyle w:val="2"/>
        <w:spacing w:beforeLines="50" w:before="120" w:afterLines="50" w:after="120" w:line="360" w:lineRule="auto"/>
        <w:contextualSpacing/>
        <w:rPr>
          <w:sz w:val="28"/>
          <w:szCs w:val="28"/>
        </w:rPr>
      </w:pPr>
      <w:bookmarkStart w:id="18" w:name="_Toc73521635"/>
      <w:bookmarkStart w:id="19" w:name="_Toc73521547"/>
      <w:bookmarkStart w:id="20" w:name="_Toc60631620"/>
      <w:bookmarkStart w:id="21" w:name="_Toc100052364"/>
      <w:bookmarkStart w:id="22" w:name="_Toc60560625"/>
      <w:bookmarkStart w:id="23" w:name="_Toc73517639"/>
      <w:bookmarkStart w:id="24" w:name="_Toc101074876"/>
      <w:bookmarkStart w:id="25" w:name="_Toc73518117"/>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C54C61">
        <w:trPr>
          <w:cantSplit/>
          <w:trHeight w:val="20"/>
          <w:jc w:val="center"/>
        </w:trPr>
        <w:tc>
          <w:tcPr>
            <w:tcW w:w="807" w:type="dxa"/>
            <w:vAlign w:val="center"/>
          </w:tcPr>
          <w:bookmarkEnd w:id="18"/>
          <w:bookmarkEnd w:id="19"/>
          <w:bookmarkEnd w:id="20"/>
          <w:bookmarkEnd w:id="21"/>
          <w:bookmarkEnd w:id="22"/>
          <w:bookmarkEnd w:id="23"/>
          <w:bookmarkEnd w:id="24"/>
          <w:bookmarkEnd w:id="25"/>
          <w:p w:rsidR="00C54C61" w:rsidRDefault="00BF3A17">
            <w:pPr>
              <w:spacing w:line="360" w:lineRule="auto"/>
              <w:contextualSpacing/>
              <w:jc w:val="center"/>
              <w:rPr>
                <w:rFonts w:ascii="宋体" w:hAnsi="宋体"/>
                <w:b/>
                <w:bCs/>
              </w:rPr>
            </w:pPr>
            <w:r>
              <w:rPr>
                <w:rFonts w:ascii="宋体" w:hAnsi="宋体" w:hint="eastAsia"/>
                <w:b/>
                <w:bCs/>
              </w:rPr>
              <w:t>序号</w:t>
            </w:r>
          </w:p>
        </w:tc>
        <w:tc>
          <w:tcPr>
            <w:tcW w:w="2160" w:type="dxa"/>
            <w:vAlign w:val="center"/>
          </w:tcPr>
          <w:p w:rsidR="00C54C61" w:rsidRDefault="00BF3A17">
            <w:pPr>
              <w:spacing w:line="360" w:lineRule="auto"/>
              <w:contextualSpacing/>
              <w:jc w:val="center"/>
              <w:rPr>
                <w:rFonts w:ascii="宋体" w:hAnsi="宋体"/>
                <w:b/>
                <w:bCs/>
              </w:rPr>
            </w:pPr>
            <w:r>
              <w:rPr>
                <w:rFonts w:ascii="宋体" w:hAnsi="宋体" w:hint="eastAsia"/>
                <w:b/>
                <w:bCs/>
              </w:rPr>
              <w:t>内   容</w:t>
            </w:r>
          </w:p>
        </w:tc>
        <w:tc>
          <w:tcPr>
            <w:tcW w:w="5400" w:type="dxa"/>
            <w:vAlign w:val="center"/>
          </w:tcPr>
          <w:p w:rsidR="00C54C61" w:rsidRDefault="00BF3A17">
            <w:pPr>
              <w:spacing w:line="360" w:lineRule="auto"/>
              <w:contextualSpacing/>
              <w:jc w:val="center"/>
              <w:rPr>
                <w:rFonts w:ascii="宋体" w:hAnsi="宋体"/>
                <w:b/>
                <w:bCs/>
              </w:rPr>
            </w:pPr>
            <w:r>
              <w:rPr>
                <w:rFonts w:ascii="宋体" w:hAnsi="宋体" w:hint="eastAsia"/>
                <w:b/>
                <w:bCs/>
              </w:rPr>
              <w:t>规      定</w:t>
            </w:r>
          </w:p>
        </w:tc>
      </w:tr>
      <w:tr w:rsidR="00C54C61">
        <w:trPr>
          <w:cantSplit/>
          <w:trHeight w:val="20"/>
          <w:jc w:val="center"/>
        </w:trPr>
        <w:tc>
          <w:tcPr>
            <w:tcW w:w="807" w:type="dxa"/>
            <w:vAlign w:val="center"/>
          </w:tcPr>
          <w:p w:rsidR="00C54C61" w:rsidRDefault="00BF3A17">
            <w:pPr>
              <w:spacing w:line="360" w:lineRule="auto"/>
              <w:contextualSpacing/>
              <w:jc w:val="center"/>
              <w:rPr>
                <w:rFonts w:ascii="宋体" w:hAnsi="宋体"/>
              </w:rPr>
            </w:pPr>
            <w:r>
              <w:rPr>
                <w:rFonts w:ascii="宋体" w:hAnsi="宋体" w:hint="eastAsia"/>
              </w:rPr>
              <w:t>1</w:t>
            </w:r>
          </w:p>
        </w:tc>
        <w:tc>
          <w:tcPr>
            <w:tcW w:w="2160" w:type="dxa"/>
            <w:vAlign w:val="center"/>
          </w:tcPr>
          <w:p w:rsidR="00C54C61" w:rsidRDefault="00BF3A17">
            <w:pPr>
              <w:spacing w:line="360" w:lineRule="auto"/>
              <w:contextualSpacing/>
            </w:pPr>
            <w:r>
              <w:rPr>
                <w:rFonts w:hint="eastAsia"/>
              </w:rPr>
              <w:t>联合体投标</w:t>
            </w:r>
          </w:p>
        </w:tc>
        <w:tc>
          <w:tcPr>
            <w:tcW w:w="5400" w:type="dxa"/>
            <w:vAlign w:val="center"/>
          </w:tcPr>
          <w:p w:rsidR="00C54C61" w:rsidRDefault="00BF3A17">
            <w:pPr>
              <w:spacing w:line="360" w:lineRule="auto"/>
              <w:contextualSpacing/>
              <w:rPr>
                <w:rFonts w:ascii="宋体" w:hAnsi="宋体"/>
                <w:snapToGrid w:val="0"/>
                <w:kern w:val="0"/>
                <w:szCs w:val="32"/>
                <w:u w:val="single"/>
                <w:lang w:val="zh-CN"/>
              </w:rPr>
            </w:pPr>
            <w:r>
              <w:rPr>
                <w:rFonts w:ascii="宋体" w:hAnsi="宋体" w:hint="eastAsia"/>
                <w:snapToGrid w:val="0"/>
                <w:kern w:val="0"/>
                <w:szCs w:val="32"/>
                <w:u w:val="single"/>
                <w:lang w:val="zh-CN"/>
              </w:rPr>
              <w:t>见《招标公告》中“投标人资格要求”部分的相关内容</w:t>
            </w:r>
          </w:p>
        </w:tc>
      </w:tr>
      <w:tr w:rsidR="00C54C61">
        <w:trPr>
          <w:cantSplit/>
          <w:trHeight w:val="20"/>
          <w:jc w:val="center"/>
        </w:trPr>
        <w:tc>
          <w:tcPr>
            <w:tcW w:w="807" w:type="dxa"/>
            <w:vAlign w:val="center"/>
          </w:tcPr>
          <w:p w:rsidR="00C54C61" w:rsidRDefault="00BF3A17">
            <w:pPr>
              <w:spacing w:line="360" w:lineRule="auto"/>
              <w:contextualSpacing/>
              <w:jc w:val="center"/>
              <w:rPr>
                <w:rFonts w:ascii="宋体" w:hAnsi="宋体"/>
              </w:rPr>
            </w:pPr>
            <w:r>
              <w:rPr>
                <w:rFonts w:ascii="宋体" w:hAnsi="宋体" w:hint="eastAsia"/>
              </w:rPr>
              <w:t>2</w:t>
            </w:r>
          </w:p>
        </w:tc>
        <w:tc>
          <w:tcPr>
            <w:tcW w:w="2160" w:type="dxa"/>
            <w:vAlign w:val="center"/>
          </w:tcPr>
          <w:p w:rsidR="00C54C61" w:rsidRDefault="00BF3A17">
            <w:pPr>
              <w:spacing w:line="360" w:lineRule="auto"/>
              <w:contextualSpacing/>
              <w:rPr>
                <w:rFonts w:ascii="宋体" w:hAnsi="宋体"/>
              </w:rPr>
            </w:pPr>
            <w:r>
              <w:rPr>
                <w:rFonts w:ascii="宋体" w:hAnsi="宋体" w:hint="eastAsia"/>
              </w:rPr>
              <w:t>投标有效期</w:t>
            </w:r>
          </w:p>
        </w:tc>
        <w:tc>
          <w:tcPr>
            <w:tcW w:w="5400" w:type="dxa"/>
            <w:vAlign w:val="center"/>
          </w:tcPr>
          <w:p w:rsidR="00C54C61" w:rsidRDefault="00BF3A17">
            <w:pPr>
              <w:spacing w:line="360" w:lineRule="auto"/>
              <w:contextualSpacing/>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C54C61">
        <w:trPr>
          <w:cantSplit/>
          <w:trHeight w:val="20"/>
          <w:jc w:val="center"/>
        </w:trPr>
        <w:tc>
          <w:tcPr>
            <w:tcW w:w="807" w:type="dxa"/>
            <w:vAlign w:val="center"/>
          </w:tcPr>
          <w:p w:rsidR="00C54C61" w:rsidRDefault="00BF3A17">
            <w:pPr>
              <w:spacing w:line="360" w:lineRule="auto"/>
              <w:contextualSpacing/>
              <w:jc w:val="center"/>
              <w:rPr>
                <w:rFonts w:ascii="宋体" w:hAnsi="宋体"/>
              </w:rPr>
            </w:pPr>
            <w:r>
              <w:rPr>
                <w:rFonts w:ascii="宋体" w:hAnsi="宋体" w:hint="eastAsia"/>
              </w:rPr>
              <w:t>3</w:t>
            </w:r>
          </w:p>
        </w:tc>
        <w:tc>
          <w:tcPr>
            <w:tcW w:w="2160" w:type="dxa"/>
            <w:vAlign w:val="center"/>
          </w:tcPr>
          <w:p w:rsidR="00C54C61" w:rsidRDefault="00BF3A17">
            <w:pPr>
              <w:spacing w:line="360" w:lineRule="auto"/>
              <w:contextualSpacing/>
              <w:rPr>
                <w:rFonts w:ascii="宋体" w:hAnsi="宋体"/>
              </w:rPr>
            </w:pPr>
            <w:r>
              <w:rPr>
                <w:rFonts w:ascii="宋体" w:hAnsi="宋体" w:hint="eastAsia"/>
              </w:rPr>
              <w:t>投标人的替代方案</w:t>
            </w:r>
          </w:p>
        </w:tc>
        <w:tc>
          <w:tcPr>
            <w:tcW w:w="5400" w:type="dxa"/>
            <w:vAlign w:val="center"/>
          </w:tcPr>
          <w:p w:rsidR="00C54C61" w:rsidRDefault="00BF3A17">
            <w:pPr>
              <w:spacing w:line="360" w:lineRule="auto"/>
              <w:contextualSpacing/>
              <w:rPr>
                <w:rFonts w:ascii="宋体" w:hAnsi="宋体"/>
              </w:rPr>
            </w:pPr>
            <w:r>
              <w:rPr>
                <w:rFonts w:ascii="宋体" w:hAnsi="宋体" w:hint="eastAsia"/>
              </w:rPr>
              <w:t>不允许</w:t>
            </w:r>
          </w:p>
        </w:tc>
      </w:tr>
      <w:tr w:rsidR="00C54C61">
        <w:trPr>
          <w:cantSplit/>
          <w:trHeight w:val="20"/>
          <w:jc w:val="center"/>
        </w:trPr>
        <w:tc>
          <w:tcPr>
            <w:tcW w:w="807" w:type="dxa"/>
            <w:vAlign w:val="center"/>
          </w:tcPr>
          <w:p w:rsidR="00C54C61" w:rsidRDefault="00BF3A17">
            <w:pPr>
              <w:spacing w:line="360" w:lineRule="auto"/>
              <w:contextualSpacing/>
              <w:jc w:val="center"/>
              <w:rPr>
                <w:rFonts w:ascii="宋体" w:hAnsi="宋体"/>
              </w:rPr>
            </w:pPr>
            <w:r>
              <w:rPr>
                <w:rFonts w:ascii="宋体" w:hAnsi="宋体" w:hint="eastAsia"/>
              </w:rPr>
              <w:t>4</w:t>
            </w:r>
          </w:p>
        </w:tc>
        <w:tc>
          <w:tcPr>
            <w:tcW w:w="2160" w:type="dxa"/>
            <w:vAlign w:val="center"/>
          </w:tcPr>
          <w:p w:rsidR="00C54C61" w:rsidRDefault="00BF3A17">
            <w:pPr>
              <w:spacing w:line="360" w:lineRule="auto"/>
              <w:contextualSpacing/>
              <w:rPr>
                <w:rFonts w:ascii="宋体" w:hAnsi="宋体"/>
              </w:rPr>
            </w:pPr>
            <w:r>
              <w:rPr>
                <w:rFonts w:ascii="宋体" w:hAnsi="宋体" w:hint="eastAsia"/>
              </w:rPr>
              <w:t>投标文件的投递</w:t>
            </w:r>
          </w:p>
        </w:tc>
        <w:tc>
          <w:tcPr>
            <w:tcW w:w="5400" w:type="dxa"/>
            <w:vAlign w:val="center"/>
          </w:tcPr>
          <w:p w:rsidR="00C54C61" w:rsidRDefault="00BF3A17">
            <w:pPr>
              <w:spacing w:line="360" w:lineRule="auto"/>
              <w:contextualSpacing/>
              <w:rPr>
                <w:rFonts w:ascii="宋体" w:hAnsi="宋体"/>
              </w:rPr>
            </w:pPr>
            <w:r>
              <w:rPr>
                <w:rFonts w:ascii="宋体" w:hAnsi="宋体" w:hint="eastAsia"/>
              </w:rPr>
              <w:t>本项目实行网上投标，投标人必须在招标文件规定的投标截止时间前登录“深圳交易集团有限公司政府采购业务分公司官网”，使用“应标管理</w:t>
            </w:r>
            <w:r>
              <w:rPr>
                <w:rFonts w:ascii="宋体" w:hAnsi="宋体"/>
              </w:rPr>
              <w:t>-&gt;上传投标文件”功能</w:t>
            </w:r>
            <w:r>
              <w:rPr>
                <w:rFonts w:ascii="宋体" w:hAnsi="宋体" w:hint="eastAsia"/>
              </w:rPr>
              <w:t>点，</w:t>
            </w:r>
            <w:r>
              <w:rPr>
                <w:rFonts w:ascii="宋体" w:hAnsi="宋体"/>
              </w:rPr>
              <w:t>将编制好的电子投标文件上传，投标文件大小不得超过</w:t>
            </w:r>
            <w:r>
              <w:rPr>
                <w:rFonts w:ascii="宋体" w:hAnsi="宋体" w:hint="eastAsia"/>
              </w:rPr>
              <w:t>10</w:t>
            </w:r>
            <w:r>
              <w:rPr>
                <w:rFonts w:ascii="宋体" w:hAnsi="宋体"/>
              </w:rPr>
              <w:t>0MB</w:t>
            </w:r>
          </w:p>
        </w:tc>
      </w:tr>
      <w:tr w:rsidR="00C54C61">
        <w:trPr>
          <w:cantSplit/>
          <w:trHeight w:val="20"/>
          <w:jc w:val="center"/>
        </w:trPr>
        <w:tc>
          <w:tcPr>
            <w:tcW w:w="807" w:type="dxa"/>
            <w:vAlign w:val="center"/>
          </w:tcPr>
          <w:p w:rsidR="00C54C61" w:rsidRDefault="00BF3A17">
            <w:pPr>
              <w:spacing w:line="360" w:lineRule="auto"/>
              <w:contextualSpacing/>
              <w:jc w:val="center"/>
              <w:rPr>
                <w:rFonts w:ascii="宋体" w:hAnsi="宋体"/>
              </w:rPr>
            </w:pPr>
            <w:r>
              <w:rPr>
                <w:rFonts w:ascii="宋体" w:hAnsi="宋体" w:hint="eastAsia"/>
              </w:rPr>
              <w:t>5</w:t>
            </w:r>
          </w:p>
        </w:tc>
        <w:tc>
          <w:tcPr>
            <w:tcW w:w="2160" w:type="dxa"/>
            <w:vAlign w:val="center"/>
          </w:tcPr>
          <w:p w:rsidR="00C54C61" w:rsidRDefault="00BF3A17">
            <w:pPr>
              <w:spacing w:line="360" w:lineRule="auto"/>
              <w:contextualSpacing/>
              <w:rPr>
                <w:rFonts w:ascii="宋体" w:hAnsi="宋体"/>
              </w:rPr>
            </w:pPr>
            <w:r>
              <w:rPr>
                <w:rFonts w:ascii="宋体" w:hAnsi="宋体" w:hint="eastAsia"/>
              </w:rPr>
              <w:t>履约保证金</w:t>
            </w:r>
          </w:p>
        </w:tc>
        <w:tc>
          <w:tcPr>
            <w:tcW w:w="5400" w:type="dxa"/>
            <w:vAlign w:val="center"/>
          </w:tcPr>
          <w:p w:rsidR="00C54C61" w:rsidRDefault="00BF3A17">
            <w:pPr>
              <w:spacing w:line="360" w:lineRule="auto"/>
              <w:contextualSpacing/>
              <w:rPr>
                <w:rFonts w:ascii="宋体" w:hAnsi="宋体"/>
                <w:color w:val="FF0000"/>
              </w:rPr>
            </w:pPr>
            <w:r>
              <w:rPr>
                <w:rFonts w:hint="eastAsia"/>
              </w:rPr>
              <w:t>合同金额的</w:t>
            </w:r>
            <w:r>
              <w:rPr>
                <w:rFonts w:hint="eastAsia"/>
              </w:rPr>
              <w:t>___</w:t>
            </w:r>
            <w:r>
              <w:t>1</w:t>
            </w:r>
            <w:r>
              <w:rPr>
                <w:rFonts w:hint="eastAsia"/>
              </w:rPr>
              <w:t>__%</w:t>
            </w:r>
            <w:r>
              <w:rPr>
                <w:rFonts w:hint="eastAsia"/>
                <w:u w:val="single"/>
              </w:rPr>
              <w:t xml:space="preserve"> </w:t>
            </w:r>
          </w:p>
        </w:tc>
      </w:tr>
    </w:tbl>
    <w:p w:rsidR="00C54C61" w:rsidRDefault="00BF3A17">
      <w:pPr>
        <w:spacing w:line="360" w:lineRule="auto"/>
        <w:contextualSpacing/>
        <w:rPr>
          <w:b/>
        </w:rPr>
      </w:pPr>
      <w:r>
        <w:rPr>
          <w:rFonts w:hint="eastAsia"/>
          <w:szCs w:val="21"/>
        </w:rPr>
        <w:t>备注：本表为通用条款相关内容的补充和明确，如与通用条款相冲突的以本表为准。</w:t>
      </w:r>
    </w:p>
    <w:p w:rsidR="00C54C61" w:rsidRDefault="00C54C61">
      <w:pPr>
        <w:spacing w:line="360" w:lineRule="auto"/>
        <w:contextualSpacing/>
        <w:rPr>
          <w:b/>
        </w:rPr>
      </w:pPr>
    </w:p>
    <w:p w:rsidR="00C54C61" w:rsidRDefault="00C54C61">
      <w:pPr>
        <w:spacing w:line="360" w:lineRule="auto"/>
        <w:contextualSpacing/>
      </w:pPr>
    </w:p>
    <w:p w:rsidR="00C54C61" w:rsidRDefault="00BF3A17">
      <w:pPr>
        <w:pStyle w:val="2"/>
        <w:spacing w:beforeLines="50" w:before="120" w:afterLines="50" w:after="120" w:line="360" w:lineRule="auto"/>
        <w:contextualSpacing/>
        <w:rPr>
          <w:sz w:val="28"/>
          <w:szCs w:val="28"/>
        </w:rPr>
      </w:pPr>
      <w:r>
        <w:rPr>
          <w:rFonts w:hint="eastAsia"/>
          <w:sz w:val="28"/>
          <w:szCs w:val="28"/>
        </w:rPr>
        <w:t>二、货物清单</w:t>
      </w:r>
    </w:p>
    <w:p w:rsidR="00C54C61" w:rsidRDefault="00BF3A17">
      <w:pPr>
        <w:spacing w:line="360" w:lineRule="auto"/>
        <w:contextualSpacing/>
        <w:rPr>
          <w:rFonts w:ascii="宋体" w:hAnsi="宋体"/>
          <w:bCs/>
          <w:color w:val="000000" w:themeColor="text1"/>
          <w:szCs w:val="21"/>
        </w:rPr>
      </w:pPr>
      <w:r>
        <w:rPr>
          <w:rFonts w:ascii="宋体" w:hAnsi="宋体" w:hint="eastAsia"/>
          <w:bCs/>
          <w:color w:val="000000" w:themeColor="text1"/>
          <w:szCs w:val="21"/>
        </w:rPr>
        <w:t>（一）货物总清单</w:t>
      </w:r>
    </w:p>
    <w:tbl>
      <w:tblPr>
        <w:tblpPr w:leftFromText="180" w:rightFromText="180" w:vertAnchor="text" w:horzAnchor="margin" w:tblpY="173"/>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605"/>
        <w:gridCol w:w="1276"/>
        <w:gridCol w:w="709"/>
        <w:gridCol w:w="709"/>
        <w:gridCol w:w="1417"/>
        <w:gridCol w:w="1559"/>
      </w:tblGrid>
      <w:tr w:rsidR="00C54C61">
        <w:trPr>
          <w:trHeight w:val="170"/>
        </w:trPr>
        <w:tc>
          <w:tcPr>
            <w:tcW w:w="771" w:type="dxa"/>
            <w:vAlign w:val="center"/>
          </w:tcPr>
          <w:p w:rsidR="00C54C61" w:rsidRDefault="00BF3A17">
            <w:pPr>
              <w:spacing w:line="360" w:lineRule="auto"/>
              <w:contextualSpacing/>
              <w:jc w:val="center"/>
              <w:rPr>
                <w:bCs/>
                <w:szCs w:val="21"/>
              </w:rPr>
            </w:pPr>
            <w:r>
              <w:rPr>
                <w:rFonts w:hint="eastAsia"/>
                <w:bCs/>
                <w:szCs w:val="21"/>
              </w:rPr>
              <w:t>序号</w:t>
            </w:r>
          </w:p>
        </w:tc>
        <w:tc>
          <w:tcPr>
            <w:tcW w:w="1605" w:type="dxa"/>
            <w:vAlign w:val="center"/>
          </w:tcPr>
          <w:p w:rsidR="00C54C61" w:rsidRDefault="00BF3A17">
            <w:pPr>
              <w:spacing w:line="360" w:lineRule="auto"/>
              <w:contextualSpacing/>
              <w:jc w:val="center"/>
              <w:rPr>
                <w:bCs/>
                <w:szCs w:val="21"/>
              </w:rPr>
            </w:pPr>
            <w:r>
              <w:rPr>
                <w:rFonts w:hint="eastAsia"/>
                <w:szCs w:val="21"/>
              </w:rPr>
              <w:t>采购计划编号</w:t>
            </w:r>
          </w:p>
        </w:tc>
        <w:tc>
          <w:tcPr>
            <w:tcW w:w="1276" w:type="dxa"/>
            <w:vAlign w:val="center"/>
          </w:tcPr>
          <w:p w:rsidR="00C54C61" w:rsidRDefault="00BF3A17">
            <w:pPr>
              <w:spacing w:line="360" w:lineRule="auto"/>
              <w:contextualSpacing/>
              <w:jc w:val="center"/>
              <w:rPr>
                <w:bCs/>
                <w:szCs w:val="21"/>
              </w:rPr>
            </w:pPr>
            <w:r>
              <w:rPr>
                <w:rFonts w:hint="eastAsia"/>
                <w:bCs/>
                <w:szCs w:val="21"/>
              </w:rPr>
              <w:t>货物名称</w:t>
            </w:r>
          </w:p>
        </w:tc>
        <w:tc>
          <w:tcPr>
            <w:tcW w:w="709" w:type="dxa"/>
            <w:vAlign w:val="center"/>
          </w:tcPr>
          <w:p w:rsidR="00C54C61" w:rsidRDefault="00BF3A17">
            <w:pPr>
              <w:spacing w:line="360" w:lineRule="auto"/>
              <w:contextualSpacing/>
              <w:jc w:val="center"/>
              <w:rPr>
                <w:bCs/>
                <w:szCs w:val="21"/>
              </w:rPr>
            </w:pPr>
            <w:r>
              <w:rPr>
                <w:rFonts w:hint="eastAsia"/>
                <w:bCs/>
                <w:szCs w:val="21"/>
              </w:rPr>
              <w:t>数量</w:t>
            </w:r>
          </w:p>
        </w:tc>
        <w:tc>
          <w:tcPr>
            <w:tcW w:w="709" w:type="dxa"/>
            <w:vAlign w:val="center"/>
          </w:tcPr>
          <w:p w:rsidR="00C54C61" w:rsidRDefault="00BF3A17">
            <w:pPr>
              <w:spacing w:line="360" w:lineRule="auto"/>
              <w:contextualSpacing/>
              <w:jc w:val="center"/>
              <w:rPr>
                <w:bCs/>
                <w:szCs w:val="21"/>
              </w:rPr>
            </w:pPr>
            <w:r>
              <w:rPr>
                <w:rFonts w:hint="eastAsia"/>
                <w:bCs/>
                <w:szCs w:val="21"/>
              </w:rPr>
              <w:t>单位</w:t>
            </w:r>
          </w:p>
        </w:tc>
        <w:tc>
          <w:tcPr>
            <w:tcW w:w="1417" w:type="dxa"/>
          </w:tcPr>
          <w:p w:rsidR="00C54C61" w:rsidRDefault="00BF3A17">
            <w:pPr>
              <w:spacing w:line="360" w:lineRule="auto"/>
              <w:contextualSpacing/>
              <w:jc w:val="center"/>
              <w:rPr>
                <w:szCs w:val="21"/>
              </w:rPr>
            </w:pPr>
            <w:r>
              <w:rPr>
                <w:rFonts w:hint="eastAsia"/>
                <w:szCs w:val="21"/>
              </w:rPr>
              <w:t>财政预算限额（元）</w:t>
            </w:r>
          </w:p>
        </w:tc>
        <w:tc>
          <w:tcPr>
            <w:tcW w:w="1559" w:type="dxa"/>
            <w:vAlign w:val="center"/>
          </w:tcPr>
          <w:p w:rsidR="00C54C61" w:rsidRDefault="00BF3A17">
            <w:pPr>
              <w:spacing w:line="360" w:lineRule="auto"/>
              <w:contextualSpacing/>
              <w:jc w:val="center"/>
              <w:rPr>
                <w:szCs w:val="21"/>
              </w:rPr>
            </w:pPr>
            <w:r>
              <w:rPr>
                <w:rFonts w:hint="eastAsia"/>
                <w:szCs w:val="21"/>
              </w:rPr>
              <w:t>最高投标限价（元）</w:t>
            </w:r>
          </w:p>
        </w:tc>
      </w:tr>
      <w:tr w:rsidR="00C54C61">
        <w:trPr>
          <w:trHeight w:val="290"/>
        </w:trPr>
        <w:tc>
          <w:tcPr>
            <w:tcW w:w="771" w:type="dxa"/>
          </w:tcPr>
          <w:p w:rsidR="00C54C61" w:rsidRDefault="00BF3A17">
            <w:pPr>
              <w:spacing w:line="360" w:lineRule="auto"/>
              <w:contextualSpacing/>
              <w:jc w:val="center"/>
              <w:rPr>
                <w:bCs/>
                <w:szCs w:val="21"/>
              </w:rPr>
            </w:pPr>
            <w:r>
              <w:rPr>
                <w:rFonts w:hint="eastAsia"/>
                <w:bCs/>
                <w:szCs w:val="21"/>
              </w:rPr>
              <w:t>1</w:t>
            </w:r>
          </w:p>
        </w:tc>
        <w:tc>
          <w:tcPr>
            <w:tcW w:w="1605" w:type="dxa"/>
          </w:tcPr>
          <w:p w:rsidR="00C54C61" w:rsidRDefault="00BF3A17">
            <w:pPr>
              <w:spacing w:line="360" w:lineRule="auto"/>
              <w:contextualSpacing/>
              <w:jc w:val="center"/>
              <w:rPr>
                <w:bCs/>
                <w:szCs w:val="21"/>
              </w:rPr>
            </w:pPr>
            <w:r>
              <w:rPr>
                <w:rFonts w:ascii="宋体" w:hAnsi="宋体"/>
                <w:szCs w:val="21"/>
              </w:rPr>
              <w:t>PLAN-2021-069007-000004</w:t>
            </w:r>
          </w:p>
        </w:tc>
        <w:tc>
          <w:tcPr>
            <w:tcW w:w="1276" w:type="dxa"/>
          </w:tcPr>
          <w:p w:rsidR="00C54C61" w:rsidRDefault="00BF3A17">
            <w:pPr>
              <w:spacing w:line="360" w:lineRule="auto"/>
              <w:contextualSpacing/>
              <w:jc w:val="center"/>
              <w:rPr>
                <w:bCs/>
                <w:szCs w:val="21"/>
              </w:rPr>
            </w:pPr>
            <w:r>
              <w:t>深圳市第十届运动会南山区代表团团服</w:t>
            </w:r>
          </w:p>
        </w:tc>
        <w:tc>
          <w:tcPr>
            <w:tcW w:w="709" w:type="dxa"/>
          </w:tcPr>
          <w:p w:rsidR="00C54C61" w:rsidRDefault="00BF3A17">
            <w:pPr>
              <w:spacing w:line="360" w:lineRule="auto"/>
              <w:contextualSpacing/>
              <w:jc w:val="center"/>
              <w:rPr>
                <w:bCs/>
                <w:szCs w:val="21"/>
              </w:rPr>
            </w:pPr>
            <w:r>
              <w:rPr>
                <w:rFonts w:hint="eastAsia"/>
                <w:bCs/>
                <w:szCs w:val="21"/>
              </w:rPr>
              <w:t>1</w:t>
            </w:r>
          </w:p>
        </w:tc>
        <w:tc>
          <w:tcPr>
            <w:tcW w:w="709" w:type="dxa"/>
          </w:tcPr>
          <w:p w:rsidR="00C54C61" w:rsidRDefault="00BF3A17">
            <w:pPr>
              <w:spacing w:line="360" w:lineRule="auto"/>
              <w:contextualSpacing/>
              <w:jc w:val="center"/>
              <w:rPr>
                <w:bCs/>
                <w:szCs w:val="21"/>
              </w:rPr>
            </w:pPr>
            <w:r>
              <w:rPr>
                <w:rFonts w:hint="eastAsia"/>
                <w:bCs/>
                <w:szCs w:val="21"/>
              </w:rPr>
              <w:t>批</w:t>
            </w:r>
          </w:p>
        </w:tc>
        <w:tc>
          <w:tcPr>
            <w:tcW w:w="1417" w:type="dxa"/>
          </w:tcPr>
          <w:p w:rsidR="00C54C61" w:rsidRDefault="00BF3A17">
            <w:pPr>
              <w:spacing w:line="360" w:lineRule="auto"/>
              <w:contextualSpacing/>
              <w:jc w:val="center"/>
              <w:rPr>
                <w:bCs/>
                <w:szCs w:val="21"/>
              </w:rPr>
            </w:pPr>
            <w:r>
              <w:t>1,500,000.00</w:t>
            </w:r>
          </w:p>
        </w:tc>
        <w:tc>
          <w:tcPr>
            <w:tcW w:w="1559" w:type="dxa"/>
          </w:tcPr>
          <w:p w:rsidR="00C54C61" w:rsidRDefault="00BF3A17">
            <w:pPr>
              <w:spacing w:line="360" w:lineRule="auto"/>
              <w:contextualSpacing/>
              <w:jc w:val="center"/>
              <w:rPr>
                <w:bCs/>
                <w:szCs w:val="21"/>
              </w:rPr>
            </w:pPr>
            <w:r>
              <w:rPr>
                <w:bCs/>
                <w:szCs w:val="21"/>
              </w:rPr>
              <w:t>1,500,000.00</w:t>
            </w:r>
          </w:p>
        </w:tc>
      </w:tr>
    </w:tbl>
    <w:p w:rsidR="00C54C61" w:rsidRDefault="00C54C61">
      <w:pPr>
        <w:spacing w:line="360" w:lineRule="auto"/>
        <w:contextualSpacing/>
        <w:rPr>
          <w:rFonts w:ascii="宋体" w:hAnsi="宋体"/>
          <w:b/>
          <w:color w:val="FF0000"/>
          <w:szCs w:val="21"/>
        </w:rPr>
      </w:pPr>
    </w:p>
    <w:p w:rsidR="00C54C61" w:rsidRDefault="00C54C61">
      <w:pPr>
        <w:spacing w:line="360" w:lineRule="auto"/>
        <w:contextualSpacing/>
        <w:rPr>
          <w:rFonts w:ascii="宋体" w:hAnsi="宋体"/>
          <w:bCs/>
          <w:color w:val="000000" w:themeColor="text1"/>
          <w:szCs w:val="21"/>
        </w:rPr>
      </w:pPr>
    </w:p>
    <w:p w:rsidR="00C54C61" w:rsidRDefault="00BF3A17">
      <w:pPr>
        <w:spacing w:line="360" w:lineRule="auto"/>
        <w:contextualSpacing/>
        <w:rPr>
          <w:b/>
          <w:szCs w:val="21"/>
        </w:rPr>
      </w:pPr>
      <w:r>
        <w:rPr>
          <w:rFonts w:hint="eastAsia"/>
          <w:b/>
          <w:szCs w:val="21"/>
        </w:rPr>
        <w:t>二、项目概况</w:t>
      </w:r>
    </w:p>
    <w:p w:rsidR="00C54C61" w:rsidRDefault="00BF3A17">
      <w:pPr>
        <w:widowControl/>
        <w:shd w:val="clear" w:color="auto" w:fill="FFFFFF"/>
        <w:spacing w:line="360" w:lineRule="auto"/>
        <w:ind w:firstLineChars="200" w:firstLine="420"/>
        <w:contextualSpacing/>
        <w:jc w:val="left"/>
        <w:rPr>
          <w:szCs w:val="21"/>
        </w:rPr>
      </w:pPr>
      <w:r>
        <w:rPr>
          <w:rFonts w:hint="eastAsia"/>
          <w:szCs w:val="21"/>
        </w:rPr>
        <w:t>2021</w:t>
      </w:r>
      <w:r>
        <w:rPr>
          <w:rFonts w:hint="eastAsia"/>
          <w:szCs w:val="21"/>
        </w:rPr>
        <w:t>年是深圳市第十届运动会，</w:t>
      </w:r>
      <w:r>
        <w:rPr>
          <w:szCs w:val="21"/>
        </w:rPr>
        <w:t>市运会是作为全市综合性的运动会，从</w:t>
      </w:r>
      <w:r>
        <w:rPr>
          <w:szCs w:val="21"/>
        </w:rPr>
        <w:t>1981</w:t>
      </w:r>
      <w:r>
        <w:rPr>
          <w:szCs w:val="21"/>
        </w:rPr>
        <w:t>年，也就是建立深圳特区第二年开始，每</w:t>
      </w:r>
      <w:r>
        <w:rPr>
          <w:szCs w:val="21"/>
        </w:rPr>
        <w:t>4</w:t>
      </w:r>
      <w:r>
        <w:rPr>
          <w:szCs w:val="21"/>
        </w:rPr>
        <w:t>年举办一次，至今已成功的举办了</w:t>
      </w:r>
      <w:r>
        <w:rPr>
          <w:rFonts w:hint="eastAsia"/>
          <w:szCs w:val="21"/>
        </w:rPr>
        <w:t>九</w:t>
      </w:r>
      <w:r>
        <w:rPr>
          <w:szCs w:val="21"/>
        </w:rPr>
        <w:t>届。</w:t>
      </w:r>
      <w:r>
        <w:rPr>
          <w:rFonts w:hint="eastAsia"/>
          <w:szCs w:val="21"/>
        </w:rPr>
        <w:t>本次我区代表团共参加</w:t>
      </w:r>
      <w:r>
        <w:rPr>
          <w:rFonts w:hint="eastAsia"/>
          <w:szCs w:val="21"/>
        </w:rPr>
        <w:t>38</w:t>
      </w:r>
      <w:r>
        <w:rPr>
          <w:rFonts w:hint="eastAsia"/>
          <w:szCs w:val="21"/>
        </w:rPr>
        <w:t>个项目，共有</w:t>
      </w:r>
      <w:r>
        <w:rPr>
          <w:rFonts w:hint="eastAsia"/>
          <w:szCs w:val="21"/>
        </w:rPr>
        <w:t>2500</w:t>
      </w:r>
      <w:r>
        <w:rPr>
          <w:rFonts w:hint="eastAsia"/>
          <w:szCs w:val="21"/>
        </w:rPr>
        <w:t>名运动员角逐</w:t>
      </w:r>
      <w:r>
        <w:rPr>
          <w:rFonts w:hint="eastAsia"/>
          <w:szCs w:val="21"/>
        </w:rPr>
        <w:t>38</w:t>
      </w:r>
      <w:r>
        <w:rPr>
          <w:rFonts w:hint="eastAsia"/>
          <w:szCs w:val="21"/>
        </w:rPr>
        <w:t>个项目的金银牌。</w:t>
      </w:r>
    </w:p>
    <w:p w:rsidR="00C54C61" w:rsidRDefault="00BF3A17">
      <w:pPr>
        <w:spacing w:line="360" w:lineRule="auto"/>
        <w:contextualSpacing/>
        <w:rPr>
          <w:b/>
          <w:szCs w:val="21"/>
        </w:rPr>
      </w:pPr>
      <w:r>
        <w:rPr>
          <w:rFonts w:hint="eastAsia"/>
          <w:b/>
          <w:szCs w:val="21"/>
        </w:rPr>
        <w:t>三、需求概述</w:t>
      </w:r>
    </w:p>
    <w:p w:rsidR="00C54C61" w:rsidRDefault="00BF3A17">
      <w:pPr>
        <w:spacing w:line="360" w:lineRule="auto"/>
        <w:ind w:firstLine="480"/>
        <w:contextualSpacing/>
        <w:rPr>
          <w:szCs w:val="21"/>
        </w:rPr>
      </w:pPr>
      <w:r>
        <w:rPr>
          <w:rFonts w:hint="eastAsia"/>
          <w:szCs w:val="21"/>
        </w:rPr>
        <w:t>南山区代表团参加市运会</w:t>
      </w:r>
      <w:r>
        <w:rPr>
          <w:rFonts w:hint="eastAsia"/>
          <w:szCs w:val="21"/>
        </w:rPr>
        <w:t>,</w:t>
      </w:r>
      <w:r>
        <w:rPr>
          <w:rFonts w:hint="eastAsia"/>
          <w:szCs w:val="21"/>
        </w:rPr>
        <w:t>共参加</w:t>
      </w:r>
      <w:r>
        <w:rPr>
          <w:rFonts w:hint="eastAsia"/>
          <w:szCs w:val="21"/>
        </w:rPr>
        <w:t>38</w:t>
      </w:r>
      <w:r>
        <w:rPr>
          <w:rFonts w:hint="eastAsia"/>
          <w:szCs w:val="21"/>
        </w:rPr>
        <w:t>个项目</w:t>
      </w:r>
      <w:r>
        <w:rPr>
          <w:rFonts w:hint="eastAsia"/>
          <w:szCs w:val="21"/>
        </w:rPr>
        <w:t>(</w:t>
      </w:r>
      <w:r>
        <w:rPr>
          <w:rFonts w:hint="eastAsia"/>
          <w:szCs w:val="21"/>
        </w:rPr>
        <w:t>详细清单如下</w:t>
      </w:r>
      <w:r>
        <w:rPr>
          <w:rFonts w:hint="eastAsia"/>
          <w:szCs w:val="21"/>
        </w:rPr>
        <w:t>)</w:t>
      </w:r>
      <w:r>
        <w:rPr>
          <w:rFonts w:hint="eastAsia"/>
          <w:szCs w:val="21"/>
        </w:rPr>
        <w:t>，本次采购的服装为：</w:t>
      </w:r>
      <w:r>
        <w:rPr>
          <w:rFonts w:hint="eastAsia"/>
          <w:szCs w:val="21"/>
        </w:rPr>
        <w:t xml:space="preserve"> 37</w:t>
      </w:r>
      <w:r>
        <w:rPr>
          <w:rFonts w:hint="eastAsia"/>
          <w:szCs w:val="21"/>
        </w:rPr>
        <w:t>个项目专业竞技比赛器材、装备，为保证其专业性，投标人所投产品应满足或优于货物清单及技术要求。</w:t>
      </w:r>
    </w:p>
    <w:p w:rsidR="00C54C61" w:rsidRDefault="00BF3A17">
      <w:pPr>
        <w:spacing w:line="360" w:lineRule="auto"/>
        <w:ind w:firstLine="480"/>
        <w:contextualSpacing/>
        <w:rPr>
          <w:szCs w:val="21"/>
        </w:rPr>
      </w:pPr>
      <w:r>
        <w:rPr>
          <w:rFonts w:hint="eastAsia"/>
          <w:szCs w:val="21"/>
        </w:rPr>
        <w:t>为充分利用财政项目预算，避免重复建设、避免政府投资浪费，减少二次开发费用，中标公司需要保证所采购的全部产品，必须为正规厂家生产，如发现假冒伪劣产品，采购单位概不签收，并由中标公司承担赔偿。</w:t>
      </w:r>
    </w:p>
    <w:p w:rsidR="00C54C61" w:rsidRDefault="00BF3A17">
      <w:pPr>
        <w:spacing w:line="360" w:lineRule="auto"/>
        <w:ind w:firstLine="480"/>
        <w:contextualSpacing/>
        <w:rPr>
          <w:szCs w:val="21"/>
        </w:rPr>
      </w:pPr>
      <w:r>
        <w:rPr>
          <w:rFonts w:hint="eastAsia"/>
          <w:szCs w:val="21"/>
        </w:rPr>
        <w:t>项目预算金额：</w:t>
      </w:r>
      <w:r>
        <w:rPr>
          <w:rFonts w:hint="eastAsia"/>
          <w:szCs w:val="21"/>
          <w:u w:val="single"/>
        </w:rPr>
        <w:t>150</w:t>
      </w:r>
      <w:r>
        <w:rPr>
          <w:rFonts w:hint="eastAsia"/>
          <w:szCs w:val="21"/>
        </w:rPr>
        <w:t>万</w:t>
      </w:r>
      <w:r>
        <w:rPr>
          <w:rFonts w:hint="eastAsia"/>
          <w:szCs w:val="21"/>
        </w:rPr>
        <w:t xml:space="preserve">   </w:t>
      </w:r>
    </w:p>
    <w:p w:rsidR="00C54C61" w:rsidRDefault="00C54C61">
      <w:pPr>
        <w:spacing w:line="360" w:lineRule="auto"/>
        <w:contextualSpacing/>
        <w:rPr>
          <w:rFonts w:ascii="宋体" w:hAnsi="宋体"/>
          <w:bCs/>
          <w:color w:val="000000" w:themeColor="text1"/>
          <w:szCs w:val="21"/>
        </w:rPr>
      </w:pPr>
    </w:p>
    <w:p w:rsidR="00C54C61" w:rsidRDefault="00C54C61">
      <w:pPr>
        <w:spacing w:line="360" w:lineRule="auto"/>
        <w:contextualSpacing/>
        <w:rPr>
          <w:rFonts w:ascii="宋体" w:hAnsi="宋体"/>
          <w:bCs/>
          <w:color w:val="000000" w:themeColor="text1"/>
          <w:szCs w:val="21"/>
        </w:rPr>
      </w:pPr>
    </w:p>
    <w:p w:rsidR="00C54C61" w:rsidRDefault="00C54C61">
      <w:pPr>
        <w:spacing w:line="360" w:lineRule="auto"/>
        <w:contextualSpacing/>
        <w:rPr>
          <w:rFonts w:ascii="宋体" w:hAnsi="宋体"/>
          <w:bCs/>
          <w:color w:val="000000" w:themeColor="text1"/>
          <w:szCs w:val="21"/>
        </w:rPr>
      </w:pPr>
    </w:p>
    <w:p w:rsidR="00C54C61" w:rsidRDefault="00C54C61">
      <w:pPr>
        <w:spacing w:line="360" w:lineRule="auto"/>
        <w:contextualSpacing/>
        <w:rPr>
          <w:rFonts w:ascii="宋体" w:hAnsi="宋体"/>
          <w:b/>
          <w:color w:val="FF0000"/>
          <w:szCs w:val="21"/>
        </w:rPr>
      </w:pPr>
    </w:p>
    <w:p w:rsidR="00C54C61" w:rsidRDefault="00BF3A17">
      <w:pPr>
        <w:spacing w:line="360" w:lineRule="auto"/>
        <w:contextualSpacing/>
        <w:rPr>
          <w:rFonts w:ascii="宋体" w:hAnsi="宋体"/>
          <w:b/>
          <w:color w:val="FF0000"/>
          <w:szCs w:val="21"/>
        </w:rPr>
      </w:pPr>
      <w:r>
        <w:rPr>
          <w:rFonts w:ascii="宋体" w:hAnsi="宋体" w:hint="eastAsia"/>
          <w:b/>
          <w:color w:val="FF0000"/>
          <w:szCs w:val="21"/>
        </w:rPr>
        <w:t xml:space="preserve">备注：1.备注栏注明“拒绝进口”的产品不接受投标人选用进口产品参与投标；注明“接受进口”的产品允许投标人选用进口产品参与投标，但不排斥国内产品。 </w:t>
      </w:r>
    </w:p>
    <w:p w:rsidR="00C54C61" w:rsidRDefault="00BF3A17">
      <w:pPr>
        <w:spacing w:line="360" w:lineRule="auto"/>
        <w:contextualSpacing/>
        <w:rPr>
          <w:rFonts w:ascii="宋体" w:hAnsi="宋体"/>
          <w:b/>
          <w:color w:val="FF0000"/>
          <w:szCs w:val="21"/>
        </w:rPr>
      </w:pPr>
      <w:r>
        <w:rPr>
          <w:rFonts w:ascii="宋体" w:hAnsi="宋体" w:hint="eastAsia"/>
          <w:b/>
          <w:color w:val="FF0000"/>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rsidR="00C54C61" w:rsidRDefault="00C54C61">
      <w:pPr>
        <w:spacing w:line="360" w:lineRule="auto"/>
        <w:contextualSpacing/>
        <w:rPr>
          <w:rFonts w:ascii="宋体" w:hAnsi="宋体"/>
          <w:b/>
          <w:color w:val="FF0000"/>
          <w:szCs w:val="21"/>
        </w:rPr>
      </w:pPr>
    </w:p>
    <w:p w:rsidR="00C54C61" w:rsidRDefault="00BF3A17">
      <w:pPr>
        <w:pStyle w:val="2"/>
        <w:spacing w:beforeLines="50" w:before="120" w:afterLines="50" w:after="120" w:line="360" w:lineRule="auto"/>
        <w:contextualSpacing/>
        <w:rPr>
          <w:sz w:val="28"/>
          <w:szCs w:val="28"/>
        </w:rPr>
      </w:pPr>
      <w:bookmarkStart w:id="26" w:name="_Toc128884461"/>
      <w:r>
        <w:rPr>
          <w:rFonts w:hint="eastAsia"/>
          <w:sz w:val="28"/>
          <w:szCs w:val="28"/>
        </w:rPr>
        <w:t>三、实质性条款</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483"/>
      </w:tblGrid>
      <w:tr w:rsidR="00C54C61">
        <w:tc>
          <w:tcPr>
            <w:tcW w:w="705" w:type="dxa"/>
          </w:tcPr>
          <w:p w:rsidR="00C54C61" w:rsidRDefault="00BF3A17">
            <w:pPr>
              <w:adjustRightInd w:val="0"/>
              <w:spacing w:line="360" w:lineRule="auto"/>
              <w:contextualSpacing/>
              <w:rPr>
                <w:rFonts w:ascii="宋体" w:hAnsi="宋体"/>
                <w:kern w:val="0"/>
                <w:szCs w:val="21"/>
              </w:rPr>
            </w:pPr>
            <w:r>
              <w:rPr>
                <w:rFonts w:ascii="宋体" w:hAnsi="宋体" w:hint="eastAsia"/>
                <w:kern w:val="0"/>
                <w:szCs w:val="21"/>
              </w:rPr>
              <w:t>序号</w:t>
            </w:r>
          </w:p>
        </w:tc>
        <w:tc>
          <w:tcPr>
            <w:tcW w:w="7483" w:type="dxa"/>
          </w:tcPr>
          <w:p w:rsidR="00C54C61" w:rsidRDefault="00BF3A17">
            <w:pPr>
              <w:adjustRightInd w:val="0"/>
              <w:spacing w:line="360" w:lineRule="auto"/>
              <w:contextualSpacing/>
              <w:rPr>
                <w:rFonts w:ascii="宋体" w:hAnsi="宋体"/>
                <w:kern w:val="0"/>
                <w:szCs w:val="21"/>
              </w:rPr>
            </w:pPr>
            <w:r>
              <w:rPr>
                <w:rFonts w:ascii="宋体" w:hAnsi="宋体" w:hint="eastAsia"/>
                <w:kern w:val="0"/>
                <w:szCs w:val="21"/>
              </w:rPr>
              <w:t>具体内容</w:t>
            </w:r>
          </w:p>
        </w:tc>
      </w:tr>
      <w:tr w:rsidR="00C54C61">
        <w:tc>
          <w:tcPr>
            <w:tcW w:w="705" w:type="dxa"/>
          </w:tcPr>
          <w:p w:rsidR="00C54C61" w:rsidRDefault="00BF3A17">
            <w:pPr>
              <w:adjustRightInd w:val="0"/>
              <w:spacing w:line="360" w:lineRule="auto"/>
              <w:contextualSpacing/>
              <w:rPr>
                <w:rFonts w:ascii="宋体" w:hAnsi="宋体"/>
                <w:kern w:val="0"/>
                <w:szCs w:val="21"/>
              </w:rPr>
            </w:pPr>
            <w:r>
              <w:rPr>
                <w:rFonts w:ascii="宋体" w:hAnsi="宋体" w:hint="eastAsia"/>
                <w:kern w:val="0"/>
                <w:szCs w:val="21"/>
              </w:rPr>
              <w:t>1</w:t>
            </w:r>
          </w:p>
        </w:tc>
        <w:tc>
          <w:tcPr>
            <w:tcW w:w="7483" w:type="dxa"/>
          </w:tcPr>
          <w:p w:rsidR="00C54C61" w:rsidRDefault="00BF3A17">
            <w:pPr>
              <w:adjustRightInd w:val="0"/>
              <w:spacing w:line="360" w:lineRule="auto"/>
              <w:contextualSpacing/>
              <w:rPr>
                <w:rFonts w:hAnsi="宋体"/>
                <w:kern w:val="0"/>
                <w:szCs w:val="21"/>
              </w:rPr>
            </w:pPr>
            <w:r>
              <w:rPr>
                <w:rFonts w:hAnsi="宋体" w:hint="eastAsia"/>
                <w:kern w:val="0"/>
                <w:szCs w:val="21"/>
              </w:rPr>
              <w:t>投标文件载明的交货期不超过招标文件规定的期限</w:t>
            </w:r>
          </w:p>
        </w:tc>
      </w:tr>
      <w:tr w:rsidR="00C54C61">
        <w:tc>
          <w:tcPr>
            <w:tcW w:w="705" w:type="dxa"/>
          </w:tcPr>
          <w:p w:rsidR="00C54C61" w:rsidRDefault="00BF3A17">
            <w:pPr>
              <w:adjustRightInd w:val="0"/>
              <w:spacing w:line="360" w:lineRule="auto"/>
              <w:contextualSpacing/>
              <w:rPr>
                <w:rFonts w:ascii="宋体" w:hAnsi="宋体"/>
                <w:kern w:val="0"/>
                <w:szCs w:val="21"/>
              </w:rPr>
            </w:pPr>
            <w:r>
              <w:rPr>
                <w:rFonts w:ascii="宋体" w:hAnsi="宋体" w:hint="eastAsia"/>
                <w:kern w:val="0"/>
                <w:szCs w:val="21"/>
              </w:rPr>
              <w:t>2</w:t>
            </w:r>
          </w:p>
        </w:tc>
        <w:tc>
          <w:tcPr>
            <w:tcW w:w="7483" w:type="dxa"/>
          </w:tcPr>
          <w:p w:rsidR="00C54C61" w:rsidRDefault="00BF3A17">
            <w:pPr>
              <w:adjustRightInd w:val="0"/>
              <w:spacing w:line="360" w:lineRule="auto"/>
              <w:contextualSpacing/>
              <w:rPr>
                <w:rFonts w:hAnsi="宋体"/>
                <w:kern w:val="0"/>
                <w:szCs w:val="21"/>
              </w:rPr>
            </w:pPr>
            <w:r>
              <w:rPr>
                <w:rFonts w:hAnsi="宋体" w:hint="eastAsia"/>
                <w:kern w:val="0"/>
                <w:szCs w:val="21"/>
              </w:rPr>
              <w:t>投标文件载明的免费保修期不低于招标文件规定的期限</w:t>
            </w:r>
          </w:p>
        </w:tc>
      </w:tr>
      <w:tr w:rsidR="00C54C61">
        <w:tc>
          <w:tcPr>
            <w:tcW w:w="705" w:type="dxa"/>
          </w:tcPr>
          <w:p w:rsidR="00C54C61" w:rsidRDefault="00BF3A17">
            <w:pPr>
              <w:adjustRightInd w:val="0"/>
              <w:spacing w:line="360" w:lineRule="auto"/>
              <w:contextualSpacing/>
              <w:rPr>
                <w:rFonts w:ascii="宋体" w:hAnsi="宋体"/>
                <w:kern w:val="0"/>
                <w:szCs w:val="21"/>
              </w:rPr>
            </w:pPr>
            <w:r>
              <w:rPr>
                <w:rFonts w:ascii="宋体" w:hAnsi="宋体" w:hint="eastAsia"/>
                <w:kern w:val="0"/>
                <w:szCs w:val="21"/>
              </w:rPr>
              <w:t>3</w:t>
            </w:r>
          </w:p>
        </w:tc>
        <w:tc>
          <w:tcPr>
            <w:tcW w:w="7483" w:type="dxa"/>
          </w:tcPr>
          <w:p w:rsidR="00C54C61" w:rsidRDefault="00BF3A17">
            <w:pPr>
              <w:adjustRightInd w:val="0"/>
              <w:spacing w:line="360" w:lineRule="auto"/>
              <w:contextualSpacing/>
              <w:rPr>
                <w:rFonts w:hAnsi="宋体"/>
                <w:kern w:val="0"/>
                <w:szCs w:val="21"/>
              </w:rPr>
            </w:pPr>
            <w:r>
              <w:rPr>
                <w:rFonts w:hAnsi="宋体" w:hint="eastAsia"/>
                <w:kern w:val="0"/>
                <w:szCs w:val="21"/>
              </w:rPr>
              <w:t>具体技术要求、商务需求中带“★”要求</w:t>
            </w:r>
          </w:p>
        </w:tc>
      </w:tr>
    </w:tbl>
    <w:p w:rsidR="00C54C61" w:rsidRDefault="00BF3A17">
      <w:pPr>
        <w:pStyle w:val="4"/>
        <w:tabs>
          <w:tab w:val="left" w:pos="765"/>
        </w:tabs>
        <w:spacing w:before="0" w:after="0" w:line="360" w:lineRule="auto"/>
        <w:contextualSpacing/>
        <w:rPr>
          <w:rFonts w:ascii="黑体"/>
          <w:b w:val="0"/>
          <w:kern w:val="0"/>
          <w:sz w:val="24"/>
          <w:szCs w:val="24"/>
        </w:rPr>
      </w:pPr>
      <w:r>
        <w:rPr>
          <w:rFonts w:ascii="黑体" w:hint="eastAsia"/>
          <w:b w:val="0"/>
          <w:kern w:val="0"/>
          <w:sz w:val="24"/>
          <w:szCs w:val="24"/>
        </w:rPr>
        <w:t>注：上表所列内容为不可负偏离条款</w:t>
      </w:r>
      <w:bookmarkEnd w:id="26"/>
    </w:p>
    <w:p w:rsidR="00C54C61" w:rsidRDefault="00C54C61">
      <w:pPr>
        <w:spacing w:line="360" w:lineRule="auto"/>
        <w:contextualSpacing/>
        <w:rPr>
          <w:b/>
          <w:szCs w:val="21"/>
        </w:rPr>
      </w:pPr>
    </w:p>
    <w:p w:rsidR="00C54C61" w:rsidRDefault="00BF3A17">
      <w:pPr>
        <w:pStyle w:val="2"/>
        <w:spacing w:beforeLines="50" w:before="120" w:afterLines="50" w:after="120" w:line="360" w:lineRule="auto"/>
        <w:contextualSpacing/>
        <w:rPr>
          <w:sz w:val="28"/>
          <w:szCs w:val="28"/>
        </w:rPr>
      </w:pPr>
      <w:r>
        <w:rPr>
          <w:rFonts w:hint="eastAsia"/>
          <w:sz w:val="28"/>
          <w:szCs w:val="28"/>
        </w:rPr>
        <w:t>四、具体技术要求</w:t>
      </w:r>
    </w:p>
    <w:p w:rsidR="00C54C61" w:rsidRDefault="00BF3A17">
      <w:pPr>
        <w:spacing w:line="360" w:lineRule="auto"/>
        <w:ind w:firstLineChars="200" w:firstLine="420"/>
        <w:contextualSpacing/>
        <w:rPr>
          <w:bCs/>
          <w:szCs w:val="21"/>
        </w:rPr>
      </w:pPr>
      <w:r>
        <w:rPr>
          <w:rFonts w:hint="eastAsia"/>
          <w:bCs/>
          <w:szCs w:val="21"/>
        </w:rPr>
        <w:t>说明：</w:t>
      </w:r>
      <w:r>
        <w:rPr>
          <w:rFonts w:hint="eastAsia"/>
          <w:bCs/>
          <w:szCs w:val="21"/>
        </w:rPr>
        <w:t>1</w:t>
      </w:r>
      <w:r>
        <w:rPr>
          <w:rFonts w:hint="eastAsia"/>
          <w:bCs/>
          <w:szCs w:val="21"/>
        </w:rPr>
        <w:t>、带“</w:t>
      </w:r>
      <w:r>
        <w:rPr>
          <w:rFonts w:ascii="宋体" w:hAnsi="宋体" w:cs="宋体" w:hint="eastAsia"/>
          <w:bCs/>
          <w:szCs w:val="21"/>
        </w:rPr>
        <w:t>★</w:t>
      </w:r>
      <w:r>
        <w:rPr>
          <w:rFonts w:hint="eastAsia"/>
          <w:bCs/>
          <w:szCs w:val="21"/>
        </w:rPr>
        <w:t>”指标项为实质性条款，如出现负偏离，将被视为未实质性满足招标文件要求作投标无效处理。带“</w:t>
      </w:r>
      <w:r>
        <w:rPr>
          <w:bCs/>
        </w:rPr>
        <w:t>▲</w:t>
      </w:r>
      <w:r>
        <w:rPr>
          <w:rFonts w:hint="eastAsia"/>
          <w:bCs/>
          <w:szCs w:val="21"/>
        </w:rPr>
        <w:t>”指标项为重要参数，负偏离时依相关评分准则内容作重点扣分处理。</w:t>
      </w:r>
      <w:r>
        <w:rPr>
          <w:rFonts w:hint="eastAsia"/>
          <w:bCs/>
          <w:szCs w:val="21"/>
        </w:rPr>
        <w:t xml:space="preserve"> </w:t>
      </w:r>
    </w:p>
    <w:p w:rsidR="00C54C61" w:rsidRDefault="00BF3A17">
      <w:pPr>
        <w:spacing w:line="360" w:lineRule="auto"/>
        <w:ind w:firstLineChars="200" w:firstLine="420"/>
        <w:contextualSpacing/>
        <w:rPr>
          <w:bCs/>
          <w:szCs w:val="21"/>
        </w:rPr>
      </w:pPr>
      <w:r>
        <w:rPr>
          <w:rFonts w:hint="eastAsia"/>
          <w:bCs/>
          <w:szCs w:val="21"/>
        </w:rPr>
        <w:t>2</w:t>
      </w:r>
      <w:r>
        <w:rPr>
          <w:rFonts w:hint="eastAsia"/>
          <w:bCs/>
          <w:szCs w:val="21"/>
        </w:rPr>
        <w:t>、招标技术要求中，用红色加粗字体标注的技术条款为要求提供证明资料的条款，</w:t>
      </w:r>
      <w:r>
        <w:rPr>
          <w:rFonts w:hint="eastAsia"/>
          <w:bCs/>
          <w:color w:val="FF0000"/>
          <w:szCs w:val="21"/>
        </w:rPr>
        <w:t>共</w:t>
      </w:r>
      <w:r>
        <w:rPr>
          <w:rFonts w:hint="eastAsia"/>
          <w:bCs/>
          <w:color w:val="FF0000"/>
          <w:szCs w:val="21"/>
          <w:u w:val="single"/>
        </w:rPr>
        <w:t xml:space="preserve">  </w:t>
      </w:r>
      <w:r>
        <w:rPr>
          <w:bCs/>
          <w:color w:val="FF0000"/>
          <w:szCs w:val="21"/>
          <w:u w:val="single"/>
        </w:rPr>
        <w:t xml:space="preserve">0   </w:t>
      </w:r>
      <w:r>
        <w:rPr>
          <w:rFonts w:hint="eastAsia"/>
          <w:bCs/>
          <w:color w:val="FF0000"/>
          <w:szCs w:val="21"/>
        </w:rPr>
        <w:t xml:space="preserve"> </w:t>
      </w:r>
      <w:r>
        <w:rPr>
          <w:rFonts w:hint="eastAsia"/>
          <w:bCs/>
          <w:color w:val="FF0000"/>
          <w:szCs w:val="21"/>
        </w:rPr>
        <w:t>项</w:t>
      </w:r>
      <w:r>
        <w:rPr>
          <w:rFonts w:hint="eastAsia"/>
          <w:bCs/>
          <w:szCs w:val="21"/>
        </w:rPr>
        <w:t>，其余为未要求提供证明资料的条款，无需提供相关证明资料。</w:t>
      </w:r>
    </w:p>
    <w:p w:rsidR="00C54C61" w:rsidRDefault="00BF3A17">
      <w:pPr>
        <w:spacing w:line="360" w:lineRule="auto"/>
        <w:ind w:firstLineChars="200" w:firstLine="420"/>
        <w:contextualSpacing/>
        <w:rPr>
          <w:bCs/>
          <w:szCs w:val="21"/>
        </w:rPr>
      </w:pPr>
      <w:r>
        <w:rPr>
          <w:rFonts w:hint="eastAsia"/>
          <w:bCs/>
        </w:rPr>
        <w:t>3</w:t>
      </w:r>
      <w:r>
        <w:rPr>
          <w:rFonts w:hint="eastAsia"/>
          <w:bCs/>
        </w:rPr>
        <w:t>、评分时，如对一项招标技术要求（以划分框为准）中的内容存在两处（或以上）负偏离的，在评分时只作一项负偏离扣分。</w:t>
      </w:r>
    </w:p>
    <w:p w:rsidR="00C54C61" w:rsidRDefault="00BF3A17">
      <w:pPr>
        <w:spacing w:line="360" w:lineRule="auto"/>
        <w:contextualSpacing/>
        <w:rPr>
          <w:sz w:val="24"/>
        </w:rPr>
      </w:pPr>
      <w:r>
        <w:rPr>
          <w:rFonts w:hint="eastAsia"/>
          <w:b/>
          <w:sz w:val="32"/>
          <w:szCs w:val="32"/>
        </w:rPr>
        <w:t>货物清单及技术要求</w:t>
      </w:r>
    </w:p>
    <w:tbl>
      <w:tblPr>
        <w:tblW w:w="90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1"/>
        <w:gridCol w:w="1453"/>
        <w:gridCol w:w="4133"/>
        <w:gridCol w:w="1219"/>
        <w:gridCol w:w="661"/>
        <w:gridCol w:w="991"/>
      </w:tblGrid>
      <w:tr w:rsidR="00C54C61">
        <w:trPr>
          <w:trHeight w:val="511"/>
          <w:jc w:val="center"/>
        </w:trPr>
        <w:tc>
          <w:tcPr>
            <w:tcW w:w="601" w:type="dxa"/>
            <w:vAlign w:val="center"/>
          </w:tcPr>
          <w:p w:rsidR="00C54C61" w:rsidRDefault="00BF3A17">
            <w:pPr>
              <w:jc w:val="center"/>
              <w:rPr>
                <w:rFonts w:ascii="宋体" w:hAnsi="宋体" w:cs="宋体"/>
                <w:b/>
                <w:bCs/>
                <w:kern w:val="0"/>
                <w:sz w:val="20"/>
              </w:rPr>
            </w:pPr>
            <w:r>
              <w:rPr>
                <w:rFonts w:ascii="宋体" w:hAnsi="宋体" w:cs="宋体" w:hint="eastAsia"/>
                <w:b/>
                <w:bCs/>
                <w:kern w:val="0"/>
                <w:sz w:val="20"/>
              </w:rPr>
              <w:t>序号</w:t>
            </w:r>
          </w:p>
        </w:tc>
        <w:tc>
          <w:tcPr>
            <w:tcW w:w="1453" w:type="dxa"/>
            <w:vAlign w:val="center"/>
          </w:tcPr>
          <w:p w:rsidR="00C54C61" w:rsidRDefault="00BF3A17">
            <w:pPr>
              <w:jc w:val="center"/>
              <w:rPr>
                <w:rFonts w:ascii="宋体" w:hAnsi="宋体" w:cs="宋体"/>
                <w:b/>
                <w:bCs/>
                <w:kern w:val="0"/>
                <w:sz w:val="20"/>
              </w:rPr>
            </w:pPr>
            <w:r>
              <w:rPr>
                <w:rFonts w:ascii="宋体" w:hAnsi="宋体" w:cs="宋体" w:hint="eastAsia"/>
                <w:b/>
                <w:bCs/>
                <w:kern w:val="0"/>
                <w:sz w:val="20"/>
              </w:rPr>
              <w:t>项目名称</w:t>
            </w:r>
          </w:p>
        </w:tc>
        <w:tc>
          <w:tcPr>
            <w:tcW w:w="4133" w:type="dxa"/>
            <w:tcBorders>
              <w:right w:val="single" w:sz="4" w:space="0" w:color="auto"/>
            </w:tcBorders>
            <w:vAlign w:val="center"/>
          </w:tcPr>
          <w:p w:rsidR="00C54C61" w:rsidRDefault="00BF3A17">
            <w:pPr>
              <w:jc w:val="center"/>
              <w:rPr>
                <w:rFonts w:ascii="宋体" w:hAnsi="宋体" w:cs="宋体"/>
                <w:b/>
                <w:bCs/>
                <w:kern w:val="0"/>
                <w:sz w:val="20"/>
              </w:rPr>
            </w:pPr>
            <w:r>
              <w:rPr>
                <w:rFonts w:ascii="宋体" w:hAnsi="宋体" w:cs="宋体" w:hint="eastAsia"/>
                <w:b/>
                <w:bCs/>
                <w:kern w:val="0"/>
                <w:sz w:val="20"/>
              </w:rPr>
              <w:t>技术参数</w:t>
            </w:r>
          </w:p>
        </w:tc>
        <w:tc>
          <w:tcPr>
            <w:tcW w:w="1219" w:type="dxa"/>
            <w:tcBorders>
              <w:left w:val="single" w:sz="4" w:space="0" w:color="auto"/>
            </w:tcBorders>
            <w:vAlign w:val="center"/>
          </w:tcPr>
          <w:p w:rsidR="00C54C61" w:rsidRDefault="00BF3A17">
            <w:pPr>
              <w:jc w:val="center"/>
              <w:rPr>
                <w:rFonts w:ascii="宋体" w:hAnsi="宋体" w:cs="宋体"/>
                <w:b/>
                <w:bCs/>
                <w:kern w:val="0"/>
                <w:sz w:val="20"/>
              </w:rPr>
            </w:pPr>
            <w:r>
              <w:rPr>
                <w:rFonts w:ascii="宋体" w:hAnsi="宋体" w:cs="宋体" w:hint="eastAsia"/>
                <w:b/>
                <w:bCs/>
                <w:kern w:val="0"/>
                <w:sz w:val="20"/>
              </w:rPr>
              <w:t>尺码要求</w:t>
            </w:r>
          </w:p>
        </w:tc>
        <w:tc>
          <w:tcPr>
            <w:tcW w:w="661" w:type="dxa"/>
            <w:vAlign w:val="center"/>
          </w:tcPr>
          <w:p w:rsidR="00C54C61" w:rsidRDefault="00BF3A17">
            <w:pPr>
              <w:jc w:val="center"/>
              <w:rPr>
                <w:rFonts w:ascii="宋体" w:hAnsi="宋体" w:cs="宋体"/>
                <w:b/>
                <w:bCs/>
                <w:kern w:val="0"/>
                <w:sz w:val="20"/>
              </w:rPr>
            </w:pPr>
            <w:r>
              <w:rPr>
                <w:rFonts w:ascii="宋体" w:hAnsi="宋体" w:cs="宋体" w:hint="eastAsia"/>
                <w:b/>
                <w:bCs/>
                <w:kern w:val="0"/>
                <w:sz w:val="20"/>
              </w:rPr>
              <w:t>数量</w:t>
            </w:r>
          </w:p>
        </w:tc>
        <w:tc>
          <w:tcPr>
            <w:tcW w:w="991" w:type="dxa"/>
            <w:vAlign w:val="center"/>
          </w:tcPr>
          <w:p w:rsidR="00C54C61" w:rsidRDefault="00BF3A17">
            <w:pPr>
              <w:jc w:val="center"/>
              <w:rPr>
                <w:rFonts w:ascii="宋体" w:hAnsi="宋体" w:cs="宋体"/>
                <w:b/>
                <w:bCs/>
                <w:kern w:val="0"/>
                <w:sz w:val="20"/>
              </w:rPr>
            </w:pPr>
            <w:r>
              <w:rPr>
                <w:rFonts w:ascii="宋体" w:hAnsi="宋体" w:cs="宋体" w:hint="eastAsia"/>
                <w:b/>
                <w:bCs/>
                <w:kern w:val="0"/>
                <w:sz w:val="20"/>
              </w:rPr>
              <w:t>单位</w:t>
            </w:r>
          </w:p>
        </w:tc>
      </w:tr>
      <w:tr w:rsidR="00C54C61">
        <w:trPr>
          <w:trHeight w:val="465"/>
          <w:jc w:val="center"/>
        </w:trPr>
        <w:tc>
          <w:tcPr>
            <w:tcW w:w="6187" w:type="dxa"/>
            <w:gridSpan w:val="3"/>
            <w:tcBorders>
              <w:right w:val="single" w:sz="4" w:space="0" w:color="auto"/>
            </w:tcBorders>
            <w:vAlign w:val="center"/>
          </w:tcPr>
          <w:p w:rsidR="00C54C61" w:rsidRDefault="00BF3A17">
            <w:pPr>
              <w:jc w:val="center"/>
              <w:rPr>
                <w:rFonts w:ascii="宋体" w:hAnsi="宋体" w:cs="宋体"/>
                <w:b/>
                <w:bCs/>
                <w:kern w:val="0"/>
                <w:sz w:val="20"/>
              </w:rPr>
            </w:pPr>
            <w:r>
              <w:rPr>
                <w:rFonts w:ascii="宋体" w:hAnsi="宋体" w:cs="宋体" w:hint="eastAsia"/>
                <w:b/>
                <w:bCs/>
                <w:kern w:val="0"/>
                <w:sz w:val="20"/>
              </w:rPr>
              <w:t xml:space="preserve">                         一、棒球项目</w:t>
            </w:r>
          </w:p>
        </w:tc>
        <w:tc>
          <w:tcPr>
            <w:tcW w:w="2871" w:type="dxa"/>
            <w:gridSpan w:val="3"/>
            <w:tcBorders>
              <w:left w:val="single" w:sz="4" w:space="0" w:color="auto"/>
            </w:tcBorders>
            <w:vAlign w:val="center"/>
          </w:tcPr>
          <w:p w:rsidR="00C54C61" w:rsidRDefault="00C54C61">
            <w:pPr>
              <w:rPr>
                <w:rFonts w:ascii="宋体" w:hAnsi="宋体" w:cs="宋体"/>
                <w:b/>
                <w:bCs/>
                <w:kern w:val="0"/>
                <w:sz w:val="20"/>
              </w:rPr>
            </w:pPr>
          </w:p>
        </w:tc>
      </w:tr>
      <w:tr w:rsidR="00C54C61">
        <w:trPr>
          <w:trHeight w:val="402"/>
          <w:jc w:val="center"/>
        </w:trPr>
        <w:tc>
          <w:tcPr>
            <w:tcW w:w="601" w:type="dxa"/>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vAlign w:val="center"/>
          </w:tcPr>
          <w:p w:rsidR="00C54C61" w:rsidRDefault="00BF3A17">
            <w:pPr>
              <w:jc w:val="center"/>
              <w:rPr>
                <w:rFonts w:ascii="宋体" w:hAnsi="宋体" w:cs="宋体"/>
                <w:kern w:val="0"/>
                <w:sz w:val="20"/>
              </w:rPr>
            </w:pPr>
            <w:r>
              <w:rPr>
                <w:rFonts w:ascii="宋体" w:hAnsi="宋体" w:cs="宋体" w:hint="eastAsia"/>
                <w:kern w:val="0"/>
                <w:sz w:val="20"/>
              </w:rPr>
              <w:t>棒球比赛装备</w:t>
            </w:r>
          </w:p>
        </w:tc>
        <w:tc>
          <w:tcPr>
            <w:tcW w:w="4133" w:type="dxa"/>
            <w:tcBorders>
              <w:right w:val="single" w:sz="4" w:space="0" w:color="auto"/>
            </w:tcBorders>
            <w:vAlign w:val="center"/>
          </w:tcPr>
          <w:p w:rsidR="00C54C61" w:rsidRDefault="00BF3A17">
            <w:pPr>
              <w:rPr>
                <w:rFonts w:ascii="宋体" w:hAnsi="宋体" w:cs="宋体"/>
                <w:kern w:val="0"/>
                <w:sz w:val="20"/>
              </w:rPr>
            </w:pPr>
            <w:r>
              <w:rPr>
                <w:rFonts w:ascii="宋体" w:hAnsi="宋体" w:cs="宋体" w:hint="eastAsia"/>
                <w:color w:val="000000"/>
                <w:sz w:val="20"/>
                <w:szCs w:val="20"/>
              </w:rPr>
              <w:t>上衣：100%聚酯纤维，白黑条纹，长裤：南韩丝，米白色，红边。</w:t>
            </w:r>
          </w:p>
        </w:tc>
        <w:tc>
          <w:tcPr>
            <w:tcW w:w="1219" w:type="dxa"/>
            <w:tcBorders>
              <w:left w:val="single" w:sz="4" w:space="0" w:color="auto"/>
            </w:tcBorders>
            <w:vAlign w:val="center"/>
          </w:tcPr>
          <w:p w:rsidR="00C54C61" w:rsidRDefault="00BF3A17">
            <w:pPr>
              <w:ind w:firstLineChars="100" w:firstLine="200"/>
              <w:rPr>
                <w:rFonts w:ascii="宋体" w:hAnsi="宋体" w:cs="宋体"/>
                <w:kern w:val="0"/>
                <w:sz w:val="20"/>
              </w:rPr>
            </w:pPr>
            <w:r>
              <w:rPr>
                <w:rFonts w:ascii="宋体" w:hAnsi="宋体" w:cs="宋体" w:hint="eastAsia"/>
                <w:kern w:val="0"/>
                <w:sz w:val="20"/>
              </w:rPr>
              <w:t>110-190</w:t>
            </w:r>
          </w:p>
        </w:tc>
        <w:tc>
          <w:tcPr>
            <w:tcW w:w="661" w:type="dxa"/>
            <w:vAlign w:val="center"/>
          </w:tcPr>
          <w:p w:rsidR="00C54C61" w:rsidRDefault="00BF3A17">
            <w:pPr>
              <w:jc w:val="center"/>
              <w:rPr>
                <w:rFonts w:ascii="宋体" w:hAnsi="宋体" w:cs="宋体"/>
                <w:kern w:val="0"/>
                <w:sz w:val="20"/>
              </w:rPr>
            </w:pPr>
            <w:r>
              <w:rPr>
                <w:rFonts w:ascii="宋体" w:hAnsi="宋体" w:cs="宋体" w:hint="eastAsia"/>
                <w:kern w:val="0"/>
                <w:sz w:val="20"/>
              </w:rPr>
              <w:t>54</w:t>
            </w:r>
          </w:p>
        </w:tc>
        <w:tc>
          <w:tcPr>
            <w:tcW w:w="991" w:type="dxa"/>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vAlign w:val="center"/>
          </w:tcPr>
          <w:p w:rsidR="00C54C61" w:rsidRDefault="00BF3A17">
            <w:pPr>
              <w:jc w:val="center"/>
              <w:rPr>
                <w:rFonts w:ascii="宋体" w:hAnsi="宋体" w:cs="宋体"/>
                <w:b/>
                <w:kern w:val="0"/>
                <w:sz w:val="20"/>
              </w:rPr>
            </w:pPr>
            <w:r>
              <w:rPr>
                <w:rFonts w:ascii="宋体" w:hAnsi="宋体" w:cs="宋体" w:hint="eastAsia"/>
                <w:b/>
                <w:kern w:val="0"/>
                <w:sz w:val="20"/>
              </w:rPr>
              <w:t>二、垒球项目</w:t>
            </w:r>
          </w:p>
        </w:tc>
      </w:tr>
      <w:tr w:rsidR="00C54C61">
        <w:trPr>
          <w:trHeight w:val="402"/>
          <w:jc w:val="center"/>
        </w:trPr>
        <w:tc>
          <w:tcPr>
            <w:tcW w:w="601" w:type="dxa"/>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vAlign w:val="center"/>
          </w:tcPr>
          <w:p w:rsidR="00C54C61" w:rsidRDefault="00BF3A17">
            <w:pPr>
              <w:jc w:val="center"/>
              <w:rPr>
                <w:rFonts w:ascii="宋体" w:hAnsi="宋体" w:cs="宋体"/>
                <w:kern w:val="0"/>
                <w:sz w:val="20"/>
              </w:rPr>
            </w:pPr>
            <w:r>
              <w:rPr>
                <w:rFonts w:ascii="宋体" w:hAnsi="宋体" w:cs="宋体" w:hint="eastAsia"/>
                <w:kern w:val="0"/>
                <w:sz w:val="20"/>
              </w:rPr>
              <w:t>垒球比赛装备</w:t>
            </w:r>
          </w:p>
        </w:tc>
        <w:tc>
          <w:tcPr>
            <w:tcW w:w="4133" w:type="dxa"/>
            <w:tcBorders>
              <w:right w:val="single" w:sz="4" w:space="0" w:color="auto"/>
            </w:tcBorders>
            <w:vAlign w:val="center"/>
          </w:tcPr>
          <w:p w:rsidR="00C54C61" w:rsidRDefault="00BF3A17">
            <w:pPr>
              <w:rPr>
                <w:rFonts w:ascii="宋体" w:hAnsi="宋体" w:cs="宋体"/>
                <w:kern w:val="0"/>
                <w:sz w:val="20"/>
              </w:rPr>
            </w:pPr>
            <w:r>
              <w:rPr>
                <w:rFonts w:ascii="宋体" w:hAnsi="宋体" w:cs="宋体" w:hint="eastAsia"/>
                <w:color w:val="000000"/>
                <w:sz w:val="20"/>
                <w:szCs w:val="20"/>
              </w:rPr>
              <w:t>上衣：100%聚酯纤维，白条纹，长裤：南韩丝，米白色，红边。</w:t>
            </w:r>
          </w:p>
        </w:tc>
        <w:tc>
          <w:tcPr>
            <w:tcW w:w="1219" w:type="dxa"/>
            <w:tcBorders>
              <w:left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vAlign w:val="center"/>
          </w:tcPr>
          <w:p w:rsidR="00C54C61" w:rsidRDefault="00BF3A17">
            <w:pPr>
              <w:jc w:val="center"/>
              <w:rPr>
                <w:rFonts w:ascii="宋体" w:hAnsi="宋体" w:cs="宋体"/>
                <w:kern w:val="0"/>
                <w:sz w:val="20"/>
              </w:rPr>
            </w:pPr>
            <w:r>
              <w:rPr>
                <w:rFonts w:ascii="宋体" w:hAnsi="宋体" w:cs="宋体" w:hint="eastAsia"/>
                <w:kern w:val="0"/>
                <w:sz w:val="20"/>
              </w:rPr>
              <w:t>72</w:t>
            </w:r>
          </w:p>
        </w:tc>
        <w:tc>
          <w:tcPr>
            <w:tcW w:w="991" w:type="dxa"/>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vAlign w:val="center"/>
          </w:tcPr>
          <w:p w:rsidR="00C54C61" w:rsidRDefault="00BF3A17">
            <w:pPr>
              <w:jc w:val="center"/>
              <w:rPr>
                <w:rFonts w:ascii="宋体" w:hAnsi="宋体" w:cs="宋体"/>
                <w:b/>
                <w:kern w:val="0"/>
                <w:sz w:val="20"/>
              </w:rPr>
            </w:pPr>
            <w:r>
              <w:rPr>
                <w:rFonts w:ascii="宋体" w:hAnsi="宋体" w:cs="宋体" w:hint="eastAsia"/>
                <w:b/>
                <w:kern w:val="0"/>
                <w:sz w:val="20"/>
              </w:rPr>
              <w:t>三、举重项目</w:t>
            </w:r>
          </w:p>
        </w:tc>
      </w:tr>
      <w:tr w:rsidR="00C54C61">
        <w:trPr>
          <w:trHeight w:val="90"/>
          <w:jc w:val="center"/>
        </w:trPr>
        <w:tc>
          <w:tcPr>
            <w:tcW w:w="601" w:type="dxa"/>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vAlign w:val="center"/>
          </w:tcPr>
          <w:p w:rsidR="00C54C61" w:rsidRDefault="00BF3A17">
            <w:pPr>
              <w:jc w:val="center"/>
              <w:rPr>
                <w:rFonts w:ascii="宋体" w:hAnsi="宋体" w:cs="宋体"/>
                <w:kern w:val="0"/>
                <w:sz w:val="20"/>
              </w:rPr>
            </w:pPr>
            <w:r>
              <w:rPr>
                <w:rFonts w:ascii="宋体" w:hAnsi="宋体" w:cs="宋体" w:hint="eastAsia"/>
                <w:kern w:val="0"/>
                <w:sz w:val="20"/>
              </w:rPr>
              <w:t>举重比赛装备</w:t>
            </w:r>
          </w:p>
        </w:tc>
        <w:tc>
          <w:tcPr>
            <w:tcW w:w="4133" w:type="dxa"/>
            <w:tcBorders>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优质锦氨纶，氨纶具有高延伸性（500%-700%）、低弹性模量（200%伸长，0.04-0.12克/旦）和高弹性回复率（200%伸长，95%-99%）</w:t>
            </w:r>
          </w:p>
        </w:tc>
        <w:tc>
          <w:tcPr>
            <w:tcW w:w="1219" w:type="dxa"/>
            <w:tcBorders>
              <w:left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vAlign w:val="center"/>
          </w:tcPr>
          <w:p w:rsidR="00C54C61" w:rsidRDefault="00BF3A17">
            <w:pPr>
              <w:jc w:val="left"/>
              <w:rPr>
                <w:rFonts w:ascii="宋体" w:hAnsi="宋体" w:cs="宋体"/>
              </w:rPr>
            </w:pPr>
            <w:r>
              <w:rPr>
                <w:rFonts w:ascii="宋体" w:hAnsi="宋体" w:cs="宋体" w:hint="eastAsia"/>
                <w:kern w:val="0"/>
                <w:sz w:val="20"/>
              </w:rPr>
              <w:t xml:space="preserve"> 41</w:t>
            </w:r>
          </w:p>
        </w:tc>
        <w:tc>
          <w:tcPr>
            <w:tcW w:w="991" w:type="dxa"/>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vAlign w:val="center"/>
          </w:tcPr>
          <w:p w:rsidR="00C54C61" w:rsidRDefault="00BF3A17">
            <w:pPr>
              <w:jc w:val="center"/>
              <w:rPr>
                <w:rFonts w:ascii="宋体" w:hAnsi="宋体" w:cs="宋体"/>
                <w:kern w:val="0"/>
                <w:sz w:val="20"/>
              </w:rPr>
            </w:pPr>
            <w:r>
              <w:rPr>
                <w:rFonts w:ascii="宋体" w:hAnsi="宋体" w:cs="宋体" w:hint="eastAsia"/>
                <w:b/>
                <w:kern w:val="0"/>
                <w:sz w:val="20"/>
              </w:rPr>
              <w:t>四、击剑项目</w:t>
            </w:r>
          </w:p>
        </w:tc>
      </w:tr>
      <w:tr w:rsidR="00C54C61">
        <w:trPr>
          <w:trHeight w:val="302"/>
          <w:jc w:val="center"/>
        </w:trPr>
        <w:tc>
          <w:tcPr>
            <w:tcW w:w="601" w:type="dxa"/>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vAlign w:val="center"/>
          </w:tcPr>
          <w:p w:rsidR="00C54C61" w:rsidRDefault="00BF3A17">
            <w:pPr>
              <w:jc w:val="center"/>
              <w:rPr>
                <w:rFonts w:ascii="宋体" w:hAnsi="宋体" w:cs="宋体"/>
                <w:kern w:val="0"/>
                <w:sz w:val="20"/>
              </w:rPr>
            </w:pPr>
            <w:r>
              <w:rPr>
                <w:rFonts w:ascii="宋体" w:hAnsi="宋体" w:cs="宋体" w:hint="eastAsia"/>
                <w:kern w:val="0"/>
                <w:sz w:val="20"/>
              </w:rPr>
              <w:t>击剑比赛装备</w:t>
            </w:r>
          </w:p>
        </w:tc>
        <w:tc>
          <w:tcPr>
            <w:tcW w:w="4133" w:type="dxa"/>
            <w:tcBorders>
              <w:right w:val="single" w:sz="4" w:space="0" w:color="auto"/>
            </w:tcBorders>
            <w:vAlign w:val="center"/>
          </w:tcPr>
          <w:p w:rsidR="00C54C61" w:rsidRDefault="00BF3A17">
            <w:pPr>
              <w:jc w:val="left"/>
              <w:rPr>
                <w:rFonts w:ascii="宋体" w:hAnsi="宋体" w:cs="宋体"/>
                <w:kern w:val="0"/>
                <w:sz w:val="20"/>
              </w:rPr>
            </w:pPr>
            <w:r>
              <w:rPr>
                <w:rFonts w:ascii="宋体" w:hAnsi="宋体" w:cs="宋体" w:hint="eastAsia"/>
                <w:kern w:val="0"/>
                <w:sz w:val="20"/>
              </w:rPr>
              <w:t xml:space="preserve">高性能合成纤维+棉，辅料：YKK拉链， 高强度腈纶带 通过CE 350N认证。             </w:t>
            </w:r>
          </w:p>
        </w:tc>
        <w:tc>
          <w:tcPr>
            <w:tcW w:w="1219" w:type="dxa"/>
            <w:tcBorders>
              <w:left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vAlign w:val="center"/>
          </w:tcPr>
          <w:p w:rsidR="00C54C61" w:rsidRDefault="00BF3A17">
            <w:pPr>
              <w:jc w:val="center"/>
              <w:rPr>
                <w:rFonts w:ascii="宋体" w:hAnsi="宋体" w:cs="宋体"/>
              </w:rPr>
            </w:pPr>
            <w:r>
              <w:rPr>
                <w:rFonts w:ascii="宋体" w:hAnsi="宋体" w:cs="宋体" w:hint="eastAsia"/>
                <w:kern w:val="0"/>
                <w:sz w:val="20"/>
              </w:rPr>
              <w:t>151</w:t>
            </w:r>
          </w:p>
        </w:tc>
        <w:tc>
          <w:tcPr>
            <w:tcW w:w="991" w:type="dxa"/>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vAlign w:val="center"/>
          </w:tcPr>
          <w:p w:rsidR="00C54C61" w:rsidRDefault="00BF3A17">
            <w:pPr>
              <w:jc w:val="center"/>
              <w:rPr>
                <w:rFonts w:ascii="宋体" w:hAnsi="宋体" w:cs="宋体"/>
                <w:kern w:val="0"/>
                <w:sz w:val="20"/>
              </w:rPr>
            </w:pPr>
            <w:r>
              <w:rPr>
                <w:rFonts w:ascii="宋体" w:hAnsi="宋体" w:cs="宋体" w:hint="eastAsia"/>
                <w:b/>
                <w:kern w:val="0"/>
                <w:sz w:val="20"/>
              </w:rPr>
              <w:t>五、羽毛球项目</w:t>
            </w:r>
          </w:p>
        </w:tc>
      </w:tr>
      <w:tr w:rsidR="00C54C61">
        <w:trPr>
          <w:trHeight w:val="402"/>
          <w:jc w:val="center"/>
        </w:trPr>
        <w:tc>
          <w:tcPr>
            <w:tcW w:w="601" w:type="dxa"/>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vAlign w:val="center"/>
          </w:tcPr>
          <w:p w:rsidR="00C54C61" w:rsidRDefault="00BF3A17">
            <w:pPr>
              <w:jc w:val="center"/>
              <w:rPr>
                <w:rFonts w:ascii="宋体" w:hAnsi="宋体" w:cs="宋体"/>
                <w:kern w:val="0"/>
                <w:sz w:val="20"/>
              </w:rPr>
            </w:pPr>
            <w:r>
              <w:rPr>
                <w:rFonts w:ascii="宋体" w:hAnsi="宋体" w:cs="宋体" w:hint="eastAsia"/>
                <w:kern w:val="0"/>
                <w:sz w:val="20"/>
              </w:rPr>
              <w:t>羽毛球比赛装备</w:t>
            </w:r>
          </w:p>
        </w:tc>
        <w:tc>
          <w:tcPr>
            <w:tcW w:w="4133" w:type="dxa"/>
            <w:tcBorders>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100%聚酯纤维，大红色，国内一线品牌</w:t>
            </w:r>
          </w:p>
        </w:tc>
        <w:tc>
          <w:tcPr>
            <w:tcW w:w="1219" w:type="dxa"/>
            <w:tcBorders>
              <w:left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vAlign w:val="center"/>
          </w:tcPr>
          <w:p w:rsidR="00C54C61" w:rsidRDefault="00BF3A17">
            <w:pPr>
              <w:jc w:val="center"/>
              <w:rPr>
                <w:rFonts w:ascii="宋体" w:hAnsi="宋体" w:cs="宋体"/>
              </w:rPr>
            </w:pPr>
            <w:r>
              <w:rPr>
                <w:rFonts w:ascii="宋体" w:hAnsi="宋体" w:cs="宋体" w:hint="eastAsia"/>
                <w:kern w:val="0"/>
                <w:sz w:val="20"/>
              </w:rPr>
              <w:t>56</w:t>
            </w:r>
          </w:p>
        </w:tc>
        <w:tc>
          <w:tcPr>
            <w:tcW w:w="991" w:type="dxa"/>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vAlign w:val="center"/>
          </w:tcPr>
          <w:p w:rsidR="00C54C61" w:rsidRDefault="00BF3A17">
            <w:pPr>
              <w:jc w:val="center"/>
              <w:rPr>
                <w:rFonts w:ascii="宋体" w:hAnsi="宋体" w:cs="宋体"/>
                <w:kern w:val="0"/>
                <w:sz w:val="20"/>
              </w:rPr>
            </w:pPr>
            <w:r>
              <w:rPr>
                <w:rFonts w:ascii="宋体" w:hAnsi="宋体" w:cs="宋体" w:hint="eastAsia"/>
                <w:b/>
                <w:kern w:val="0"/>
                <w:sz w:val="20"/>
              </w:rPr>
              <w:t>六、游泳项目</w:t>
            </w:r>
          </w:p>
        </w:tc>
      </w:tr>
      <w:tr w:rsidR="00C54C61">
        <w:trPr>
          <w:trHeight w:val="402"/>
          <w:jc w:val="center"/>
        </w:trPr>
        <w:tc>
          <w:tcPr>
            <w:tcW w:w="601" w:type="dxa"/>
            <w:vAlign w:val="center"/>
          </w:tcPr>
          <w:p w:rsidR="00C54C61" w:rsidRDefault="00BF3A17">
            <w:pPr>
              <w:jc w:val="center"/>
              <w:rPr>
                <w:rFonts w:ascii="宋体" w:hAnsi="宋体" w:cs="宋体"/>
                <w:b/>
                <w:bCs/>
                <w:color w:val="C00000"/>
                <w:kern w:val="0"/>
                <w:sz w:val="20"/>
              </w:rPr>
            </w:pPr>
            <w:r>
              <w:rPr>
                <w:rFonts w:ascii="宋体" w:hAnsi="宋体" w:cs="宋体" w:hint="eastAsia"/>
                <w:b/>
                <w:bCs/>
                <w:color w:val="C00000"/>
                <w:kern w:val="0"/>
                <w:sz w:val="20"/>
              </w:rPr>
              <w:t>1</w:t>
            </w:r>
          </w:p>
        </w:tc>
        <w:tc>
          <w:tcPr>
            <w:tcW w:w="1453" w:type="dxa"/>
            <w:vAlign w:val="center"/>
          </w:tcPr>
          <w:p w:rsidR="00C54C61" w:rsidRDefault="00BF3A17">
            <w:pPr>
              <w:jc w:val="center"/>
              <w:rPr>
                <w:rFonts w:ascii="宋体" w:hAnsi="宋体" w:cs="宋体"/>
                <w:kern w:val="0"/>
                <w:sz w:val="20"/>
              </w:rPr>
            </w:pPr>
            <w:r>
              <w:rPr>
                <w:rFonts w:ascii="宋体" w:hAnsi="宋体" w:cs="宋体" w:hint="eastAsia"/>
                <w:kern w:val="0"/>
                <w:sz w:val="20"/>
              </w:rPr>
              <w:t>游泳比赛装备</w:t>
            </w:r>
          </w:p>
        </w:tc>
        <w:tc>
          <w:tcPr>
            <w:tcW w:w="4133" w:type="dxa"/>
            <w:tcBorders>
              <w:right w:val="single" w:sz="4" w:space="0" w:color="auto"/>
            </w:tcBorders>
            <w:vAlign w:val="center"/>
          </w:tcPr>
          <w:p w:rsidR="00C54C61" w:rsidRDefault="00BF3A17">
            <w:pPr>
              <w:rPr>
                <w:rFonts w:ascii="宋体" w:hAnsi="宋体" w:cs="宋体"/>
                <w:sz w:val="20"/>
                <w:szCs w:val="20"/>
              </w:rPr>
            </w:pPr>
            <w:r>
              <w:rPr>
                <w:rFonts w:ascii="宋体" w:hAnsi="宋体" w:cs="宋体" w:hint="eastAsia"/>
                <w:sz w:val="20"/>
                <w:szCs w:val="20"/>
              </w:rPr>
              <w:t>面料：75%涤纶 25%氨纶，里料：95%涤纶 5%氨纶。</w:t>
            </w:r>
          </w:p>
          <w:p w:rsidR="00C54C61" w:rsidRDefault="00BF3A17">
            <w:pPr>
              <w:rPr>
                <w:rFonts w:ascii="宋体" w:hAnsi="宋体" w:cs="宋体"/>
                <w:sz w:val="20"/>
                <w:szCs w:val="20"/>
              </w:rPr>
            </w:pPr>
            <w:r>
              <w:rPr>
                <w:rFonts w:ascii="宋体" w:hAnsi="宋体" w:cs="宋体" w:hint="eastAsia"/>
                <w:sz w:val="20"/>
                <w:szCs w:val="20"/>
              </w:rPr>
              <w:t>要求：</w:t>
            </w:r>
          </w:p>
          <w:p w:rsidR="00C54C61" w:rsidRDefault="00BF3A17">
            <w:pPr>
              <w:numPr>
                <w:ilvl w:val="0"/>
                <w:numId w:val="11"/>
              </w:numPr>
              <w:spacing w:line="360" w:lineRule="auto"/>
              <w:jc w:val="left"/>
              <w:rPr>
                <w:rFonts w:ascii="宋体" w:hAnsi="宋体" w:cs="宋体"/>
                <w:sz w:val="20"/>
                <w:szCs w:val="20"/>
              </w:rPr>
            </w:pPr>
            <w:r>
              <w:rPr>
                <w:rFonts w:ascii="宋体" w:hAnsi="宋体" w:cs="宋体" w:hint="eastAsia"/>
                <w:sz w:val="20"/>
                <w:szCs w:val="20"/>
              </w:rPr>
              <w:t xml:space="preserve">超强抗氧面料，极速快干，弹性良好，柔滑如丝 </w:t>
            </w:r>
          </w:p>
          <w:p w:rsidR="00C54C61" w:rsidRDefault="00BF3A17">
            <w:pPr>
              <w:numPr>
                <w:ilvl w:val="0"/>
                <w:numId w:val="11"/>
              </w:numPr>
              <w:spacing w:line="360" w:lineRule="auto"/>
              <w:jc w:val="left"/>
              <w:rPr>
                <w:rFonts w:ascii="宋体" w:hAnsi="宋体" w:cs="宋体"/>
                <w:sz w:val="20"/>
                <w:szCs w:val="20"/>
              </w:rPr>
            </w:pPr>
            <w:r>
              <w:rPr>
                <w:rFonts w:ascii="宋体" w:hAnsi="宋体" w:cs="宋体" w:hint="eastAsia"/>
                <w:sz w:val="20"/>
                <w:szCs w:val="20"/>
              </w:rPr>
              <w:t>良好的排水速度，有效减阻，提高游泳速度；</w:t>
            </w:r>
          </w:p>
          <w:p w:rsidR="00C54C61" w:rsidRDefault="00BF3A17">
            <w:pPr>
              <w:pStyle w:val="a4"/>
              <w:jc w:val="left"/>
              <w:rPr>
                <w:rFonts w:ascii="宋体" w:hAnsi="宋体" w:cs="宋体"/>
                <w:b w:val="0"/>
                <w:bCs w:val="0"/>
                <w:sz w:val="20"/>
                <w:szCs w:val="20"/>
              </w:rPr>
            </w:pPr>
            <w:r>
              <w:rPr>
                <w:rFonts w:ascii="宋体" w:hAnsi="宋体" w:cs="宋体" w:hint="eastAsia"/>
                <w:b w:val="0"/>
                <w:bCs w:val="0"/>
                <w:sz w:val="20"/>
                <w:szCs w:val="20"/>
              </w:rPr>
              <w:t>3、需按照运动员身高量身定制</w:t>
            </w:r>
          </w:p>
          <w:p w:rsidR="00C54C61" w:rsidRDefault="00BF3A17">
            <w:pPr>
              <w:spacing w:line="360" w:lineRule="auto"/>
              <w:jc w:val="left"/>
              <w:rPr>
                <w:rFonts w:ascii="宋体" w:hAnsi="宋体" w:cs="宋体"/>
                <w:sz w:val="20"/>
                <w:szCs w:val="20"/>
              </w:rPr>
            </w:pPr>
            <w:r>
              <w:rPr>
                <w:rFonts w:ascii="宋体" w:hAnsi="宋体" w:cs="宋体" w:hint="eastAsia"/>
                <w:sz w:val="20"/>
                <w:szCs w:val="20"/>
              </w:rPr>
              <w:t>▲国际泳联FINA认证产品</w:t>
            </w:r>
          </w:p>
          <w:p w:rsidR="00C54C61" w:rsidRDefault="00BF3A17">
            <w:pPr>
              <w:spacing w:line="360" w:lineRule="auto"/>
              <w:jc w:val="left"/>
              <w:rPr>
                <w:rFonts w:ascii="宋体" w:hAnsi="宋体" w:cs="宋体"/>
                <w:sz w:val="20"/>
                <w:szCs w:val="20"/>
              </w:rPr>
            </w:pPr>
            <w:r>
              <w:rPr>
                <w:rFonts w:ascii="宋体" w:hAnsi="宋体" w:cs="宋体" w:hint="eastAsia"/>
                <w:sz w:val="20"/>
                <w:szCs w:val="20"/>
              </w:rPr>
              <w:t>▲提供制造商针对本项目该产品的供货保障及售后服务承诺函</w:t>
            </w:r>
          </w:p>
        </w:tc>
        <w:tc>
          <w:tcPr>
            <w:tcW w:w="1219" w:type="dxa"/>
            <w:tcBorders>
              <w:left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vAlign w:val="center"/>
          </w:tcPr>
          <w:p w:rsidR="00C54C61" w:rsidRDefault="00BF3A17">
            <w:pPr>
              <w:jc w:val="center"/>
              <w:rPr>
                <w:rFonts w:ascii="宋体" w:hAnsi="宋体" w:cs="宋体"/>
              </w:rPr>
            </w:pPr>
            <w:r>
              <w:rPr>
                <w:rFonts w:ascii="宋体" w:hAnsi="宋体" w:cs="宋体" w:hint="eastAsia"/>
                <w:kern w:val="0"/>
                <w:sz w:val="20"/>
              </w:rPr>
              <w:t>265</w:t>
            </w:r>
          </w:p>
        </w:tc>
        <w:tc>
          <w:tcPr>
            <w:tcW w:w="991" w:type="dxa"/>
            <w:vAlign w:val="center"/>
          </w:tcPr>
          <w:p w:rsidR="00C54C61" w:rsidRDefault="00BF3A17">
            <w:pPr>
              <w:jc w:val="center"/>
              <w:rPr>
                <w:rFonts w:ascii="宋体" w:hAnsi="宋体" w:cs="宋体"/>
                <w:kern w:val="0"/>
                <w:sz w:val="20"/>
              </w:rPr>
            </w:pPr>
            <w:r>
              <w:rPr>
                <w:rFonts w:ascii="宋体" w:hAnsi="宋体" w:cs="宋体" w:hint="eastAsia"/>
                <w:kern w:val="0"/>
                <w:sz w:val="20"/>
              </w:rPr>
              <w:t>件</w:t>
            </w:r>
          </w:p>
        </w:tc>
      </w:tr>
      <w:tr w:rsidR="00C54C61">
        <w:trPr>
          <w:trHeight w:val="402"/>
          <w:jc w:val="center"/>
        </w:trPr>
        <w:tc>
          <w:tcPr>
            <w:tcW w:w="9058" w:type="dxa"/>
            <w:gridSpan w:val="6"/>
            <w:vAlign w:val="center"/>
          </w:tcPr>
          <w:p w:rsidR="00C54C61" w:rsidRDefault="00BF3A17">
            <w:pPr>
              <w:jc w:val="center"/>
              <w:rPr>
                <w:rFonts w:ascii="宋体" w:hAnsi="宋体" w:cs="宋体"/>
                <w:kern w:val="0"/>
                <w:sz w:val="20"/>
              </w:rPr>
            </w:pPr>
            <w:r>
              <w:rPr>
                <w:rFonts w:ascii="宋体" w:hAnsi="宋体" w:cs="宋体" w:hint="eastAsia"/>
                <w:b/>
                <w:kern w:val="0"/>
                <w:sz w:val="20"/>
              </w:rPr>
              <w:t>七、体操项目</w:t>
            </w:r>
          </w:p>
        </w:tc>
      </w:tr>
      <w:tr w:rsidR="00C54C61">
        <w:trPr>
          <w:trHeight w:val="402"/>
          <w:jc w:val="center"/>
        </w:trPr>
        <w:tc>
          <w:tcPr>
            <w:tcW w:w="601" w:type="dxa"/>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vAlign w:val="center"/>
          </w:tcPr>
          <w:p w:rsidR="00C54C61" w:rsidRDefault="00BF3A17">
            <w:pPr>
              <w:jc w:val="center"/>
              <w:rPr>
                <w:rFonts w:ascii="宋体" w:hAnsi="宋体" w:cs="宋体"/>
                <w:kern w:val="0"/>
                <w:sz w:val="20"/>
              </w:rPr>
            </w:pPr>
            <w:r>
              <w:rPr>
                <w:rFonts w:ascii="宋体" w:hAnsi="宋体" w:cs="宋体" w:hint="eastAsia"/>
                <w:kern w:val="0"/>
                <w:sz w:val="20"/>
              </w:rPr>
              <w:t>体操比赛装备</w:t>
            </w:r>
          </w:p>
        </w:tc>
        <w:tc>
          <w:tcPr>
            <w:tcW w:w="4133" w:type="dxa"/>
            <w:tcBorders>
              <w:right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color w:val="000000"/>
                <w:sz w:val="20"/>
                <w:szCs w:val="20"/>
              </w:rPr>
              <w:t>锦纶布转移印，弹力修身。</w:t>
            </w:r>
          </w:p>
        </w:tc>
        <w:tc>
          <w:tcPr>
            <w:tcW w:w="1219" w:type="dxa"/>
            <w:tcBorders>
              <w:left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vAlign w:val="center"/>
          </w:tcPr>
          <w:p w:rsidR="00C54C61" w:rsidRDefault="00BF3A17">
            <w:pPr>
              <w:jc w:val="center"/>
              <w:rPr>
                <w:rFonts w:ascii="宋体" w:hAnsi="宋体" w:cs="宋体"/>
              </w:rPr>
            </w:pPr>
            <w:r>
              <w:rPr>
                <w:rFonts w:ascii="宋体" w:hAnsi="宋体" w:cs="宋体" w:hint="eastAsia"/>
                <w:kern w:val="0"/>
                <w:sz w:val="20"/>
              </w:rPr>
              <w:t>43</w:t>
            </w:r>
          </w:p>
        </w:tc>
        <w:tc>
          <w:tcPr>
            <w:tcW w:w="991" w:type="dxa"/>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vAlign w:val="center"/>
          </w:tcPr>
          <w:p w:rsidR="00C54C61" w:rsidRDefault="00BF3A17">
            <w:pPr>
              <w:jc w:val="center"/>
              <w:rPr>
                <w:rFonts w:ascii="宋体" w:hAnsi="宋体" w:cs="宋体"/>
                <w:kern w:val="0"/>
                <w:sz w:val="20"/>
              </w:rPr>
            </w:pPr>
            <w:r>
              <w:rPr>
                <w:rFonts w:ascii="宋体" w:hAnsi="宋体" w:cs="宋体" w:hint="eastAsia"/>
                <w:b/>
                <w:kern w:val="0"/>
                <w:sz w:val="20"/>
              </w:rPr>
              <w:t>八、网球项目</w:t>
            </w:r>
          </w:p>
        </w:tc>
      </w:tr>
      <w:tr w:rsidR="00C54C61">
        <w:trPr>
          <w:trHeight w:val="402"/>
          <w:jc w:val="center"/>
        </w:trPr>
        <w:tc>
          <w:tcPr>
            <w:tcW w:w="601" w:type="dxa"/>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vAlign w:val="center"/>
          </w:tcPr>
          <w:p w:rsidR="00C54C61" w:rsidRDefault="00BF3A17">
            <w:pPr>
              <w:jc w:val="center"/>
              <w:rPr>
                <w:rFonts w:ascii="宋体" w:hAnsi="宋体" w:cs="宋体"/>
                <w:kern w:val="0"/>
                <w:sz w:val="20"/>
              </w:rPr>
            </w:pPr>
            <w:r>
              <w:rPr>
                <w:rFonts w:ascii="宋体" w:hAnsi="宋体" w:cs="宋体" w:hint="eastAsia"/>
                <w:kern w:val="0"/>
                <w:sz w:val="20"/>
              </w:rPr>
              <w:t>网球比赛装备</w:t>
            </w:r>
          </w:p>
        </w:tc>
        <w:tc>
          <w:tcPr>
            <w:tcW w:w="4133" w:type="dxa"/>
            <w:tcBorders>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100%聚酯纤维，抗紫外线，吸汗速干燥，防静电。</w:t>
            </w:r>
          </w:p>
        </w:tc>
        <w:tc>
          <w:tcPr>
            <w:tcW w:w="1219" w:type="dxa"/>
            <w:tcBorders>
              <w:left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vAlign w:val="center"/>
          </w:tcPr>
          <w:p w:rsidR="00C54C61" w:rsidRDefault="00BF3A17">
            <w:pPr>
              <w:jc w:val="center"/>
              <w:rPr>
                <w:rFonts w:ascii="宋体" w:hAnsi="宋体" w:cs="宋体"/>
              </w:rPr>
            </w:pPr>
            <w:r>
              <w:rPr>
                <w:rFonts w:ascii="宋体" w:hAnsi="宋体" w:cs="宋体" w:hint="eastAsia"/>
                <w:kern w:val="0"/>
                <w:sz w:val="20"/>
              </w:rPr>
              <w:t>62</w:t>
            </w:r>
          </w:p>
        </w:tc>
        <w:tc>
          <w:tcPr>
            <w:tcW w:w="991" w:type="dxa"/>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vAlign w:val="center"/>
          </w:tcPr>
          <w:p w:rsidR="00C54C61" w:rsidRDefault="00BF3A17">
            <w:pPr>
              <w:jc w:val="center"/>
              <w:rPr>
                <w:rFonts w:ascii="宋体" w:hAnsi="宋体" w:cs="宋体"/>
                <w:kern w:val="0"/>
                <w:sz w:val="20"/>
              </w:rPr>
            </w:pPr>
            <w:r>
              <w:rPr>
                <w:rFonts w:ascii="宋体" w:hAnsi="宋体" w:cs="宋体" w:hint="eastAsia"/>
                <w:b/>
                <w:kern w:val="0"/>
                <w:sz w:val="20"/>
              </w:rPr>
              <w:t>九、花样游泳项目</w:t>
            </w:r>
          </w:p>
        </w:tc>
      </w:tr>
      <w:tr w:rsidR="00C54C61">
        <w:trPr>
          <w:trHeight w:val="402"/>
          <w:jc w:val="center"/>
        </w:trPr>
        <w:tc>
          <w:tcPr>
            <w:tcW w:w="601" w:type="dxa"/>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vAlign w:val="center"/>
          </w:tcPr>
          <w:p w:rsidR="00C54C61" w:rsidRDefault="00BF3A17">
            <w:pPr>
              <w:jc w:val="center"/>
              <w:rPr>
                <w:rFonts w:ascii="宋体" w:hAnsi="宋体" w:cs="宋体"/>
                <w:kern w:val="0"/>
                <w:sz w:val="20"/>
              </w:rPr>
            </w:pPr>
            <w:r>
              <w:rPr>
                <w:rFonts w:ascii="宋体" w:hAnsi="宋体" w:cs="宋体" w:hint="eastAsia"/>
                <w:kern w:val="0"/>
                <w:sz w:val="20"/>
              </w:rPr>
              <w:t>花样游泳比赛装备</w:t>
            </w:r>
          </w:p>
        </w:tc>
        <w:tc>
          <w:tcPr>
            <w:tcW w:w="4133" w:type="dxa"/>
            <w:tcBorders>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面料成分：80%锦纶，20%氨纶，里料成分：92%聚酯纤维， 8%氨纶</w:t>
            </w:r>
          </w:p>
        </w:tc>
        <w:tc>
          <w:tcPr>
            <w:tcW w:w="1219" w:type="dxa"/>
            <w:tcBorders>
              <w:left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vAlign w:val="center"/>
          </w:tcPr>
          <w:p w:rsidR="00C54C61" w:rsidRDefault="00BF3A17">
            <w:pPr>
              <w:jc w:val="center"/>
              <w:rPr>
                <w:rFonts w:ascii="宋体" w:hAnsi="宋体" w:cs="宋体"/>
              </w:rPr>
            </w:pPr>
            <w:r>
              <w:rPr>
                <w:rFonts w:ascii="宋体" w:hAnsi="宋体" w:cs="宋体" w:hint="eastAsia"/>
                <w:kern w:val="0"/>
                <w:sz w:val="20"/>
              </w:rPr>
              <w:t>72</w:t>
            </w:r>
          </w:p>
        </w:tc>
        <w:tc>
          <w:tcPr>
            <w:tcW w:w="991" w:type="dxa"/>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90"/>
          <w:jc w:val="center"/>
        </w:trPr>
        <w:tc>
          <w:tcPr>
            <w:tcW w:w="9058" w:type="dxa"/>
            <w:gridSpan w:val="6"/>
            <w:vAlign w:val="center"/>
          </w:tcPr>
          <w:p w:rsidR="00C54C61" w:rsidRDefault="00BF3A17">
            <w:pPr>
              <w:jc w:val="center"/>
              <w:rPr>
                <w:rFonts w:ascii="宋体" w:hAnsi="宋体" w:cs="宋体"/>
                <w:kern w:val="0"/>
                <w:sz w:val="20"/>
              </w:rPr>
            </w:pPr>
            <w:r>
              <w:rPr>
                <w:rFonts w:ascii="宋体" w:hAnsi="宋体" w:cs="宋体" w:hint="eastAsia"/>
                <w:b/>
                <w:kern w:val="0"/>
                <w:sz w:val="20"/>
              </w:rPr>
              <w:t>十、篮球项目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b/>
                <w:bCs/>
                <w:color w:val="C00000"/>
                <w:kern w:val="0"/>
                <w:sz w:val="20"/>
              </w:rPr>
            </w:pPr>
            <w:r>
              <w:rPr>
                <w:rFonts w:ascii="宋体" w:hAnsi="宋体" w:cs="宋体" w:hint="eastAsia"/>
                <w:b/>
                <w:bCs/>
                <w:color w:val="C00000"/>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b/>
                <w:bCs/>
                <w:color w:val="C00000"/>
                <w:kern w:val="0"/>
                <w:sz w:val="20"/>
              </w:rPr>
            </w:pPr>
            <w:r>
              <w:rPr>
                <w:rFonts w:ascii="宋体" w:hAnsi="宋体" w:cs="宋体" w:hint="eastAsia"/>
                <w:kern w:val="0"/>
                <w:sz w:val="20"/>
              </w:rPr>
              <w:t>篮球比赛装备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100%聚酯纤维，宝石蓝，国内一线品牌</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130</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十一、排球项目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排球比赛装备</w:t>
            </w:r>
          </w:p>
        </w:tc>
        <w:tc>
          <w:tcPr>
            <w:tcW w:w="4133" w:type="dxa"/>
            <w:tcBorders>
              <w:top w:val="single" w:sz="4" w:space="0" w:color="auto"/>
              <w:bottom w:val="single" w:sz="4" w:space="0" w:color="auto"/>
              <w:right w:val="single" w:sz="4" w:space="0" w:color="auto"/>
            </w:tcBorders>
            <w:vAlign w:val="center"/>
          </w:tcPr>
          <w:p w:rsidR="00C54C61" w:rsidRDefault="00BF3A17">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100%聚酯纤维，冰点提花布，Cooldry吸湿排汗功能，国内一线品牌</w:t>
            </w:r>
          </w:p>
        </w:tc>
        <w:tc>
          <w:tcPr>
            <w:tcW w:w="1219" w:type="dxa"/>
            <w:tcBorders>
              <w:top w:val="single" w:sz="4" w:space="0" w:color="auto"/>
              <w:left w:val="single" w:sz="4" w:space="0" w:color="auto"/>
              <w:bottom w:val="single" w:sz="4" w:space="0" w:color="auto"/>
            </w:tcBorders>
            <w:vAlign w:val="center"/>
          </w:tcPr>
          <w:p w:rsidR="00C54C61" w:rsidRDefault="00BF3A17">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110-190</w:t>
            </w:r>
          </w:p>
        </w:tc>
        <w:tc>
          <w:tcPr>
            <w:tcW w:w="661" w:type="dxa"/>
            <w:tcBorders>
              <w:top w:val="single" w:sz="4" w:space="0" w:color="auto"/>
              <w:bottom w:val="single" w:sz="4" w:space="0" w:color="auto"/>
            </w:tcBorders>
            <w:vAlign w:val="center"/>
          </w:tcPr>
          <w:p w:rsidR="00C54C61" w:rsidRDefault="00BF3A17">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 64</w:t>
            </w:r>
          </w:p>
        </w:tc>
        <w:tc>
          <w:tcPr>
            <w:tcW w:w="991" w:type="dxa"/>
            <w:tcBorders>
              <w:top w:val="single" w:sz="4" w:space="0" w:color="auto"/>
              <w:bottom w:val="single" w:sz="4" w:space="0" w:color="auto"/>
            </w:tcBorders>
            <w:vAlign w:val="center"/>
          </w:tcPr>
          <w:p w:rsidR="00C54C61" w:rsidRDefault="00BF3A17">
            <w:pPr>
              <w:widowControl/>
              <w:ind w:firstLineChars="150" w:firstLine="300"/>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十二、射击项目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射击比赛装备</w:t>
            </w:r>
          </w:p>
        </w:tc>
        <w:tc>
          <w:tcPr>
            <w:tcW w:w="4133" w:type="dxa"/>
            <w:tcBorders>
              <w:top w:val="single" w:sz="4" w:space="0" w:color="auto"/>
              <w:bottom w:val="single" w:sz="4" w:space="0" w:color="auto"/>
              <w:right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专业比赛服装</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43</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十三、手球项目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手球比赛装备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sz w:val="20"/>
                <w:szCs w:val="20"/>
              </w:rPr>
            </w:pPr>
            <w:r>
              <w:rPr>
                <w:rFonts w:ascii="宋体" w:hAnsi="宋体" w:cs="宋体" w:hint="eastAsia"/>
                <w:sz w:val="20"/>
                <w:szCs w:val="20"/>
              </w:rPr>
              <w:t>上衣材料：100%涤纶；平纹梭织，110g 颜色：三种颜色以上  短裤材料：100%涤纶；双面布，</w:t>
            </w:r>
            <w:r>
              <w:rPr>
                <w:rFonts w:ascii="宋体" w:hAnsi="宋体" w:cs="宋体" w:hint="eastAsia"/>
                <w:sz w:val="20"/>
                <w:szCs w:val="20"/>
              </w:rPr>
              <w:br/>
              <w:t xml:space="preserve"> 产品要求：面料轻盈，吸湿、透气排汗</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45</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十四、跳水项目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跳水专业比赛服</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面料成分：80%锦纶，20%氨纶，里料成分：92%聚酯纤维， 8%氨纶</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41</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十五、乒乓球项目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乒乓球比赛装备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100%聚酯纤维，大红色，国内一线品牌</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56</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十六、田径项目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田径比赛装备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sz w:val="20"/>
                <w:szCs w:val="20"/>
              </w:rPr>
            </w:pPr>
            <w:r>
              <w:rPr>
                <w:rFonts w:ascii="宋体" w:hAnsi="宋体" w:cs="宋体" w:hint="eastAsia"/>
                <w:sz w:val="20"/>
                <w:szCs w:val="20"/>
              </w:rPr>
              <w:t>有男女款，面料材质：快干透气面临；要求：1、采用简洁的对撞设计；2、材料使用科技服装面料，吸湿快干，超轻超薄；3、车工使用最高端的四针六线的工艺。</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170</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十七、柔道项目</w:t>
            </w:r>
          </w:p>
        </w:tc>
      </w:tr>
      <w:tr w:rsidR="00C54C61">
        <w:trPr>
          <w:trHeight w:val="90"/>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柔道比赛装备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蓝白两个颜色，专业比赛型，70% 的棉，30% 的涤纶、梭织、不起绒，克重为平方米 450 克，每套包含上衣、裤子、腰带、裤带，符合比赛标准。</w:t>
            </w:r>
          </w:p>
          <w:p w:rsidR="00C54C61" w:rsidRDefault="00BF3A17">
            <w:pPr>
              <w:rPr>
                <w:rFonts w:ascii="宋体" w:hAnsi="宋体" w:cs="宋体"/>
                <w:kern w:val="0"/>
                <w:sz w:val="20"/>
              </w:rPr>
            </w:pPr>
            <w:r>
              <w:rPr>
                <w:rFonts w:ascii="宋体" w:hAnsi="宋体" w:cs="宋体" w:hint="eastAsia"/>
                <w:szCs w:val="21"/>
              </w:rPr>
              <w:t>▲</w:t>
            </w:r>
            <w:r>
              <w:rPr>
                <w:rFonts w:ascii="宋体" w:hAnsi="宋体" w:cs="宋体" w:hint="eastAsia"/>
                <w:kern w:val="0"/>
                <w:sz w:val="20"/>
              </w:rPr>
              <w:t xml:space="preserve">通过国际柔道联合会认证  </w:t>
            </w:r>
          </w:p>
          <w:p w:rsidR="00C54C61" w:rsidRDefault="00BF3A17">
            <w:pPr>
              <w:rPr>
                <w:rFonts w:ascii="宋体" w:hAnsi="宋体" w:cs="宋体"/>
                <w:kern w:val="0"/>
                <w:sz w:val="20"/>
              </w:rPr>
            </w:pPr>
            <w:r>
              <w:rPr>
                <w:rFonts w:ascii="宋体" w:hAnsi="宋体" w:cs="宋体" w:hint="eastAsia"/>
                <w:szCs w:val="21"/>
              </w:rPr>
              <w:t>▲提供制造商针对本项目该产品的供货保障及售后服务承诺函。</w:t>
            </w:r>
            <w:r>
              <w:rPr>
                <w:rFonts w:ascii="宋体" w:hAnsi="宋体" w:cs="宋体" w:hint="eastAsia"/>
                <w:kern w:val="0"/>
                <w:sz w:val="20"/>
              </w:rPr>
              <w:t>）</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42</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十八、拳击项目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拳击比赛装备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涤棉氨纶面料符合国际、业余拳练比赛服装标准</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85</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十九、武术项目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武术比赛装备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牛奶丝面料</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30</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二十、摔跤项目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摔跤专业比赛服</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进口氨纶弹力布  产品重量0.5kg 符合摔跤比赛规定服装标准</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55</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二十一、高尔夫项目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高尔夫比赛装备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color w:val="000000"/>
                <w:szCs w:val="21"/>
                <w:shd w:val="clear" w:color="auto" w:fill="FFFFFF"/>
              </w:rPr>
              <w:t>聚酯纤维100%，防紫外线</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20</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二十二、跆拳道项目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跆拳道专业比赛服</w:t>
            </w:r>
          </w:p>
        </w:tc>
        <w:tc>
          <w:tcPr>
            <w:tcW w:w="4133" w:type="dxa"/>
            <w:tcBorders>
              <w:top w:val="single" w:sz="4" w:space="0" w:color="auto"/>
              <w:bottom w:val="single" w:sz="4" w:space="0" w:color="auto"/>
              <w:right w:val="single" w:sz="4" w:space="0" w:color="auto"/>
            </w:tcBorders>
            <w:vAlign w:val="center"/>
          </w:tcPr>
          <w:p w:rsidR="00C54C61" w:rsidRDefault="00BF3A17">
            <w:pPr>
              <w:widowControl/>
              <w:jc w:val="left"/>
              <w:textAlignment w:val="center"/>
              <w:rPr>
                <w:rFonts w:ascii="宋体" w:hAnsi="宋体" w:cs="宋体"/>
                <w:kern w:val="0"/>
                <w:sz w:val="20"/>
              </w:rPr>
            </w:pPr>
            <w:r>
              <w:rPr>
                <w:rFonts w:ascii="宋体" w:hAnsi="宋体" w:cs="宋体" w:hint="eastAsia"/>
                <w:kern w:val="0"/>
                <w:sz w:val="20"/>
              </w:rPr>
              <w:t>功能用途：</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跆拳道比赛、比赛服装。</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 xml:space="preserve">材质工艺与性能特点： </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微弹PD077面料车缝，吸湿排汗、舒适透气，不易起球、变色、缩水。</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技术指标：</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1、纤维成份及含量：聚酯纤维100%；</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 xml:space="preserve">2、耐汗渍，耐皂洗色牢度：变色：≥4.0级，沾色：≥4.0级 </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3、甲醛含量&lt;20mg/kg</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 xml:space="preserve">4、可分解芳香胺染料&lt;20mg/kg </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5、起毛起球≥4.0级</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技术指标符合GB/T2912.1-2009、GB/T17592-2011、FZ/T01057（1~4）-2007</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 xml:space="preserve"> GB/T3921-2008、GB/T-4802.2-2008标准</w:t>
            </w:r>
          </w:p>
          <w:p w:rsidR="00C54C61" w:rsidRDefault="00BF3A17">
            <w:pPr>
              <w:widowControl/>
              <w:jc w:val="left"/>
              <w:textAlignment w:val="center"/>
              <w:rPr>
                <w:rFonts w:ascii="宋体" w:hAnsi="宋体" w:cs="宋体"/>
                <w:kern w:val="0"/>
                <w:sz w:val="20"/>
              </w:rPr>
            </w:pPr>
            <w:r>
              <w:rPr>
                <w:rFonts w:ascii="宋体" w:hAnsi="宋体" w:cs="宋体" w:hint="eastAsia"/>
                <w:kern w:val="0"/>
                <w:sz w:val="20"/>
              </w:rPr>
              <w:t>6、符合国家标准，具有第三方检测报告</w:t>
            </w:r>
          </w:p>
          <w:p w:rsidR="00C54C61" w:rsidRDefault="00BF3A17">
            <w:pPr>
              <w:widowControl/>
              <w:jc w:val="left"/>
              <w:textAlignment w:val="center"/>
              <w:rPr>
                <w:rFonts w:ascii="宋体" w:hAnsi="宋体" w:cs="宋体"/>
                <w:sz w:val="20"/>
                <w:szCs w:val="20"/>
              </w:rPr>
            </w:pPr>
            <w:r>
              <w:rPr>
                <w:rFonts w:ascii="宋体" w:hAnsi="宋体" w:cs="宋体" w:hint="eastAsia"/>
                <w:kern w:val="0"/>
                <w:sz w:val="20"/>
              </w:rPr>
              <w:t>▲提供通过WTF认证证书</w:t>
            </w:r>
            <w:r>
              <w:rPr>
                <w:rFonts w:ascii="宋体" w:hAnsi="宋体" w:cs="宋体" w:hint="eastAsia"/>
                <w:sz w:val="20"/>
                <w:szCs w:val="20"/>
              </w:rPr>
              <w:br/>
            </w:r>
            <w:r>
              <w:rPr>
                <w:rFonts w:ascii="宋体" w:hAnsi="宋体" w:cs="宋体" w:hint="eastAsia"/>
                <w:kern w:val="0"/>
                <w:sz w:val="20"/>
              </w:rPr>
              <w:t>▲</w:t>
            </w:r>
            <w:r>
              <w:rPr>
                <w:rFonts w:ascii="宋体" w:hAnsi="宋体" w:cs="宋体" w:hint="eastAsia"/>
                <w:szCs w:val="21"/>
              </w:rPr>
              <w:t>提供制造商针对本项目该产品的供货保障及售后服务承诺函。</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30</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二十三、自行车项目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自行车专业比赛服</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六角网眼面料，拥有臂部和颈部前倾设计，背部17°略弯曲设计，</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50</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601" w:type="dxa"/>
            <w:tcBorders>
              <w:top w:val="single" w:sz="4" w:space="0" w:color="auto"/>
              <w:bottom w:val="single" w:sz="4" w:space="0" w:color="auto"/>
            </w:tcBorders>
            <w:vAlign w:val="center"/>
          </w:tcPr>
          <w:p w:rsidR="00C54C61" w:rsidRDefault="00C54C61">
            <w:pPr>
              <w:jc w:val="center"/>
              <w:rPr>
                <w:rFonts w:ascii="宋体" w:hAnsi="宋体" w:cs="宋体"/>
                <w:kern w:val="0"/>
                <w:sz w:val="20"/>
              </w:rPr>
            </w:pPr>
          </w:p>
        </w:tc>
        <w:tc>
          <w:tcPr>
            <w:tcW w:w="8457" w:type="dxa"/>
            <w:gridSpan w:val="5"/>
            <w:tcBorders>
              <w:top w:val="single" w:sz="4" w:space="0" w:color="auto"/>
              <w:bottom w:val="single" w:sz="4" w:space="0" w:color="auto"/>
            </w:tcBorders>
            <w:vAlign w:val="center"/>
          </w:tcPr>
          <w:p w:rsidR="00C54C61" w:rsidRDefault="00BF3A17">
            <w:pPr>
              <w:ind w:firstLineChars="1550" w:firstLine="3112"/>
              <w:jc w:val="left"/>
              <w:rPr>
                <w:rFonts w:ascii="宋体" w:hAnsi="宋体" w:cs="宋体"/>
                <w:kern w:val="0"/>
                <w:sz w:val="20"/>
              </w:rPr>
            </w:pPr>
            <w:r>
              <w:rPr>
                <w:rFonts w:ascii="宋体" w:hAnsi="宋体" w:cs="宋体" w:hint="eastAsia"/>
                <w:b/>
                <w:kern w:val="0"/>
                <w:sz w:val="20"/>
              </w:rPr>
              <w:t>二十四、足球项目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b/>
                <w:bCs/>
                <w:color w:val="C00000"/>
                <w:kern w:val="0"/>
                <w:sz w:val="20"/>
              </w:rPr>
            </w:pPr>
            <w:r>
              <w:rPr>
                <w:rFonts w:ascii="宋体" w:hAnsi="宋体" w:cs="宋体" w:hint="eastAsia"/>
                <w:b/>
                <w:bCs/>
                <w:color w:val="C00000"/>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b/>
                <w:bCs/>
                <w:color w:val="C00000"/>
                <w:kern w:val="0"/>
                <w:sz w:val="20"/>
              </w:rPr>
            </w:pPr>
            <w:r>
              <w:rPr>
                <w:rFonts w:ascii="宋体" w:hAnsi="宋体" w:cs="宋体" w:hint="eastAsia"/>
                <w:kern w:val="0"/>
                <w:sz w:val="20"/>
              </w:rPr>
              <w:t>足球比赛装备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100%聚酯纤维（涤纶）、透气快干面临</w:t>
            </w:r>
          </w:p>
          <w:p w:rsidR="00C54C61" w:rsidRDefault="00BF3A17">
            <w:pPr>
              <w:rPr>
                <w:rFonts w:ascii="宋体" w:hAnsi="宋体" w:cs="宋体"/>
                <w:kern w:val="0"/>
                <w:sz w:val="20"/>
              </w:rPr>
            </w:pPr>
            <w:r>
              <w:rPr>
                <w:rFonts w:ascii="宋体" w:hAnsi="宋体" w:cs="宋体" w:hint="eastAsia"/>
                <w:kern w:val="0"/>
                <w:sz w:val="20"/>
              </w:rPr>
              <w:t xml:space="preserve">多种颜色 </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103</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二十五、小轮车项目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小轮车比赛装备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100%聚酯纤维（涤纶），透气舒适、快干</w:t>
            </w:r>
          </w:p>
          <w:p w:rsidR="00C54C61" w:rsidRDefault="00BF3A17">
            <w:pPr>
              <w:rPr>
                <w:rFonts w:ascii="宋体" w:hAnsi="宋体" w:cs="宋体"/>
                <w:kern w:val="0"/>
                <w:sz w:val="20"/>
              </w:rPr>
            </w:pPr>
            <w:r>
              <w:rPr>
                <w:rFonts w:ascii="宋体" w:hAnsi="宋体" w:cs="宋体" w:hint="eastAsia"/>
                <w:kern w:val="0"/>
                <w:sz w:val="20"/>
              </w:rPr>
              <w:t xml:space="preserve">荧光蓝\黄  </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35</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二十六、空手道项目</w:t>
            </w:r>
          </w:p>
        </w:tc>
      </w:tr>
      <w:tr w:rsidR="00C54C61">
        <w:trPr>
          <w:trHeight w:val="2553"/>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空手道比赛装备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主要材质：涤纶</w:t>
            </w:r>
          </w:p>
          <w:p w:rsidR="00C54C61" w:rsidRDefault="00BF3A17">
            <w:pPr>
              <w:rPr>
                <w:rFonts w:ascii="宋体" w:hAnsi="宋体" w:cs="宋体"/>
                <w:kern w:val="0"/>
                <w:sz w:val="20"/>
              </w:rPr>
            </w:pPr>
            <w:r>
              <w:rPr>
                <w:rFonts w:ascii="宋体" w:hAnsi="宋体" w:cs="宋体" w:hint="eastAsia"/>
                <w:kern w:val="0"/>
                <w:sz w:val="20"/>
              </w:rPr>
              <w:t>功能用途</w:t>
            </w:r>
          </w:p>
          <w:p w:rsidR="00C54C61" w:rsidRDefault="00BF3A17">
            <w:pPr>
              <w:rPr>
                <w:rFonts w:ascii="宋体" w:hAnsi="宋体" w:cs="宋体"/>
                <w:kern w:val="0"/>
                <w:sz w:val="20"/>
              </w:rPr>
            </w:pPr>
            <w:r>
              <w:rPr>
                <w:rFonts w:ascii="宋体" w:hAnsi="宋体" w:cs="宋体" w:hint="eastAsia"/>
                <w:kern w:val="0"/>
                <w:sz w:val="20"/>
              </w:rPr>
              <w:t>空手道比赛、训练使用。</w:t>
            </w:r>
          </w:p>
          <w:p w:rsidR="00C54C61" w:rsidRDefault="00BF3A17">
            <w:pPr>
              <w:rPr>
                <w:rFonts w:ascii="宋体" w:hAnsi="宋体" w:cs="宋体"/>
                <w:kern w:val="0"/>
                <w:sz w:val="20"/>
              </w:rPr>
            </w:pPr>
            <w:r>
              <w:rPr>
                <w:rFonts w:ascii="宋体" w:hAnsi="宋体" w:cs="宋体" w:hint="eastAsia"/>
                <w:kern w:val="0"/>
                <w:sz w:val="20"/>
              </w:rPr>
              <w:t>材质工艺与性能特点：</w:t>
            </w:r>
          </w:p>
          <w:p w:rsidR="00C54C61" w:rsidRDefault="00BF3A17">
            <w:pPr>
              <w:rPr>
                <w:rFonts w:ascii="宋体" w:hAnsi="宋体" w:cs="宋体"/>
                <w:kern w:val="0"/>
                <w:sz w:val="20"/>
              </w:rPr>
            </w:pPr>
            <w:r>
              <w:rPr>
                <w:rFonts w:ascii="宋体" w:hAnsi="宋体" w:cs="宋体" w:hint="eastAsia"/>
                <w:kern w:val="0"/>
                <w:sz w:val="20"/>
              </w:rPr>
              <w:t>涤纶面料车缝，吸湿排汗、舒适透气，不易起球、变色、缩水。</w:t>
            </w:r>
          </w:p>
          <w:p w:rsidR="00C54C61" w:rsidRDefault="00BF3A17">
            <w:pPr>
              <w:rPr>
                <w:rFonts w:ascii="宋体" w:hAnsi="宋体" w:cs="宋体"/>
                <w:kern w:val="0"/>
                <w:sz w:val="20"/>
              </w:rPr>
            </w:pPr>
            <w:r>
              <w:rPr>
                <w:rFonts w:ascii="宋体" w:hAnsi="宋体" w:cs="宋体" w:hint="eastAsia"/>
                <w:kern w:val="0"/>
                <w:sz w:val="20"/>
              </w:rPr>
              <w:t>▲提供通过世界空手道联合会（WKF）认证证书</w:t>
            </w:r>
            <w:r>
              <w:rPr>
                <w:rFonts w:ascii="宋体" w:hAnsi="宋体" w:cs="宋体" w:hint="eastAsia"/>
                <w:kern w:val="0"/>
                <w:sz w:val="20"/>
              </w:rPr>
              <w:br/>
              <w:t>▲提供品牌制造商针对本项目的供货及售后服务函</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36</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二十七、艺术体操项目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艺术体操比赛装备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color w:val="000000"/>
                <w:sz w:val="20"/>
                <w:szCs w:val="20"/>
              </w:rPr>
              <w:t>锦纶布转移印，弹力修身。</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20</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二十八、健美操项目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健美操比赛装备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color w:val="000000"/>
                <w:sz w:val="20"/>
                <w:szCs w:val="20"/>
              </w:rPr>
              <w:t>锦纶布转移印，弹力修身。</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20</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二十九、攀岩项目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攀岩比赛装备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color w:val="000000"/>
                <w:sz w:val="20"/>
                <w:szCs w:val="20"/>
              </w:rPr>
              <w:t>锦纶布转移印，弹力修身。</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56</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三十、三模项目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三模比赛装备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color w:val="000000"/>
                <w:sz w:val="20"/>
                <w:szCs w:val="20"/>
              </w:rPr>
              <w:t>100%棉，舒适透气</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130</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三十一、定向越野项目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定向越野比赛装备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sz w:val="20"/>
                <w:szCs w:val="20"/>
              </w:rPr>
              <w:t>全棉，透气舒适</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36</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三十二、射箭项目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射箭比赛装备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符合比赛需要</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39</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三十三、曲棍球项目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曲棍球比赛装备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sz w:val="20"/>
                <w:szCs w:val="20"/>
              </w:rPr>
              <w:t>上衣材料：100%涤纶；平纹梭织，110g 颜色：三种颜色以上  短裤材料：100%涤纶；双面布，</w:t>
            </w:r>
            <w:r>
              <w:rPr>
                <w:rFonts w:ascii="宋体" w:hAnsi="宋体" w:cs="宋体" w:hint="eastAsia"/>
                <w:sz w:val="20"/>
                <w:szCs w:val="20"/>
              </w:rPr>
              <w:br/>
              <w:t xml:space="preserve"> 产品要求：面料轻盈，吸湿、透气排汗</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38</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三十四、帆船项目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帆船比赛装备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sz w:val="20"/>
                <w:szCs w:val="20"/>
              </w:rPr>
              <w:t>上衣材料：100%涤纶；平纹梭织，110g 颜色：三种颜色以上  短裤材料：100%涤纶；双面布，</w:t>
            </w:r>
            <w:r>
              <w:rPr>
                <w:rFonts w:ascii="宋体" w:hAnsi="宋体" w:cs="宋体" w:hint="eastAsia"/>
                <w:sz w:val="20"/>
                <w:szCs w:val="20"/>
              </w:rPr>
              <w:br/>
              <w:t xml:space="preserve"> 产品要求：面料轻盈，吸湿、透气排汗</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14</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三十五、花样滑冰项目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花样滑冰比赛装备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color w:val="000000"/>
                <w:sz w:val="20"/>
                <w:szCs w:val="20"/>
              </w:rPr>
              <w:t>锦纶布转移印，弹力修身。</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28</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三十六、水球项目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水球比赛装备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面料成分：100%聚酯纤维</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45</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b/>
                <w:kern w:val="0"/>
                <w:sz w:val="20"/>
              </w:rPr>
              <w:t>三十七、赛艇项目</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赛艇比赛装备</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color w:val="000000"/>
                <w:sz w:val="20"/>
                <w:szCs w:val="20"/>
              </w:rPr>
              <w:t>锦纶布转移印，弹力修身。</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36" w:firstLine="272"/>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61</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套</w:t>
            </w:r>
          </w:p>
        </w:tc>
      </w:tr>
      <w:tr w:rsidR="00C54C61">
        <w:trPr>
          <w:trHeight w:val="402"/>
          <w:jc w:val="center"/>
        </w:trPr>
        <w:tc>
          <w:tcPr>
            <w:tcW w:w="9058" w:type="dxa"/>
            <w:gridSpan w:val="6"/>
            <w:tcBorders>
              <w:top w:val="single" w:sz="4" w:space="0" w:color="auto"/>
              <w:bottom w:val="single" w:sz="4" w:space="0" w:color="auto"/>
            </w:tcBorders>
            <w:vAlign w:val="center"/>
          </w:tcPr>
          <w:p w:rsidR="00C54C61" w:rsidRDefault="00BF3A17">
            <w:pPr>
              <w:jc w:val="center"/>
              <w:rPr>
                <w:rFonts w:ascii="宋体" w:hAnsi="宋体" w:cs="宋体"/>
                <w:b/>
                <w:kern w:val="0"/>
                <w:sz w:val="20"/>
              </w:rPr>
            </w:pPr>
            <w:r>
              <w:rPr>
                <w:rFonts w:ascii="宋体" w:hAnsi="宋体" w:cs="宋体" w:hint="eastAsia"/>
                <w:b/>
                <w:kern w:val="0"/>
                <w:sz w:val="20"/>
              </w:rPr>
              <w:t>代表团参赛装备</w:t>
            </w:r>
          </w:p>
        </w:tc>
      </w:tr>
      <w:tr w:rsidR="00C54C61">
        <w:trPr>
          <w:trHeight w:val="402"/>
          <w:jc w:val="center"/>
        </w:trPr>
        <w:tc>
          <w:tcPr>
            <w:tcW w:w="60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1</w:t>
            </w:r>
          </w:p>
        </w:tc>
        <w:tc>
          <w:tcPr>
            <w:tcW w:w="1453"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领奖服上衣</w:t>
            </w:r>
          </w:p>
        </w:tc>
        <w:tc>
          <w:tcPr>
            <w:tcW w:w="4133" w:type="dxa"/>
            <w:tcBorders>
              <w:top w:val="single" w:sz="4" w:space="0" w:color="auto"/>
              <w:bottom w:val="single" w:sz="4" w:space="0" w:color="auto"/>
              <w:right w:val="single" w:sz="4" w:space="0" w:color="auto"/>
            </w:tcBorders>
            <w:vAlign w:val="center"/>
          </w:tcPr>
          <w:p w:rsidR="00C54C61" w:rsidRDefault="00BF3A17">
            <w:pPr>
              <w:rPr>
                <w:rFonts w:ascii="宋体" w:hAnsi="宋体" w:cs="宋体"/>
                <w:kern w:val="0"/>
                <w:sz w:val="20"/>
              </w:rPr>
            </w:pPr>
            <w:r>
              <w:rPr>
                <w:rFonts w:ascii="宋体" w:hAnsi="宋体" w:cs="宋体" w:hint="eastAsia"/>
                <w:kern w:val="0"/>
                <w:sz w:val="20"/>
              </w:rPr>
              <w:t>翻领短袖T恤，面料：仿丝光珠地180G，成分：52.4%棉47.6%聚酯纤维，需至少三种颜色供选择。</w:t>
            </w:r>
          </w:p>
          <w:p w:rsidR="00C54C61" w:rsidRDefault="00BF3A17">
            <w:pPr>
              <w:rPr>
                <w:rFonts w:ascii="宋体" w:hAnsi="宋体" w:cs="宋体"/>
                <w:kern w:val="0"/>
                <w:sz w:val="20"/>
              </w:rPr>
            </w:pPr>
            <w:r>
              <w:rPr>
                <w:rFonts w:ascii="宋体" w:hAnsi="宋体" w:cs="宋体" w:hint="eastAsia"/>
                <w:kern w:val="0"/>
                <w:sz w:val="20"/>
              </w:rPr>
              <w:t xml:space="preserve">▲产品品牌须有被奥运会、亚运会或者青年运动会赛事中某一赛事成功使用的证明材料（复印件）：“提供品牌参与上述任一体育赛事的（赞助、中标、或者使用）合同或荣誉证书，或第三方网站平台有关投标品牌赞助上述任一体育赛事的网络新闻截图，并提供网站链接。”  </w:t>
            </w:r>
          </w:p>
          <w:p w:rsidR="00C54C61" w:rsidRDefault="00BF3A17">
            <w:pPr>
              <w:jc w:val="left"/>
              <w:rPr>
                <w:rFonts w:ascii="宋体" w:hAnsi="宋体" w:cs="宋体"/>
                <w:kern w:val="0"/>
                <w:sz w:val="20"/>
              </w:rPr>
            </w:pPr>
            <w:r>
              <w:rPr>
                <w:rFonts w:ascii="宋体" w:hAnsi="宋体" w:cs="宋体" w:hint="eastAsia"/>
                <w:kern w:val="0"/>
                <w:sz w:val="20"/>
              </w:rPr>
              <w:t>▲提供制造商针对本项目该产品的供货保障及售后服务承诺函。）</w:t>
            </w:r>
          </w:p>
        </w:tc>
        <w:tc>
          <w:tcPr>
            <w:tcW w:w="1219" w:type="dxa"/>
            <w:tcBorders>
              <w:top w:val="single" w:sz="4" w:space="0" w:color="auto"/>
              <w:left w:val="single" w:sz="4" w:space="0" w:color="auto"/>
              <w:bottom w:val="single" w:sz="4" w:space="0" w:color="auto"/>
            </w:tcBorders>
            <w:vAlign w:val="center"/>
          </w:tcPr>
          <w:p w:rsidR="00C54C61" w:rsidRDefault="00BF3A17">
            <w:pPr>
              <w:ind w:firstLineChars="150" w:firstLine="300"/>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2500</w:t>
            </w:r>
          </w:p>
        </w:tc>
        <w:tc>
          <w:tcPr>
            <w:tcW w:w="991" w:type="dxa"/>
            <w:tcBorders>
              <w:top w:val="single" w:sz="4" w:space="0" w:color="auto"/>
              <w:bottom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件</w:t>
            </w:r>
          </w:p>
        </w:tc>
      </w:tr>
      <w:tr w:rsidR="00C54C61">
        <w:trPr>
          <w:trHeight w:val="402"/>
          <w:jc w:val="center"/>
        </w:trPr>
        <w:tc>
          <w:tcPr>
            <w:tcW w:w="601" w:type="dxa"/>
            <w:tcBorders>
              <w:top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2</w:t>
            </w:r>
          </w:p>
        </w:tc>
        <w:tc>
          <w:tcPr>
            <w:tcW w:w="1453" w:type="dxa"/>
            <w:tcBorders>
              <w:top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领奖服裤子</w:t>
            </w:r>
          </w:p>
        </w:tc>
        <w:tc>
          <w:tcPr>
            <w:tcW w:w="4133" w:type="dxa"/>
            <w:tcBorders>
              <w:top w:val="single" w:sz="4" w:space="0" w:color="auto"/>
              <w:right w:val="single" w:sz="4" w:space="0" w:color="auto"/>
            </w:tcBorders>
            <w:vAlign w:val="center"/>
          </w:tcPr>
          <w:p w:rsidR="00C54C61" w:rsidRDefault="00BF3A17">
            <w:pPr>
              <w:jc w:val="left"/>
              <w:rPr>
                <w:rFonts w:ascii="宋体" w:hAnsi="宋体" w:cs="宋体"/>
                <w:kern w:val="0"/>
                <w:sz w:val="20"/>
              </w:rPr>
            </w:pPr>
            <w:r>
              <w:rPr>
                <w:rFonts w:ascii="宋体" w:hAnsi="宋体" w:cs="宋体" w:hint="eastAsia"/>
                <w:kern w:val="0"/>
                <w:sz w:val="20"/>
              </w:rPr>
              <w:t>运动长裤，面料成分：90锦纶10%氨纶，</w:t>
            </w:r>
          </w:p>
          <w:p w:rsidR="00C54C61" w:rsidRDefault="00BF3A17">
            <w:pPr>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款式：左右设计边线隐藏设计直插口袋，直筒型，左侧品牌LOGO,小腿位置有字母图案。大白。</w:t>
            </w:r>
          </w:p>
          <w:p w:rsidR="00C54C61" w:rsidRDefault="00BF3A17">
            <w:pPr>
              <w:jc w:val="left"/>
              <w:rPr>
                <w:rFonts w:ascii="宋体" w:hAnsi="宋体" w:cs="宋体"/>
                <w:kern w:val="0"/>
                <w:sz w:val="20"/>
              </w:rPr>
            </w:pPr>
            <w:r>
              <w:rPr>
                <w:rFonts w:ascii="宋体" w:hAnsi="宋体" w:cs="宋体" w:hint="eastAsia"/>
                <w:kern w:val="0"/>
                <w:sz w:val="20"/>
              </w:rPr>
              <w:t>▲产品品牌须有被奥运会、亚运会或者青年运动会赛事中某一赛事成功使用的证明材料（复印件）：“提供品牌参与上述任一体育赛事的（赞助、中标、或者使用）合同或荣誉证书，或第三方网站平台有关投标品牌赞助上述任一体育赛事的网络新闻截图，并提供网站链接。”</w:t>
            </w:r>
          </w:p>
          <w:p w:rsidR="00C54C61" w:rsidRDefault="00BF3A17">
            <w:pPr>
              <w:jc w:val="left"/>
              <w:rPr>
                <w:rFonts w:ascii="宋体" w:hAnsi="宋体" w:cs="宋体"/>
                <w:kern w:val="0"/>
                <w:sz w:val="20"/>
              </w:rPr>
            </w:pPr>
            <w:r>
              <w:rPr>
                <w:rFonts w:ascii="宋体" w:hAnsi="宋体" w:cs="宋体" w:hint="eastAsia"/>
                <w:kern w:val="0"/>
                <w:sz w:val="20"/>
              </w:rPr>
              <w:t>▲提供制造商针对本项目该产品的供货保障及售后服务承诺函。）</w:t>
            </w:r>
          </w:p>
        </w:tc>
        <w:tc>
          <w:tcPr>
            <w:tcW w:w="1219" w:type="dxa"/>
            <w:tcBorders>
              <w:top w:val="single" w:sz="4" w:space="0" w:color="auto"/>
              <w:left w:val="single" w:sz="4" w:space="0" w:color="auto"/>
            </w:tcBorders>
            <w:vAlign w:val="center"/>
          </w:tcPr>
          <w:p w:rsidR="00C54C61" w:rsidRDefault="00BF3A17">
            <w:pPr>
              <w:ind w:firstLineChars="150" w:firstLine="300"/>
              <w:rPr>
                <w:rFonts w:ascii="宋体" w:hAnsi="宋体" w:cs="宋体"/>
                <w:kern w:val="0"/>
                <w:sz w:val="20"/>
              </w:rPr>
            </w:pPr>
            <w:r>
              <w:rPr>
                <w:rFonts w:ascii="宋体" w:hAnsi="宋体" w:cs="宋体" w:hint="eastAsia"/>
                <w:kern w:val="0"/>
                <w:sz w:val="20"/>
              </w:rPr>
              <w:t>110-190</w:t>
            </w:r>
          </w:p>
        </w:tc>
        <w:tc>
          <w:tcPr>
            <w:tcW w:w="661" w:type="dxa"/>
            <w:tcBorders>
              <w:top w:val="single" w:sz="4" w:space="0" w:color="auto"/>
            </w:tcBorders>
            <w:vAlign w:val="center"/>
          </w:tcPr>
          <w:p w:rsidR="00C54C61" w:rsidRDefault="00BF3A17">
            <w:pPr>
              <w:jc w:val="center"/>
              <w:rPr>
                <w:rFonts w:ascii="宋体" w:hAnsi="宋体" w:cs="宋体"/>
              </w:rPr>
            </w:pPr>
            <w:r>
              <w:rPr>
                <w:rFonts w:ascii="宋体" w:hAnsi="宋体" w:cs="宋体" w:hint="eastAsia"/>
                <w:kern w:val="0"/>
                <w:sz w:val="20"/>
              </w:rPr>
              <w:t>2500</w:t>
            </w:r>
          </w:p>
        </w:tc>
        <w:tc>
          <w:tcPr>
            <w:tcW w:w="991" w:type="dxa"/>
            <w:tcBorders>
              <w:top w:val="single" w:sz="4" w:space="0" w:color="auto"/>
            </w:tcBorders>
            <w:vAlign w:val="center"/>
          </w:tcPr>
          <w:p w:rsidR="00C54C61" w:rsidRDefault="00BF3A17">
            <w:pPr>
              <w:jc w:val="center"/>
              <w:rPr>
                <w:rFonts w:ascii="宋体" w:hAnsi="宋体" w:cs="宋体"/>
                <w:kern w:val="0"/>
                <w:sz w:val="20"/>
              </w:rPr>
            </w:pPr>
            <w:r>
              <w:rPr>
                <w:rFonts w:ascii="宋体" w:hAnsi="宋体" w:cs="宋体" w:hint="eastAsia"/>
                <w:kern w:val="0"/>
                <w:sz w:val="20"/>
              </w:rPr>
              <w:t>件</w:t>
            </w:r>
          </w:p>
        </w:tc>
      </w:tr>
    </w:tbl>
    <w:p w:rsidR="00C54C61" w:rsidRDefault="00C54C61">
      <w:pPr>
        <w:spacing w:line="360" w:lineRule="auto"/>
        <w:contextualSpacing/>
        <w:rPr>
          <w:b/>
          <w:szCs w:val="21"/>
        </w:rPr>
      </w:pPr>
    </w:p>
    <w:p w:rsidR="00C54C61" w:rsidRDefault="00C54C61">
      <w:pPr>
        <w:spacing w:line="360" w:lineRule="auto"/>
        <w:contextualSpacing/>
        <w:rPr>
          <w:b/>
          <w:szCs w:val="21"/>
        </w:rPr>
      </w:pPr>
    </w:p>
    <w:p w:rsidR="00C54C61" w:rsidRDefault="00C54C61">
      <w:pPr>
        <w:spacing w:line="360" w:lineRule="auto"/>
        <w:contextualSpacing/>
        <w:rPr>
          <w:b/>
          <w:szCs w:val="21"/>
        </w:rPr>
      </w:pPr>
    </w:p>
    <w:p w:rsidR="00C54C61" w:rsidRDefault="00BF3A17">
      <w:pPr>
        <w:pStyle w:val="2"/>
        <w:spacing w:beforeLines="50" w:before="120" w:afterLines="50" w:after="120" w:line="360" w:lineRule="auto"/>
        <w:contextualSpacing/>
        <w:rPr>
          <w:sz w:val="28"/>
          <w:szCs w:val="28"/>
        </w:rPr>
      </w:pPr>
      <w:r>
        <w:rPr>
          <w:rFonts w:hint="eastAsia"/>
          <w:sz w:val="28"/>
          <w:szCs w:val="28"/>
        </w:rPr>
        <w:t>五、样品要求</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（一）一般性规定和要求</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1、投标样品上必须标注“项目名称及项目编号、样品编号、样品名称”等信息，但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2、样品递交签到：</w:t>
      </w:r>
    </w:p>
    <w:p w:rsidR="00C54C61" w:rsidRDefault="00BF3A17">
      <w:pPr>
        <w:spacing w:line="360" w:lineRule="auto"/>
        <w:ind w:firstLineChars="200" w:firstLine="420"/>
        <w:contextualSpacing/>
        <w:rPr>
          <w:bCs/>
          <w:szCs w:val="21"/>
        </w:rPr>
      </w:pPr>
      <w:r>
        <w:rPr>
          <w:rFonts w:hint="eastAsia"/>
          <w:bCs/>
          <w:szCs w:val="21"/>
        </w:rPr>
        <w:t>投标供应商授权人需在本项目投标截止时间前，提供法定代表人证明书（盖公章）、法定代表人授权委托书（盖公章）、授权委托人身份证原件和复印件、样品清单（加盖公章），到深圳市福田区福田街道福安社区民田路</w:t>
      </w:r>
      <w:r>
        <w:rPr>
          <w:rFonts w:hint="eastAsia"/>
          <w:bCs/>
          <w:szCs w:val="21"/>
        </w:rPr>
        <w:t>178</w:t>
      </w:r>
      <w:r>
        <w:rPr>
          <w:rFonts w:hint="eastAsia"/>
          <w:bCs/>
          <w:szCs w:val="21"/>
        </w:rPr>
        <w:t>号华融大厦</w:t>
      </w:r>
      <w:r>
        <w:rPr>
          <w:rFonts w:hint="eastAsia"/>
          <w:bCs/>
          <w:szCs w:val="21"/>
        </w:rPr>
        <w:t>1007</w:t>
      </w:r>
      <w:r>
        <w:rPr>
          <w:rFonts w:hint="eastAsia"/>
          <w:bCs/>
          <w:szCs w:val="21"/>
        </w:rPr>
        <w:t>、</w:t>
      </w:r>
      <w:r>
        <w:rPr>
          <w:rFonts w:hint="eastAsia"/>
          <w:bCs/>
          <w:szCs w:val="21"/>
        </w:rPr>
        <w:t>1008</w:t>
      </w:r>
      <w:r>
        <w:rPr>
          <w:rFonts w:hint="eastAsia"/>
          <w:bCs/>
          <w:szCs w:val="21"/>
        </w:rPr>
        <w:t>，按深圳市国信招标有限公司工作人员指引进行样品递交签到。</w:t>
      </w:r>
    </w:p>
    <w:p w:rsidR="00C54C61" w:rsidRDefault="00BF3A17">
      <w:pPr>
        <w:spacing w:line="360" w:lineRule="auto"/>
        <w:ind w:firstLineChars="200" w:firstLine="420"/>
        <w:contextualSpacing/>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 xml:space="preserve">3、本项目投标截止时间后进行投标样品接收。投标样品接收必须进行身份核对、样品核对、登记确认、顺序编号。 </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（1）身份核对。</w:t>
      </w:r>
      <w:r>
        <w:rPr>
          <w:rFonts w:hint="eastAsia"/>
          <w:bCs/>
          <w:szCs w:val="21"/>
        </w:rPr>
        <w:t>深圳市国信招标有限公司</w:t>
      </w:r>
      <w:r>
        <w:rPr>
          <w:rFonts w:ascii="宋体" w:hAnsi="宋体" w:cs="宋体" w:hint="eastAsia"/>
          <w:kern w:val="0"/>
          <w:szCs w:val="18"/>
        </w:rPr>
        <w:t>工作人员核对投标供应商授权委托人提供的“法定代表人证明书（盖公章）、法定代表人授权委托书（盖公章）、授权委托人身份证原件和复印件”。资料不齐全的，不得接收投标样品。</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（2）样品核对。</w:t>
      </w:r>
      <w:r>
        <w:rPr>
          <w:rFonts w:hint="eastAsia"/>
          <w:bCs/>
          <w:szCs w:val="21"/>
        </w:rPr>
        <w:t>深圳市国信招标有限公司</w:t>
      </w:r>
      <w:r>
        <w:rPr>
          <w:rFonts w:ascii="宋体" w:hAnsi="宋体" w:cs="宋体" w:hint="eastAsia"/>
          <w:kern w:val="0"/>
          <w:szCs w:val="18"/>
        </w:rPr>
        <w:t>工作人员将投标样品与投标供应商提供的《样品清单》（盖公章）进行一一核对。有不一致的或损坏情况的，将要求供应商授权委托人在《样品清单》上注明。</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（3）登记确认。在完成身份核对及样品核对后，投标供应商授权委托人必须在《样品接收登记表》上登记确认。</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（4）顺序编号。</w:t>
      </w:r>
      <w:r>
        <w:rPr>
          <w:rFonts w:hint="eastAsia"/>
          <w:bCs/>
          <w:szCs w:val="21"/>
        </w:rPr>
        <w:t>深圳市国信招标有限公司</w:t>
      </w:r>
      <w:r>
        <w:rPr>
          <w:rFonts w:ascii="宋体" w:hAnsi="宋体" w:cs="宋体" w:hint="eastAsia"/>
          <w:kern w:val="0"/>
          <w:szCs w:val="18"/>
        </w:rPr>
        <w:t>工作人员按投标样品接收的先后顺序进行编号。</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4、</w:t>
      </w:r>
      <w:r>
        <w:rPr>
          <w:rFonts w:hint="eastAsia"/>
          <w:bCs/>
          <w:szCs w:val="21"/>
        </w:rPr>
        <w:t>深圳市国信招标有限公司</w:t>
      </w:r>
      <w:r>
        <w:rPr>
          <w:rFonts w:ascii="宋体" w:hAnsi="宋体" w:cs="宋体" w:hint="eastAsia"/>
          <w:kern w:val="0"/>
          <w:szCs w:val="18"/>
        </w:rPr>
        <w:t>工作人员负责组织投标样品摆样，指引供应商授权委托人将投标样品搬运到指定地点摆放、拆除包装，按要求摆放整齐。完成样品摆样后，供应商授权委托人应及时立场，不得在摆样现场滞留。</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5、样品的退回：（1）未中标的供应商投标样品，</w:t>
      </w:r>
      <w:r>
        <w:rPr>
          <w:rFonts w:hint="eastAsia"/>
          <w:bCs/>
          <w:szCs w:val="21"/>
        </w:rPr>
        <w:t>深圳市国信招标有限公司</w:t>
      </w:r>
      <w:r>
        <w:rPr>
          <w:rFonts w:ascii="宋体" w:hAnsi="宋体" w:cs="宋体" w:hint="eastAsia"/>
          <w:kern w:val="0"/>
          <w:szCs w:val="18"/>
        </w:rPr>
        <w:t>工作人员将按规定进行通知，并要求供应商授权委托人在项目完成评审后的三个工作日内凭身份证及样品受理回执原件办理退回手续。（2）中标的供应商投标样品，</w:t>
      </w:r>
      <w:r>
        <w:rPr>
          <w:rFonts w:hint="eastAsia"/>
          <w:bCs/>
          <w:szCs w:val="21"/>
        </w:rPr>
        <w:t>深圳市国信招标有限公司</w:t>
      </w:r>
      <w:r>
        <w:rPr>
          <w:rFonts w:ascii="宋体" w:hAnsi="宋体" w:cs="宋体" w:hint="eastAsia"/>
          <w:kern w:val="0"/>
          <w:szCs w:val="18"/>
        </w:rPr>
        <w:t>工作人员将按规定进行通知</w:t>
      </w:r>
      <w:r w:rsidR="00EE5467">
        <w:rPr>
          <w:rFonts w:ascii="宋体" w:hAnsi="宋体" w:cs="宋体" w:hint="eastAsia"/>
          <w:kern w:val="0"/>
          <w:szCs w:val="18"/>
        </w:rPr>
        <w:t>中标人领取</w:t>
      </w:r>
      <w:r>
        <w:rPr>
          <w:rFonts w:ascii="宋体" w:hAnsi="宋体" w:cs="宋体" w:hint="eastAsia"/>
          <w:kern w:val="0"/>
          <w:szCs w:val="18"/>
        </w:rPr>
        <w:t>。</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投标样品移交时，</w:t>
      </w:r>
      <w:r>
        <w:rPr>
          <w:rFonts w:hint="eastAsia"/>
          <w:bCs/>
          <w:szCs w:val="21"/>
        </w:rPr>
        <w:t>深圳市国信招标有限公司</w:t>
      </w:r>
      <w:r>
        <w:rPr>
          <w:rFonts w:ascii="宋体" w:hAnsi="宋体" w:cs="宋体" w:hint="eastAsia"/>
          <w:kern w:val="0"/>
          <w:szCs w:val="18"/>
        </w:rPr>
        <w:t>工作人员将再次核对供应商授权委托人或采购人代表身份、核对《样品清单》，签字确认后并取走样品。</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6、未能及时退回的样品的处理：</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未中标供应商未在规定时间内（项目完成评审后三个工作日）内取回投标样品的，视为放弃取回，</w:t>
      </w:r>
      <w:r>
        <w:rPr>
          <w:rFonts w:hint="eastAsia"/>
          <w:bCs/>
          <w:szCs w:val="21"/>
        </w:rPr>
        <w:t>深圳市国信招标有限公司</w:t>
      </w:r>
      <w:r>
        <w:rPr>
          <w:rFonts w:ascii="宋体" w:hAnsi="宋体" w:cs="宋体" w:hint="eastAsia"/>
          <w:kern w:val="0"/>
          <w:szCs w:val="18"/>
        </w:rPr>
        <w:t>将定期清理。</w:t>
      </w:r>
    </w:p>
    <w:p w:rsidR="00C54C61" w:rsidRDefault="00BF3A17">
      <w:pPr>
        <w:spacing w:line="360" w:lineRule="auto"/>
        <w:ind w:firstLineChars="200" w:firstLine="420"/>
        <w:contextualSpacing/>
        <w:rPr>
          <w:rFonts w:ascii="宋体" w:hAnsi="宋体" w:cs="宋体"/>
          <w:color w:val="C00000"/>
          <w:kern w:val="0"/>
          <w:szCs w:val="18"/>
        </w:rPr>
      </w:pPr>
      <w:r>
        <w:rPr>
          <w:rFonts w:ascii="宋体" w:hAnsi="宋体" w:cs="宋体" w:hint="eastAsia"/>
          <w:color w:val="C00000"/>
          <w:kern w:val="0"/>
          <w:szCs w:val="18"/>
        </w:rPr>
        <w:t>（二）样品清单：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2218"/>
        <w:gridCol w:w="1115"/>
        <w:gridCol w:w="1285"/>
        <w:gridCol w:w="1597"/>
      </w:tblGrid>
      <w:tr w:rsidR="00C54C61">
        <w:trPr>
          <w:trHeight w:val="447"/>
          <w:jc w:val="center"/>
        </w:trPr>
        <w:tc>
          <w:tcPr>
            <w:tcW w:w="923" w:type="dxa"/>
            <w:vAlign w:val="center"/>
          </w:tcPr>
          <w:p w:rsidR="00C54C61" w:rsidRDefault="00BF3A17">
            <w:pPr>
              <w:jc w:val="center"/>
              <w:rPr>
                <w:b/>
                <w:bCs/>
                <w:kern w:val="0"/>
                <w:sz w:val="24"/>
              </w:rPr>
            </w:pPr>
            <w:r>
              <w:rPr>
                <w:rFonts w:hint="eastAsia"/>
                <w:b/>
                <w:bCs/>
                <w:kern w:val="0"/>
                <w:sz w:val="24"/>
              </w:rPr>
              <w:t>序号</w:t>
            </w:r>
          </w:p>
        </w:tc>
        <w:tc>
          <w:tcPr>
            <w:tcW w:w="2218" w:type="dxa"/>
            <w:vAlign w:val="center"/>
          </w:tcPr>
          <w:p w:rsidR="00C54C61" w:rsidRDefault="00BF3A17">
            <w:pPr>
              <w:jc w:val="center"/>
              <w:rPr>
                <w:b/>
                <w:bCs/>
                <w:kern w:val="0"/>
                <w:sz w:val="24"/>
              </w:rPr>
            </w:pPr>
            <w:r>
              <w:rPr>
                <w:rFonts w:hint="eastAsia"/>
                <w:b/>
                <w:bCs/>
                <w:kern w:val="0"/>
                <w:sz w:val="24"/>
              </w:rPr>
              <w:t>名称</w:t>
            </w:r>
          </w:p>
        </w:tc>
        <w:tc>
          <w:tcPr>
            <w:tcW w:w="1115" w:type="dxa"/>
            <w:vAlign w:val="center"/>
          </w:tcPr>
          <w:p w:rsidR="00C54C61" w:rsidRDefault="00BF3A17">
            <w:pPr>
              <w:jc w:val="center"/>
              <w:rPr>
                <w:b/>
                <w:bCs/>
                <w:kern w:val="0"/>
                <w:sz w:val="24"/>
              </w:rPr>
            </w:pPr>
            <w:r>
              <w:rPr>
                <w:rFonts w:hint="eastAsia"/>
                <w:b/>
                <w:bCs/>
                <w:kern w:val="0"/>
                <w:sz w:val="24"/>
              </w:rPr>
              <w:t>数量</w:t>
            </w:r>
          </w:p>
        </w:tc>
        <w:tc>
          <w:tcPr>
            <w:tcW w:w="1285" w:type="dxa"/>
            <w:vAlign w:val="center"/>
          </w:tcPr>
          <w:p w:rsidR="00C54C61" w:rsidRDefault="00BF3A17">
            <w:pPr>
              <w:jc w:val="center"/>
              <w:rPr>
                <w:b/>
                <w:bCs/>
                <w:kern w:val="0"/>
                <w:sz w:val="24"/>
              </w:rPr>
            </w:pPr>
            <w:r>
              <w:rPr>
                <w:rFonts w:hint="eastAsia"/>
                <w:b/>
                <w:bCs/>
                <w:kern w:val="0"/>
                <w:sz w:val="24"/>
              </w:rPr>
              <w:t>单位</w:t>
            </w:r>
          </w:p>
        </w:tc>
        <w:tc>
          <w:tcPr>
            <w:tcW w:w="1597" w:type="dxa"/>
            <w:vAlign w:val="center"/>
          </w:tcPr>
          <w:p w:rsidR="00C54C61" w:rsidRDefault="00BF3A17">
            <w:pPr>
              <w:jc w:val="center"/>
              <w:rPr>
                <w:b/>
                <w:bCs/>
                <w:kern w:val="0"/>
                <w:sz w:val="24"/>
              </w:rPr>
            </w:pPr>
            <w:r>
              <w:rPr>
                <w:rFonts w:hint="eastAsia"/>
                <w:b/>
                <w:bCs/>
                <w:kern w:val="0"/>
                <w:sz w:val="24"/>
              </w:rPr>
              <w:t>规格</w:t>
            </w:r>
          </w:p>
        </w:tc>
      </w:tr>
      <w:tr w:rsidR="00C54C61">
        <w:trPr>
          <w:trHeight w:val="517"/>
          <w:jc w:val="center"/>
        </w:trPr>
        <w:tc>
          <w:tcPr>
            <w:tcW w:w="923" w:type="dxa"/>
            <w:vAlign w:val="center"/>
          </w:tcPr>
          <w:p w:rsidR="00C54C61" w:rsidRDefault="00BF3A17">
            <w:pPr>
              <w:jc w:val="center"/>
              <w:rPr>
                <w:rFonts w:asciiTheme="minorEastAsia" w:eastAsiaTheme="minorEastAsia" w:hAnsiTheme="minorEastAsia" w:cstheme="minorEastAsia"/>
                <w:bCs/>
                <w:snapToGrid w:val="0"/>
                <w:color w:val="000000"/>
                <w:kern w:val="0"/>
                <w:sz w:val="24"/>
              </w:rPr>
            </w:pPr>
            <w:r>
              <w:rPr>
                <w:rFonts w:asciiTheme="minorEastAsia" w:eastAsiaTheme="minorEastAsia" w:hAnsiTheme="minorEastAsia" w:cstheme="minorEastAsia" w:hint="eastAsia"/>
                <w:bCs/>
                <w:snapToGrid w:val="0"/>
                <w:color w:val="000000"/>
                <w:kern w:val="0"/>
                <w:sz w:val="24"/>
              </w:rPr>
              <w:t>1</w:t>
            </w:r>
          </w:p>
        </w:tc>
        <w:tc>
          <w:tcPr>
            <w:tcW w:w="2218" w:type="dxa"/>
            <w:vAlign w:val="center"/>
          </w:tcPr>
          <w:p w:rsidR="00C54C61" w:rsidRDefault="00BF3A17">
            <w:pPr>
              <w:jc w:val="center"/>
              <w:rPr>
                <w:kern w:val="0"/>
                <w:sz w:val="24"/>
              </w:rPr>
            </w:pPr>
            <w:r>
              <w:rPr>
                <w:rFonts w:hint="eastAsia"/>
                <w:kern w:val="0"/>
                <w:sz w:val="24"/>
              </w:rPr>
              <w:t>游泳比赛装备</w:t>
            </w:r>
          </w:p>
        </w:tc>
        <w:tc>
          <w:tcPr>
            <w:tcW w:w="1115" w:type="dxa"/>
            <w:vAlign w:val="center"/>
          </w:tcPr>
          <w:p w:rsidR="00C54C61" w:rsidRDefault="00BF3A17">
            <w:pPr>
              <w:jc w:val="center"/>
              <w:rPr>
                <w:rFonts w:asciiTheme="minorEastAsia" w:eastAsiaTheme="minorEastAsia" w:hAnsiTheme="minorEastAsia" w:cstheme="minorEastAsia"/>
                <w:bCs/>
                <w:snapToGrid w:val="0"/>
                <w:color w:val="000000"/>
                <w:kern w:val="0"/>
                <w:sz w:val="24"/>
              </w:rPr>
            </w:pPr>
            <w:r>
              <w:rPr>
                <w:rFonts w:asciiTheme="minorEastAsia" w:eastAsiaTheme="minorEastAsia" w:hAnsiTheme="minorEastAsia" w:cstheme="minorEastAsia" w:hint="eastAsia"/>
                <w:bCs/>
                <w:snapToGrid w:val="0"/>
                <w:color w:val="000000"/>
                <w:kern w:val="0"/>
                <w:sz w:val="24"/>
              </w:rPr>
              <w:t>1</w:t>
            </w:r>
          </w:p>
        </w:tc>
        <w:tc>
          <w:tcPr>
            <w:tcW w:w="1285" w:type="dxa"/>
            <w:vAlign w:val="center"/>
          </w:tcPr>
          <w:p w:rsidR="00C54C61" w:rsidRDefault="00BF3A17">
            <w:pPr>
              <w:jc w:val="center"/>
              <w:rPr>
                <w:rFonts w:asciiTheme="minorEastAsia" w:eastAsiaTheme="minorEastAsia" w:hAnsiTheme="minorEastAsia" w:cstheme="minorEastAsia"/>
                <w:bCs/>
                <w:snapToGrid w:val="0"/>
                <w:color w:val="000000"/>
                <w:kern w:val="0"/>
                <w:sz w:val="24"/>
              </w:rPr>
            </w:pPr>
            <w:r>
              <w:rPr>
                <w:rFonts w:asciiTheme="minorEastAsia" w:eastAsiaTheme="minorEastAsia" w:hAnsiTheme="minorEastAsia" w:cstheme="minorEastAsia" w:hint="eastAsia"/>
                <w:bCs/>
                <w:snapToGrid w:val="0"/>
                <w:color w:val="000000"/>
                <w:kern w:val="0"/>
                <w:sz w:val="24"/>
              </w:rPr>
              <w:t>件</w:t>
            </w:r>
          </w:p>
        </w:tc>
        <w:tc>
          <w:tcPr>
            <w:tcW w:w="1597" w:type="dxa"/>
            <w:vAlign w:val="center"/>
          </w:tcPr>
          <w:p w:rsidR="00C54C61" w:rsidRDefault="00BF3A17">
            <w:pPr>
              <w:jc w:val="center"/>
              <w:rPr>
                <w:rFonts w:asciiTheme="minorEastAsia" w:eastAsiaTheme="minorEastAsia" w:hAnsiTheme="minorEastAsia" w:cstheme="minorEastAsia"/>
                <w:bCs/>
                <w:snapToGrid w:val="0"/>
                <w:color w:val="000000"/>
                <w:kern w:val="0"/>
                <w:sz w:val="24"/>
              </w:rPr>
            </w:pPr>
            <w:r>
              <w:rPr>
                <w:rFonts w:asciiTheme="minorEastAsia" w:eastAsiaTheme="minorEastAsia" w:hAnsiTheme="minorEastAsia" w:cstheme="minorEastAsia" w:hint="eastAsia"/>
                <w:bCs/>
                <w:snapToGrid w:val="0"/>
                <w:color w:val="000000"/>
                <w:kern w:val="0"/>
                <w:sz w:val="24"/>
              </w:rPr>
              <w:t>170</w:t>
            </w:r>
          </w:p>
        </w:tc>
      </w:tr>
      <w:tr w:rsidR="00C54C61">
        <w:trPr>
          <w:trHeight w:val="505"/>
          <w:jc w:val="center"/>
        </w:trPr>
        <w:tc>
          <w:tcPr>
            <w:tcW w:w="923"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2</w:t>
            </w:r>
          </w:p>
        </w:tc>
        <w:tc>
          <w:tcPr>
            <w:tcW w:w="2218" w:type="dxa"/>
            <w:vAlign w:val="center"/>
          </w:tcPr>
          <w:p w:rsidR="00C54C61" w:rsidRDefault="00BF3A17">
            <w:pPr>
              <w:jc w:val="center"/>
              <w:rPr>
                <w:kern w:val="0"/>
                <w:sz w:val="24"/>
              </w:rPr>
            </w:pPr>
            <w:r>
              <w:rPr>
                <w:rFonts w:hint="eastAsia"/>
                <w:kern w:val="0"/>
                <w:sz w:val="24"/>
              </w:rPr>
              <w:t>篮球比赛装备</w:t>
            </w:r>
          </w:p>
        </w:tc>
        <w:tc>
          <w:tcPr>
            <w:tcW w:w="111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w:t>
            </w:r>
          </w:p>
        </w:tc>
        <w:tc>
          <w:tcPr>
            <w:tcW w:w="128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套</w:t>
            </w:r>
          </w:p>
        </w:tc>
        <w:tc>
          <w:tcPr>
            <w:tcW w:w="1597"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180</w:t>
            </w:r>
          </w:p>
        </w:tc>
      </w:tr>
      <w:tr w:rsidR="00C54C61">
        <w:trPr>
          <w:trHeight w:val="505"/>
          <w:jc w:val="center"/>
        </w:trPr>
        <w:tc>
          <w:tcPr>
            <w:tcW w:w="923"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3</w:t>
            </w:r>
          </w:p>
        </w:tc>
        <w:tc>
          <w:tcPr>
            <w:tcW w:w="2218" w:type="dxa"/>
            <w:vAlign w:val="center"/>
          </w:tcPr>
          <w:p w:rsidR="00C54C61" w:rsidRDefault="00BF3A17">
            <w:pPr>
              <w:jc w:val="center"/>
              <w:rPr>
                <w:kern w:val="0"/>
                <w:sz w:val="24"/>
              </w:rPr>
            </w:pPr>
            <w:r>
              <w:rPr>
                <w:rFonts w:hint="eastAsia"/>
                <w:kern w:val="0"/>
                <w:sz w:val="24"/>
              </w:rPr>
              <w:t>田径比赛装备</w:t>
            </w:r>
          </w:p>
        </w:tc>
        <w:tc>
          <w:tcPr>
            <w:tcW w:w="111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w:t>
            </w:r>
          </w:p>
        </w:tc>
        <w:tc>
          <w:tcPr>
            <w:tcW w:w="128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套</w:t>
            </w:r>
          </w:p>
        </w:tc>
        <w:tc>
          <w:tcPr>
            <w:tcW w:w="1597"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150</w:t>
            </w:r>
          </w:p>
        </w:tc>
      </w:tr>
      <w:tr w:rsidR="00C54C61">
        <w:trPr>
          <w:trHeight w:val="505"/>
          <w:jc w:val="center"/>
        </w:trPr>
        <w:tc>
          <w:tcPr>
            <w:tcW w:w="923"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4</w:t>
            </w:r>
          </w:p>
        </w:tc>
        <w:tc>
          <w:tcPr>
            <w:tcW w:w="2218" w:type="dxa"/>
            <w:vAlign w:val="center"/>
          </w:tcPr>
          <w:p w:rsidR="00C54C61" w:rsidRDefault="00BF3A17">
            <w:pPr>
              <w:jc w:val="center"/>
              <w:rPr>
                <w:kern w:val="0"/>
                <w:sz w:val="24"/>
              </w:rPr>
            </w:pPr>
            <w:r>
              <w:rPr>
                <w:rFonts w:hint="eastAsia"/>
                <w:kern w:val="0"/>
                <w:sz w:val="24"/>
              </w:rPr>
              <w:t>柔道比赛装备</w:t>
            </w:r>
          </w:p>
        </w:tc>
        <w:tc>
          <w:tcPr>
            <w:tcW w:w="111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w:t>
            </w:r>
          </w:p>
        </w:tc>
        <w:tc>
          <w:tcPr>
            <w:tcW w:w="128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套</w:t>
            </w:r>
          </w:p>
        </w:tc>
        <w:tc>
          <w:tcPr>
            <w:tcW w:w="1597"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150</w:t>
            </w:r>
          </w:p>
        </w:tc>
      </w:tr>
      <w:tr w:rsidR="00C54C61">
        <w:trPr>
          <w:trHeight w:val="505"/>
          <w:jc w:val="center"/>
        </w:trPr>
        <w:tc>
          <w:tcPr>
            <w:tcW w:w="923"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5</w:t>
            </w:r>
          </w:p>
        </w:tc>
        <w:tc>
          <w:tcPr>
            <w:tcW w:w="2218" w:type="dxa"/>
            <w:vAlign w:val="center"/>
          </w:tcPr>
          <w:p w:rsidR="00C54C61" w:rsidRDefault="00BF3A17">
            <w:pPr>
              <w:jc w:val="center"/>
              <w:rPr>
                <w:kern w:val="0"/>
                <w:sz w:val="24"/>
              </w:rPr>
            </w:pPr>
            <w:r>
              <w:rPr>
                <w:rFonts w:hint="eastAsia"/>
                <w:kern w:val="0"/>
                <w:sz w:val="24"/>
              </w:rPr>
              <w:t>拳击比赛装备</w:t>
            </w:r>
          </w:p>
        </w:tc>
        <w:tc>
          <w:tcPr>
            <w:tcW w:w="111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w:t>
            </w:r>
          </w:p>
        </w:tc>
        <w:tc>
          <w:tcPr>
            <w:tcW w:w="128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套</w:t>
            </w:r>
          </w:p>
        </w:tc>
        <w:tc>
          <w:tcPr>
            <w:tcW w:w="1597"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150</w:t>
            </w:r>
          </w:p>
        </w:tc>
      </w:tr>
      <w:tr w:rsidR="00C54C61">
        <w:trPr>
          <w:trHeight w:val="505"/>
          <w:jc w:val="center"/>
        </w:trPr>
        <w:tc>
          <w:tcPr>
            <w:tcW w:w="923"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6</w:t>
            </w:r>
          </w:p>
        </w:tc>
        <w:tc>
          <w:tcPr>
            <w:tcW w:w="2218" w:type="dxa"/>
            <w:vAlign w:val="center"/>
          </w:tcPr>
          <w:p w:rsidR="00C54C61" w:rsidRDefault="00BF3A17">
            <w:pPr>
              <w:jc w:val="center"/>
              <w:rPr>
                <w:kern w:val="0"/>
                <w:sz w:val="24"/>
              </w:rPr>
            </w:pPr>
            <w:r>
              <w:rPr>
                <w:rFonts w:hint="eastAsia"/>
                <w:kern w:val="0"/>
                <w:sz w:val="24"/>
              </w:rPr>
              <w:t>跆拳道专业比赛服</w:t>
            </w:r>
          </w:p>
        </w:tc>
        <w:tc>
          <w:tcPr>
            <w:tcW w:w="111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color w:val="000000"/>
                <w:kern w:val="0"/>
                <w:sz w:val="24"/>
              </w:rPr>
              <w:t>1</w:t>
            </w:r>
          </w:p>
        </w:tc>
        <w:tc>
          <w:tcPr>
            <w:tcW w:w="128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color w:val="000000"/>
                <w:kern w:val="0"/>
                <w:sz w:val="24"/>
              </w:rPr>
              <w:t>套</w:t>
            </w:r>
          </w:p>
        </w:tc>
        <w:tc>
          <w:tcPr>
            <w:tcW w:w="1597"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170</w:t>
            </w:r>
          </w:p>
        </w:tc>
      </w:tr>
      <w:tr w:rsidR="00C54C61">
        <w:trPr>
          <w:trHeight w:val="505"/>
          <w:jc w:val="center"/>
        </w:trPr>
        <w:tc>
          <w:tcPr>
            <w:tcW w:w="923"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7</w:t>
            </w:r>
          </w:p>
        </w:tc>
        <w:tc>
          <w:tcPr>
            <w:tcW w:w="2218" w:type="dxa"/>
            <w:vAlign w:val="center"/>
          </w:tcPr>
          <w:p w:rsidR="00C54C61" w:rsidRDefault="00BF3A17">
            <w:pPr>
              <w:jc w:val="center"/>
              <w:rPr>
                <w:kern w:val="0"/>
                <w:sz w:val="24"/>
              </w:rPr>
            </w:pPr>
            <w:r>
              <w:rPr>
                <w:rFonts w:hint="eastAsia"/>
                <w:kern w:val="0"/>
                <w:sz w:val="24"/>
              </w:rPr>
              <w:t>足球比赛装备</w:t>
            </w:r>
          </w:p>
        </w:tc>
        <w:tc>
          <w:tcPr>
            <w:tcW w:w="111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color w:val="000000"/>
                <w:kern w:val="0"/>
                <w:sz w:val="24"/>
              </w:rPr>
              <w:t>1</w:t>
            </w:r>
          </w:p>
        </w:tc>
        <w:tc>
          <w:tcPr>
            <w:tcW w:w="128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color w:val="000000"/>
                <w:kern w:val="0"/>
                <w:sz w:val="24"/>
              </w:rPr>
              <w:t>套</w:t>
            </w:r>
          </w:p>
        </w:tc>
        <w:tc>
          <w:tcPr>
            <w:tcW w:w="1597"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170</w:t>
            </w:r>
          </w:p>
        </w:tc>
      </w:tr>
      <w:tr w:rsidR="00C54C61">
        <w:trPr>
          <w:trHeight w:val="505"/>
          <w:jc w:val="center"/>
        </w:trPr>
        <w:tc>
          <w:tcPr>
            <w:tcW w:w="923"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8</w:t>
            </w:r>
          </w:p>
        </w:tc>
        <w:tc>
          <w:tcPr>
            <w:tcW w:w="2218" w:type="dxa"/>
            <w:vAlign w:val="center"/>
          </w:tcPr>
          <w:p w:rsidR="00C54C61" w:rsidRDefault="00BF3A17">
            <w:pPr>
              <w:jc w:val="center"/>
              <w:rPr>
                <w:kern w:val="0"/>
                <w:sz w:val="24"/>
              </w:rPr>
            </w:pPr>
            <w:r>
              <w:rPr>
                <w:rFonts w:hint="eastAsia"/>
                <w:kern w:val="0"/>
                <w:sz w:val="24"/>
              </w:rPr>
              <w:t>空手道比赛装备</w:t>
            </w:r>
          </w:p>
        </w:tc>
        <w:tc>
          <w:tcPr>
            <w:tcW w:w="111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w:t>
            </w:r>
          </w:p>
        </w:tc>
        <w:tc>
          <w:tcPr>
            <w:tcW w:w="128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color w:val="000000"/>
                <w:kern w:val="0"/>
                <w:sz w:val="24"/>
              </w:rPr>
              <w:t>套</w:t>
            </w:r>
          </w:p>
        </w:tc>
        <w:tc>
          <w:tcPr>
            <w:tcW w:w="1597"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150</w:t>
            </w:r>
          </w:p>
        </w:tc>
      </w:tr>
      <w:tr w:rsidR="00C54C61">
        <w:trPr>
          <w:trHeight w:val="505"/>
          <w:jc w:val="center"/>
        </w:trPr>
        <w:tc>
          <w:tcPr>
            <w:tcW w:w="923"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9</w:t>
            </w:r>
          </w:p>
        </w:tc>
        <w:tc>
          <w:tcPr>
            <w:tcW w:w="2218" w:type="dxa"/>
            <w:vAlign w:val="center"/>
          </w:tcPr>
          <w:p w:rsidR="00C54C61" w:rsidRDefault="00BF3A17">
            <w:pPr>
              <w:jc w:val="center"/>
              <w:rPr>
                <w:kern w:val="0"/>
                <w:sz w:val="24"/>
              </w:rPr>
            </w:pPr>
            <w:r>
              <w:rPr>
                <w:rFonts w:hint="eastAsia"/>
                <w:kern w:val="0"/>
                <w:sz w:val="24"/>
              </w:rPr>
              <w:t>领奖服上衣</w:t>
            </w:r>
          </w:p>
        </w:tc>
        <w:tc>
          <w:tcPr>
            <w:tcW w:w="111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w:t>
            </w:r>
          </w:p>
        </w:tc>
        <w:tc>
          <w:tcPr>
            <w:tcW w:w="128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件</w:t>
            </w:r>
          </w:p>
        </w:tc>
        <w:tc>
          <w:tcPr>
            <w:tcW w:w="1597"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180</w:t>
            </w:r>
          </w:p>
        </w:tc>
      </w:tr>
      <w:tr w:rsidR="00C54C61">
        <w:trPr>
          <w:trHeight w:val="552"/>
          <w:jc w:val="center"/>
        </w:trPr>
        <w:tc>
          <w:tcPr>
            <w:tcW w:w="923"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10</w:t>
            </w:r>
          </w:p>
        </w:tc>
        <w:tc>
          <w:tcPr>
            <w:tcW w:w="2218" w:type="dxa"/>
            <w:vAlign w:val="center"/>
          </w:tcPr>
          <w:p w:rsidR="00C54C61" w:rsidRDefault="00BF3A17">
            <w:pPr>
              <w:jc w:val="center"/>
              <w:rPr>
                <w:kern w:val="0"/>
                <w:sz w:val="24"/>
              </w:rPr>
            </w:pPr>
            <w:r>
              <w:rPr>
                <w:rFonts w:hint="eastAsia"/>
                <w:kern w:val="0"/>
                <w:sz w:val="24"/>
              </w:rPr>
              <w:t>领奖服裤子</w:t>
            </w:r>
          </w:p>
        </w:tc>
        <w:tc>
          <w:tcPr>
            <w:tcW w:w="111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w:t>
            </w:r>
          </w:p>
        </w:tc>
        <w:tc>
          <w:tcPr>
            <w:tcW w:w="1285"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条</w:t>
            </w:r>
          </w:p>
        </w:tc>
        <w:tc>
          <w:tcPr>
            <w:tcW w:w="1597" w:type="dxa"/>
            <w:vAlign w:val="center"/>
          </w:tcPr>
          <w:p w:rsidR="00C54C61" w:rsidRDefault="00BF3A17">
            <w:pPr>
              <w:jc w:val="center"/>
              <w:rPr>
                <w:rFonts w:asciiTheme="minorEastAsia" w:eastAsiaTheme="minorEastAsia" w:hAnsiTheme="minorEastAsia" w:cstheme="minorEastAsia"/>
                <w:bCs/>
                <w:snapToGrid w:val="0"/>
                <w:kern w:val="0"/>
                <w:sz w:val="24"/>
              </w:rPr>
            </w:pPr>
            <w:r>
              <w:rPr>
                <w:rFonts w:asciiTheme="minorEastAsia" w:eastAsiaTheme="minorEastAsia" w:hAnsiTheme="minorEastAsia" w:cstheme="minorEastAsia" w:hint="eastAsia"/>
                <w:bCs/>
                <w:snapToGrid w:val="0"/>
                <w:kern w:val="0"/>
                <w:sz w:val="24"/>
              </w:rPr>
              <w:t>180</w:t>
            </w:r>
          </w:p>
        </w:tc>
      </w:tr>
    </w:tbl>
    <w:p w:rsidR="00C54C61" w:rsidRDefault="00C54C61">
      <w:pPr>
        <w:spacing w:line="360" w:lineRule="auto"/>
        <w:contextualSpacing/>
        <w:rPr>
          <w:color w:val="FF0000"/>
          <w:szCs w:val="21"/>
        </w:rPr>
      </w:pPr>
    </w:p>
    <w:p w:rsidR="00C54C61" w:rsidRDefault="00BF3A17">
      <w:pPr>
        <w:spacing w:line="360" w:lineRule="auto"/>
        <w:contextualSpacing/>
        <w:rPr>
          <w:rFonts w:ascii="宋体" w:hAnsi="宋体"/>
          <w:bCs/>
          <w:color w:val="000000"/>
          <w:szCs w:val="21"/>
        </w:rPr>
      </w:pPr>
      <w:r>
        <w:rPr>
          <w:rFonts w:hint="eastAsia"/>
          <w:color w:val="FF0000"/>
          <w:szCs w:val="21"/>
        </w:rPr>
        <w:t>备注：投标样品将作为验收产品的主要依据之一。</w:t>
      </w:r>
    </w:p>
    <w:p w:rsidR="00C54C61" w:rsidRDefault="00C54C61">
      <w:pPr>
        <w:spacing w:line="360" w:lineRule="auto"/>
        <w:contextualSpacing/>
        <w:rPr>
          <w:b/>
          <w:szCs w:val="21"/>
        </w:rPr>
      </w:pPr>
    </w:p>
    <w:p w:rsidR="00C54C61" w:rsidRDefault="00C54C61">
      <w:pPr>
        <w:spacing w:line="360" w:lineRule="auto"/>
        <w:contextualSpacing/>
        <w:rPr>
          <w:b/>
          <w:szCs w:val="21"/>
        </w:rPr>
      </w:pPr>
    </w:p>
    <w:p w:rsidR="00C54C61" w:rsidRDefault="00BF3A17">
      <w:pPr>
        <w:pStyle w:val="2"/>
        <w:spacing w:before="0" w:after="0" w:line="360" w:lineRule="auto"/>
        <w:contextualSpacing/>
        <w:rPr>
          <w:sz w:val="28"/>
          <w:szCs w:val="28"/>
        </w:rPr>
      </w:pPr>
      <w:r>
        <w:rPr>
          <w:rFonts w:hint="eastAsia"/>
          <w:sz w:val="28"/>
          <w:szCs w:val="28"/>
        </w:rPr>
        <w:t>六、商务需求</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color w:val="000000"/>
          <w:sz w:val="24"/>
        </w:rPr>
        <w:t>1</w:t>
      </w:r>
      <w:r>
        <w:rPr>
          <w:rFonts w:ascii="宋体" w:hAnsi="宋体" w:cs="Arial" w:hint="eastAsia"/>
          <w:color w:val="000000"/>
          <w:sz w:val="24"/>
        </w:rPr>
        <w:t>、中标供应商应在中标结果公布后5天之内提交满足投标文件技术响应要求的全部样品给采购人再次进行确认，并提供主要产品供应商或厂家出具的供货确认函原件</w:t>
      </w:r>
      <w:r>
        <w:rPr>
          <w:rFonts w:ascii="宋体" w:hAnsi="宋体" w:cs="Arial"/>
          <w:color w:val="000000"/>
          <w:sz w:val="24"/>
        </w:rPr>
        <w:t>(</w:t>
      </w:r>
      <w:r>
        <w:rPr>
          <w:rFonts w:ascii="宋体" w:hAnsi="宋体" w:cs="Arial" w:hint="eastAsia"/>
          <w:color w:val="000000"/>
          <w:sz w:val="24"/>
        </w:rPr>
        <w:t>复印件无效</w:t>
      </w:r>
      <w:r>
        <w:rPr>
          <w:rFonts w:ascii="宋体" w:hAnsi="宋体" w:cs="Arial"/>
          <w:color w:val="000000"/>
          <w:sz w:val="24"/>
        </w:rPr>
        <w:t>)</w:t>
      </w:r>
      <w:r>
        <w:rPr>
          <w:rFonts w:ascii="宋体" w:hAnsi="宋体" w:cs="Arial" w:hint="eastAsia"/>
          <w:color w:val="000000"/>
          <w:sz w:val="24"/>
        </w:rPr>
        <w:t>，如果中标方交货时未能提供相关供货确认函，采购人有权报采购中心终止中标供应商资格并要求赔偿。</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hint="eastAsia"/>
          <w:color w:val="000000"/>
          <w:sz w:val="24"/>
        </w:rPr>
        <w:t>2、交货时间：中标后二十个日历日内。</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hint="eastAsia"/>
          <w:color w:val="000000"/>
          <w:sz w:val="24"/>
        </w:rPr>
        <w:t>3、交货标准：按照采购人要求印绣有关标识文字，并按照采购人要求将需求货品发放分配到对应的项目队。</w:t>
      </w:r>
      <w:r>
        <w:rPr>
          <w:rFonts w:ascii="宋体" w:hAnsi="宋体" w:cs="Arial"/>
          <w:color w:val="000000"/>
          <w:sz w:val="24"/>
        </w:rPr>
        <w:t> </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hint="eastAsia"/>
          <w:color w:val="000000"/>
          <w:sz w:val="24"/>
        </w:rPr>
        <w:t>4、收货验收：</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hint="eastAsia"/>
          <w:color w:val="000000"/>
          <w:sz w:val="24"/>
        </w:rPr>
        <w:t>4.1投标人货物经过双方检验认可后，签署验收报告，产品保修期自验收合格之日起算，由投标人提供产品保修文件。</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hint="eastAsia"/>
          <w:color w:val="000000"/>
          <w:sz w:val="24"/>
        </w:rPr>
        <w:t>4.2当满足以下条件时，采购人才向中标人签发货物验收报告：</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hint="eastAsia"/>
          <w:color w:val="000000"/>
          <w:sz w:val="24"/>
        </w:rPr>
        <w:t>a、中标人已按照合同规定提供了全部产品及完整的技术资料。</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hint="eastAsia"/>
          <w:color w:val="000000"/>
          <w:sz w:val="24"/>
        </w:rPr>
        <w:t>b、货物符合招标文件技术规格书的要求，性能满足要求。</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hint="eastAsia"/>
          <w:color w:val="000000"/>
          <w:sz w:val="24"/>
        </w:rPr>
        <w:t>c、货物具备产品合格证。</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hint="eastAsia"/>
          <w:color w:val="000000"/>
          <w:sz w:val="24"/>
        </w:rPr>
        <w:t>5、投标人承诺投标人提供的服装产品质量若不符合招标文件技术响应要求或国家标准的视为不合格产品，采购人有权报采购中心终止中标供应商资格，由此所导致的整批货物被拒收和索赔，由此引发的所有损失由中标供应商负责。</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hint="eastAsia"/>
          <w:color w:val="000000"/>
          <w:sz w:val="24"/>
        </w:rPr>
        <w:t>6、中标供应商提供不低于15%标准的尺码调换。</w:t>
      </w:r>
    </w:p>
    <w:p w:rsidR="00C54C61" w:rsidRDefault="00BF3A17">
      <w:pPr>
        <w:pStyle w:val="a4"/>
        <w:contextualSpacing/>
      </w:pPr>
      <w:r>
        <w:rPr>
          <w:rFonts w:ascii="宋体" w:hAnsi="宋体" w:cs="Arial" w:hint="eastAsia"/>
          <w:color w:val="000000"/>
        </w:rPr>
        <w:t xml:space="preserve">    </w:t>
      </w:r>
      <w:r>
        <w:rPr>
          <w:rFonts w:hint="eastAsia"/>
          <w:b w:val="0"/>
        </w:rPr>
        <w:t>7</w:t>
      </w:r>
      <w:r>
        <w:rPr>
          <w:rFonts w:hint="eastAsia"/>
          <w:b w:val="0"/>
        </w:rPr>
        <w:t>、付款方式：</w:t>
      </w:r>
      <w:r>
        <w:rPr>
          <w:rFonts w:ascii="宋体" w:hAnsi="宋体" w:cs="Arial" w:hint="eastAsia"/>
          <w:b w:val="0"/>
          <w:bCs w:val="0"/>
          <w:color w:val="000000"/>
        </w:rPr>
        <w:t>合同签订后5个工作日支付50%款项，余下款项交货验收完毕后7个工作日支付完毕。</w:t>
      </w:r>
    </w:p>
    <w:p w:rsidR="00C54C61" w:rsidRDefault="00BF3A17">
      <w:pPr>
        <w:pStyle w:val="a4"/>
        <w:ind w:firstLine="480"/>
        <w:contextualSpacing/>
        <w:rPr>
          <w:b w:val="0"/>
        </w:rPr>
      </w:pPr>
      <w:r>
        <w:rPr>
          <w:rFonts w:hint="eastAsia"/>
          <w:b w:val="0"/>
        </w:rPr>
        <w:t>8</w:t>
      </w:r>
      <w:r>
        <w:rPr>
          <w:rFonts w:hint="eastAsia"/>
          <w:b w:val="0"/>
        </w:rPr>
        <w:t>、免费保修期内售后服务要求：</w:t>
      </w:r>
    </w:p>
    <w:p w:rsidR="00C54C61" w:rsidRDefault="00BF3A17">
      <w:pPr>
        <w:pStyle w:val="a4"/>
        <w:ind w:firstLine="480"/>
        <w:contextualSpacing/>
        <w:rPr>
          <w:b w:val="0"/>
        </w:rPr>
      </w:pPr>
      <w:r>
        <w:rPr>
          <w:rFonts w:hint="eastAsia"/>
          <w:b w:val="0"/>
        </w:rPr>
        <w:t>8.1</w:t>
      </w:r>
      <w:r>
        <w:rPr>
          <w:rFonts w:hint="eastAsia"/>
          <w:b w:val="0"/>
        </w:rPr>
        <w:t>、质保期：★货物免费保修期</w:t>
      </w:r>
      <w:r>
        <w:rPr>
          <w:rFonts w:hint="eastAsia"/>
          <w:b w:val="0"/>
        </w:rPr>
        <w:t xml:space="preserve"> 1 </w:t>
      </w:r>
      <w:r>
        <w:rPr>
          <w:rFonts w:hint="eastAsia"/>
          <w:b w:val="0"/>
        </w:rPr>
        <w:t>年，时间自最终验收合格并交付使用之日起计算。</w:t>
      </w:r>
    </w:p>
    <w:p w:rsidR="00C54C61" w:rsidRDefault="00BF3A17">
      <w:pPr>
        <w:spacing w:line="360" w:lineRule="auto"/>
        <w:ind w:firstLine="480"/>
        <w:contextualSpacing/>
        <w:rPr>
          <w:bCs/>
          <w:sz w:val="24"/>
        </w:rPr>
      </w:pPr>
      <w:r>
        <w:rPr>
          <w:rFonts w:hint="eastAsia"/>
          <w:bCs/>
          <w:sz w:val="24"/>
        </w:rPr>
        <w:t>8.2</w:t>
      </w:r>
      <w:r>
        <w:rPr>
          <w:rFonts w:hint="eastAsia"/>
          <w:bCs/>
          <w:sz w:val="24"/>
        </w:rPr>
        <w:t>、在保修期内，一旦发生质量问题，投标人保证在接到通知</w:t>
      </w:r>
      <w:r>
        <w:rPr>
          <w:rFonts w:hint="eastAsia"/>
          <w:bCs/>
          <w:sz w:val="24"/>
        </w:rPr>
        <w:t>1</w:t>
      </w:r>
      <w:r>
        <w:rPr>
          <w:rFonts w:hint="eastAsia"/>
          <w:bCs/>
          <w:sz w:val="24"/>
        </w:rPr>
        <w:t>小时内赶到现场进行修理或更换，</w:t>
      </w:r>
      <w:r>
        <w:rPr>
          <w:rFonts w:hint="eastAsia"/>
          <w:bCs/>
          <w:sz w:val="24"/>
        </w:rPr>
        <w:t>24</w:t>
      </w:r>
      <w:r>
        <w:rPr>
          <w:rFonts w:hint="eastAsia"/>
          <w:bCs/>
          <w:sz w:val="24"/>
        </w:rPr>
        <w:t>小时内处理完。</w:t>
      </w:r>
    </w:p>
    <w:p w:rsidR="00C54C61" w:rsidRDefault="00C54C61">
      <w:pPr>
        <w:pStyle w:val="a4"/>
        <w:contextualSpacing/>
      </w:pPr>
    </w:p>
    <w:p w:rsidR="00C54C61" w:rsidRDefault="00BF3A17">
      <w:pPr>
        <w:spacing w:line="360" w:lineRule="auto"/>
        <w:ind w:firstLineChars="1150" w:firstLine="3694"/>
        <w:contextualSpacing/>
        <w:rPr>
          <w:b/>
          <w:sz w:val="32"/>
          <w:szCs w:val="32"/>
        </w:rPr>
      </w:pPr>
      <w:r>
        <w:rPr>
          <w:rFonts w:hint="eastAsia"/>
          <w:b/>
          <w:sz w:val="32"/>
          <w:szCs w:val="32"/>
        </w:rPr>
        <w:t>其他要求</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color w:val="000000"/>
          <w:sz w:val="24"/>
        </w:rPr>
        <w:t>1</w:t>
      </w:r>
      <w:r>
        <w:rPr>
          <w:rFonts w:ascii="宋体" w:hAnsi="宋体" w:cs="Arial" w:hint="eastAsia"/>
          <w:color w:val="000000"/>
          <w:sz w:val="24"/>
        </w:rPr>
        <w:t>、投标供应商有义务全面、准确地了解与本项目相关的现有情况，确保本项目实施的全部运动器材完好有效。</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color w:val="000000"/>
          <w:sz w:val="24"/>
        </w:rPr>
        <w:t>2</w:t>
      </w:r>
      <w:r>
        <w:rPr>
          <w:rFonts w:ascii="宋体" w:hAnsi="宋体" w:cs="Arial" w:hint="eastAsia"/>
          <w:color w:val="000000"/>
          <w:sz w:val="24"/>
        </w:rPr>
        <w:t>、投标供应商需详细了解用户的需求，并根据投标产品特点完善投标清单。若投标清单与采购清单有偏差，须在偏离表中详细说明。</w:t>
      </w:r>
    </w:p>
    <w:p w:rsidR="00C54C61" w:rsidRDefault="00BF3A17">
      <w:pPr>
        <w:spacing w:line="360" w:lineRule="auto"/>
        <w:ind w:firstLineChars="200" w:firstLine="480"/>
        <w:contextualSpacing/>
        <w:rPr>
          <w:rFonts w:ascii="宋体" w:hAnsi="宋体" w:cs="Arial"/>
          <w:color w:val="000000"/>
          <w:sz w:val="24"/>
        </w:rPr>
      </w:pPr>
      <w:r>
        <w:rPr>
          <w:rFonts w:ascii="宋体" w:hAnsi="宋体" w:cs="Arial"/>
          <w:color w:val="000000"/>
          <w:sz w:val="24"/>
        </w:rPr>
        <w:t>3</w:t>
      </w:r>
      <w:r>
        <w:rPr>
          <w:rFonts w:ascii="宋体" w:hAnsi="宋体" w:cs="Arial" w:hint="eastAsia"/>
          <w:color w:val="000000"/>
          <w:sz w:val="24"/>
        </w:rPr>
        <w:t>、投标供应商报价时，必须根据各种运动器材集成时所发生的标识印绣、运输、调换等费用，中标后此部分费用不予调整。</w:t>
      </w:r>
    </w:p>
    <w:p w:rsidR="00C54C61" w:rsidRDefault="00C54C61">
      <w:pPr>
        <w:spacing w:line="360" w:lineRule="auto"/>
        <w:contextualSpacing/>
        <w:rPr>
          <w:bCs/>
          <w:szCs w:val="21"/>
        </w:rPr>
      </w:pPr>
    </w:p>
    <w:p w:rsidR="00C54C61" w:rsidRDefault="00C54C61" w:rsidP="00EE5467">
      <w:pPr>
        <w:pStyle w:val="a5"/>
        <w:spacing w:line="360" w:lineRule="auto"/>
        <w:ind w:firstLineChars="187" w:firstLine="393"/>
        <w:contextualSpacing/>
        <w:rPr>
          <w:rFonts w:ascii="宋体" w:hAnsi="宋体"/>
          <w:szCs w:val="21"/>
        </w:rPr>
      </w:pPr>
    </w:p>
    <w:p w:rsidR="00C54C61" w:rsidRDefault="00BF3A17">
      <w:pPr>
        <w:pStyle w:val="2"/>
        <w:spacing w:beforeLines="50" w:before="120" w:afterLines="50" w:after="120" w:line="360" w:lineRule="auto"/>
        <w:contextualSpacing/>
        <w:rPr>
          <w:sz w:val="28"/>
          <w:szCs w:val="28"/>
        </w:rPr>
      </w:pPr>
      <w:r>
        <w:rPr>
          <w:rFonts w:hint="eastAsia"/>
          <w:sz w:val="28"/>
          <w:szCs w:val="28"/>
        </w:rPr>
        <w:t>六、政策导向</w:t>
      </w:r>
    </w:p>
    <w:p w:rsidR="00C54C61" w:rsidRDefault="00BF3A17">
      <w:pPr>
        <w:spacing w:line="360" w:lineRule="auto"/>
        <w:ind w:firstLineChars="150" w:firstLine="315"/>
        <w:contextualSpacing/>
        <w:rPr>
          <w:bCs/>
          <w:szCs w:val="21"/>
        </w:rPr>
      </w:pPr>
      <w:r>
        <w:rPr>
          <w:rFonts w:hint="eastAsia"/>
          <w:bCs/>
          <w:szCs w:val="21"/>
        </w:rPr>
        <w:t>1</w:t>
      </w:r>
      <w:r>
        <w:rPr>
          <w:rFonts w:hint="eastAsia"/>
          <w:bCs/>
          <w:szCs w:val="21"/>
        </w:rPr>
        <w:t>、</w:t>
      </w:r>
      <w:r>
        <w:rPr>
          <w:rFonts w:hint="eastAsia"/>
          <w:bCs/>
          <w:szCs w:val="21"/>
        </w:rPr>
        <w:t>2014</w:t>
      </w:r>
      <w:r>
        <w:rPr>
          <w:rFonts w:hint="eastAsia"/>
          <w:bCs/>
          <w:szCs w:val="21"/>
        </w:rPr>
        <w:t>年起，政府部门、国有企业在进行设备或工程采购时，应在招标文件中明确要求工程机械、装卸机械满足国家现阶段非道路移动机械用柴油机排放标准，并鼓励使用</w:t>
      </w:r>
      <w:r>
        <w:rPr>
          <w:rFonts w:hint="eastAsia"/>
          <w:bCs/>
          <w:szCs w:val="21"/>
        </w:rPr>
        <w:t>LNG</w:t>
      </w:r>
      <w:r>
        <w:rPr>
          <w:rFonts w:hint="eastAsia"/>
          <w:bCs/>
          <w:szCs w:val="21"/>
        </w:rPr>
        <w:t>或电动工程机械、装卸机械。</w:t>
      </w:r>
      <w:r>
        <w:rPr>
          <w:rFonts w:hint="eastAsia"/>
          <w:bCs/>
          <w:szCs w:val="21"/>
        </w:rPr>
        <w:t>2015</w:t>
      </w:r>
      <w:r>
        <w:rPr>
          <w:rFonts w:hint="eastAsia"/>
          <w:bCs/>
          <w:szCs w:val="21"/>
        </w:rPr>
        <w:t>年起，政府部门、国有企业采购设备或工程项目中选用</w:t>
      </w:r>
      <w:r>
        <w:rPr>
          <w:rFonts w:hint="eastAsia"/>
          <w:bCs/>
          <w:szCs w:val="21"/>
        </w:rPr>
        <w:t>LNG</w:t>
      </w:r>
      <w:r>
        <w:rPr>
          <w:rFonts w:hint="eastAsia"/>
          <w:bCs/>
          <w:szCs w:val="21"/>
        </w:rPr>
        <w:t>或电动工程机械、装卸机械的比例不低于</w:t>
      </w:r>
      <w:r>
        <w:rPr>
          <w:rFonts w:hint="eastAsia"/>
          <w:bCs/>
          <w:szCs w:val="21"/>
        </w:rPr>
        <w:t>30%</w:t>
      </w:r>
      <w:r>
        <w:rPr>
          <w:rFonts w:hint="eastAsia"/>
          <w:bCs/>
          <w:szCs w:val="21"/>
        </w:rPr>
        <w:t>。</w:t>
      </w:r>
    </w:p>
    <w:p w:rsidR="00C54C61" w:rsidRDefault="00BF3A17">
      <w:pPr>
        <w:spacing w:line="360" w:lineRule="auto"/>
        <w:ind w:firstLine="405"/>
        <w:contextualSpacing/>
        <w:rPr>
          <w:rFonts w:ascii="宋体" w:hAnsi="宋体"/>
        </w:rPr>
      </w:pPr>
      <w:r>
        <w:rPr>
          <w:rFonts w:hint="eastAsia"/>
          <w:color w:val="000000"/>
          <w:shd w:val="clear" w:color="auto" w:fill="FFFFFF"/>
        </w:rPr>
        <w:t>2</w:t>
      </w:r>
      <w:r>
        <w:rPr>
          <w:rFonts w:hint="eastAsia"/>
          <w:color w:val="000000"/>
          <w:shd w:val="clear" w:color="auto" w:fill="FFFFFF"/>
        </w:rPr>
        <w:t>、</w:t>
      </w:r>
      <w:r>
        <w:rPr>
          <w:rFonts w:ascii="宋体" w:hAnsi="宋体" w:hint="eastAsia"/>
        </w:rPr>
        <w:t>根据《深圳市人民政府关于印发深圳市贯彻落实守信联合激励和失信联合惩戒制度实施方案的通知》（深府〔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rsidR="00C54C61" w:rsidRDefault="00BF3A17">
      <w:pPr>
        <w:spacing w:line="360" w:lineRule="auto"/>
        <w:ind w:firstLine="405"/>
        <w:contextualSpacing/>
        <w:rPr>
          <w:rFonts w:ascii="宋体" w:hAnsi="宋体"/>
        </w:rPr>
      </w:pPr>
      <w:r>
        <w:rPr>
          <w:rFonts w:ascii="宋体" w:hAnsi="宋体" w:hint="eastAsia"/>
        </w:rPr>
        <w:t>3、“信用中国”、“中国政府采购网”、“深圳信用网”以及“深圳市政府采购监管网”为供应商信用信息的查询渠道，相关信息以开标当日的查询结果为准。</w:t>
      </w:r>
    </w:p>
    <w:p w:rsidR="00C54C61" w:rsidRDefault="00BF3A17">
      <w:pPr>
        <w:pStyle w:val="2"/>
        <w:spacing w:before="0" w:after="0" w:line="360" w:lineRule="auto"/>
        <w:contextualSpacing/>
        <w:rPr>
          <w:kern w:val="2"/>
        </w:rPr>
      </w:pPr>
      <w:r>
        <w:rPr>
          <w:rFonts w:hint="eastAsia"/>
          <w:kern w:val="2"/>
        </w:rPr>
        <w:t>第三章</w:t>
      </w:r>
      <w:r>
        <w:rPr>
          <w:kern w:val="2"/>
        </w:rPr>
        <w:t xml:space="preserve"> </w:t>
      </w:r>
      <w:r>
        <w:rPr>
          <w:rFonts w:hint="eastAsia"/>
          <w:kern w:val="2"/>
        </w:rPr>
        <w:t xml:space="preserve"> 投标文件格式、附件</w:t>
      </w:r>
    </w:p>
    <w:p w:rsidR="00C54C61" w:rsidRDefault="00BF3A17">
      <w:pPr>
        <w:spacing w:line="360" w:lineRule="auto"/>
        <w:contextualSpacing/>
        <w:rPr>
          <w:rStyle w:val="3Char2"/>
          <w:sz w:val="24"/>
        </w:rPr>
      </w:pPr>
      <w:r>
        <w:rPr>
          <w:rStyle w:val="3Char2"/>
          <w:rFonts w:hint="eastAsia"/>
          <w:sz w:val="24"/>
        </w:rPr>
        <w:t>特别提醒：</w:t>
      </w:r>
    </w:p>
    <w:p w:rsidR="00C54C61" w:rsidRDefault="00BF3A17">
      <w:pPr>
        <w:spacing w:line="360" w:lineRule="auto"/>
        <w:ind w:firstLineChars="200" w:firstLine="480"/>
        <w:contextualSpacing/>
        <w:rPr>
          <w:rFonts w:ascii="仿宋_GB2312" w:eastAsia="仿宋_GB2312"/>
          <w:sz w:val="24"/>
        </w:rPr>
      </w:pPr>
      <w:r>
        <w:rPr>
          <w:rFonts w:ascii="仿宋_GB2312" w:eastAsia="仿宋_GB2312" w:hint="eastAsia"/>
          <w:sz w:val="24"/>
        </w:rPr>
        <w:t>投标文件正文将对外公开，投标文件附件不公开。投标人在编辑投标文件时，在投标文件目录中属于本节点内容的必须在本节点中填写，填写到其他节点或附件的将可能导致投标无效，一切后果由供应商自行承担。</w:t>
      </w:r>
    </w:p>
    <w:p w:rsidR="00C54C61" w:rsidRDefault="00BF3A17">
      <w:pPr>
        <w:spacing w:line="360" w:lineRule="auto"/>
        <w:contextualSpacing/>
        <w:rPr>
          <w:rFonts w:ascii="仿宋_GB2312" w:eastAsia="仿宋_GB2312"/>
          <w:sz w:val="24"/>
        </w:rPr>
      </w:pPr>
      <w:r>
        <w:rPr>
          <w:rFonts w:ascii="仿宋_GB2312" w:eastAsia="仿宋_GB2312" w:hint="eastAsia"/>
          <w:sz w:val="24"/>
        </w:rPr>
        <w:t xml:space="preserve">    投标文件正文（信息公开部分）必须编制于“投标书目录”部分，投标文件附件（非信息公开部分）必须编制于“投标书附件”部分，如下图所示。</w:t>
      </w:r>
    </w:p>
    <w:p w:rsidR="00C54C61" w:rsidRDefault="00BF3A17">
      <w:pPr>
        <w:widowControl/>
        <w:spacing w:line="360" w:lineRule="auto"/>
        <w:contextualSpacing/>
        <w:jc w:val="left"/>
        <w:rPr>
          <w:rFonts w:ascii="宋体" w:hAnsi="宋体" w:cs="宋体"/>
          <w:kern w:val="0"/>
          <w:sz w:val="24"/>
        </w:rPr>
      </w:pPr>
      <w:r>
        <w:rPr>
          <w:rFonts w:ascii="宋体" w:hAnsi="宋体" w:cs="宋体"/>
          <w:noProof/>
          <w:kern w:val="0"/>
          <w:sz w:val="24"/>
        </w:rPr>
        <w:drawing>
          <wp:inline distT="0" distB="0" distL="0" distR="0" wp14:anchorId="55686344" wp14:editId="20B502F8">
            <wp:extent cx="4933950" cy="5172075"/>
            <wp:effectExtent l="19050" t="0" r="0" b="0"/>
            <wp:docPr id="11" name="图片 11" descr="C:\Users\Administrator\Documents\Tencent Files\9571728\Image\C2C\F9)3IDR8GS@SBU}%$MKJ18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istrator\Documents\Tencent Files\9571728\Image\C2C\F9)3IDR8GS@SBU}%$MKJ18W.jpg"/>
                    <pic:cNvPicPr>
                      <a:picLocks noChangeAspect="1" noChangeArrowheads="1"/>
                    </pic:cNvPicPr>
                  </pic:nvPicPr>
                  <pic:blipFill>
                    <a:blip r:embed="rId13" cstate="print"/>
                    <a:srcRect/>
                    <a:stretch>
                      <a:fillRect/>
                    </a:stretch>
                  </pic:blipFill>
                  <pic:spPr>
                    <a:xfrm>
                      <a:off x="0" y="0"/>
                      <a:ext cx="4933950" cy="5172075"/>
                    </a:xfrm>
                    <a:prstGeom prst="rect">
                      <a:avLst/>
                    </a:prstGeom>
                    <a:noFill/>
                    <a:ln w="9525">
                      <a:noFill/>
                      <a:miter lim="800000"/>
                      <a:headEnd/>
                      <a:tailEnd/>
                    </a:ln>
                  </pic:spPr>
                </pic:pic>
              </a:graphicData>
            </a:graphic>
          </wp:inline>
        </w:drawing>
      </w:r>
    </w:p>
    <w:p w:rsidR="00C54C61" w:rsidRDefault="00C54C61">
      <w:pPr>
        <w:spacing w:line="360" w:lineRule="auto"/>
        <w:contextualSpacing/>
        <w:rPr>
          <w:rFonts w:ascii="仿宋_GB2312" w:eastAsia="仿宋_GB2312"/>
          <w:sz w:val="24"/>
        </w:rPr>
      </w:pPr>
    </w:p>
    <w:p w:rsidR="00C54C61" w:rsidRDefault="00C54C61">
      <w:pPr>
        <w:spacing w:line="360" w:lineRule="auto"/>
        <w:contextualSpacing/>
        <w:jc w:val="center"/>
        <w:rPr>
          <w:rFonts w:ascii="仿宋_GB2312" w:eastAsia="仿宋_GB2312"/>
          <w:sz w:val="24"/>
        </w:rPr>
      </w:pPr>
    </w:p>
    <w:p w:rsidR="00C54C61" w:rsidRDefault="00BF3A17">
      <w:pPr>
        <w:spacing w:line="360" w:lineRule="auto"/>
        <w:ind w:firstLineChars="200" w:firstLine="480"/>
        <w:contextualSpacing/>
        <w:rPr>
          <w:rFonts w:ascii="仿宋_GB2312" w:eastAsia="仿宋_GB2312"/>
          <w:sz w:val="24"/>
        </w:rPr>
      </w:pPr>
      <w:r>
        <w:rPr>
          <w:rFonts w:ascii="仿宋_GB2312" w:eastAsia="仿宋_GB2312" w:hint="eastAsia"/>
          <w:sz w:val="24"/>
        </w:rPr>
        <w:t>我司公布投标文件正文（信息公开部分）时为计算机截取信息自动公布，如投标人误将涉及个人隐私的信息放入投标文件正文，相关后果由投标人自负；如投标人将必须放于投标文件正文（信息公开部分）的内容放入投标文件附件（非信息公开部分），将作投标无效处理。</w:t>
      </w:r>
    </w:p>
    <w:p w:rsidR="00C54C61" w:rsidRDefault="00C54C61">
      <w:pPr>
        <w:spacing w:line="360" w:lineRule="auto"/>
        <w:ind w:firstLineChars="200" w:firstLine="482"/>
        <w:contextualSpacing/>
        <w:rPr>
          <w:rFonts w:ascii="宋体" w:hAnsi="宋体"/>
          <w:b/>
          <w:sz w:val="24"/>
        </w:rPr>
      </w:pPr>
    </w:p>
    <w:p w:rsidR="00C54C61" w:rsidRDefault="00BF3A17">
      <w:pPr>
        <w:spacing w:line="360" w:lineRule="auto"/>
        <w:ind w:firstLineChars="200" w:firstLine="420"/>
        <w:contextualSpacing/>
        <w:rPr>
          <w:rFonts w:ascii="宋体" w:hAnsi="宋体"/>
          <w:szCs w:val="21"/>
        </w:rPr>
      </w:pPr>
      <w:r>
        <w:rPr>
          <w:rFonts w:ascii="宋体" w:hAnsi="宋体" w:hint="eastAsia"/>
          <w:szCs w:val="21"/>
        </w:rPr>
        <w:t>各投标供应商：</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根据《中华人民共和国政府采购法》及《深圳经济特区政府采购条例》有关规定，为增强各供应商诚信守法、公平竞争意识，规范各供应商投标行为，有效遏制投标供应商在政府采购活动中的串标围标、造假等不诚信行为，促进我市政府采购市场诚信体系建设，确保我市政府采购工作公开、公平和公正，政府集中采购机构将依法依规对如下投标信息予以公示，望各投标供应商给予配合，履行好自身的权益和义务。</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1．公示的内容。营业执照、资质证书、项目业绩、履约验收报告及评价、社保证明、设备发票、职称、各种证件（身份证除外）、货物的规格型号及配置参数等。</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2．公示时间。从2014年9月10日起，所有新公告的政府采购项目的投标供应商的投标文件都进行公示。公示时间有两次，具体是：</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第一次公示时间：评标环节。当项目开标评审开始后，所有投标供应商的投标文件有关信息将随开标一览表向所有参与的投标供应商进行公开；</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第二次公示时间：中标结果公布环节。当发布中标结果时，同时向社会公布参加该政府采购项目的投标供应商（包括中标和未中标供应商）的投标文件。</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3．履行职责并及时指出有造假的行为。各投标人有权对公示内容进行监督，在第一次信息公开后的90分钟内，向深圳交易集团有限公司政府采购业务分公司反馈质疑和举报有造假行为的供应商，具体操作：</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点击“我要举报”按键，系统即显示所有投标人相关内容，选择有造假的供应商，在公示内容上点击。该内容下框会有“√”显示，当选择完后，确认提交至深圳交易集团有限公司政府采购业务分公司辅助评标系统。评标委员会将于开标后的90分钟后打开该系统，如显示有被举报的供应商，评标委员会即启动取证环节的相关工作，当取证完成，经确认该投标人有造假，则该供应商投标无效，同时将依规定予以处罚。反之，如该项目无任何举报信息，评标继续进行。</w:t>
      </w:r>
    </w:p>
    <w:p w:rsidR="00C54C61" w:rsidRDefault="00C54C61">
      <w:pPr>
        <w:spacing w:line="360" w:lineRule="auto"/>
        <w:ind w:firstLineChars="200" w:firstLine="420"/>
        <w:contextualSpacing/>
        <w:rPr>
          <w:rFonts w:ascii="宋体" w:hAnsi="宋体"/>
          <w:szCs w:val="21"/>
        </w:rPr>
      </w:pPr>
    </w:p>
    <w:p w:rsidR="00C54C61" w:rsidRDefault="00BF3A17">
      <w:pPr>
        <w:spacing w:line="360" w:lineRule="auto"/>
        <w:ind w:firstLineChars="200" w:firstLine="420"/>
        <w:contextualSpacing/>
        <w:rPr>
          <w:rFonts w:ascii="宋体" w:hAnsi="宋体"/>
          <w:szCs w:val="21"/>
        </w:rPr>
      </w:pPr>
      <w:r>
        <w:rPr>
          <w:rFonts w:ascii="宋体" w:hAnsi="宋体" w:hint="eastAsia"/>
          <w:szCs w:val="21"/>
        </w:rPr>
        <w:t>本项目各投标供应商，应在开标后始终保持本项目联系人手机畅通。当开标时间超过90分钟后，深圳交易集团有限公司政府采购业务分公司将视举报信息反馈情况会与您通话（所有通话内容将会录音），如有要求提交公示内容正本（原件）的，务必在通话后的120分钟内送达至深圳交易集团有限公司政府采购业务分公司，以便评委现场查验。如不按时送达或拒送原件的，您的投标将视为投标响应不足，评标委员会将终止对该企业的标书评审，投标文件将视为弃标，评标中止；如查验确为造假，则投标无效，并视情况再作进一步处理。</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第二次中标供应商信息公示的质疑，按现规定和做法执行。</w:t>
      </w:r>
    </w:p>
    <w:p w:rsidR="00C54C61" w:rsidRDefault="00BF3A17">
      <w:pPr>
        <w:spacing w:line="360" w:lineRule="auto"/>
        <w:ind w:firstLineChars="200" w:firstLine="420"/>
        <w:contextualSpacing/>
        <w:rPr>
          <w:rFonts w:ascii="仿宋_GB2312" w:eastAsia="仿宋_GB2312"/>
          <w:sz w:val="24"/>
        </w:rPr>
      </w:pPr>
      <w:r>
        <w:rPr>
          <w:rFonts w:ascii="宋体" w:hAnsi="宋体" w:hint="eastAsia"/>
          <w:szCs w:val="21"/>
        </w:rPr>
        <w:t>望各供应商要珍惜本次投标机会，诚实、守信、依法、依规投标。</w:t>
      </w:r>
    </w:p>
    <w:p w:rsidR="00C54C61" w:rsidRDefault="00C54C61">
      <w:pPr>
        <w:spacing w:line="360" w:lineRule="auto"/>
        <w:contextualSpacing/>
        <w:rPr>
          <w:rFonts w:ascii="仿宋_GB2312" w:eastAsia="仿宋_GB2312"/>
          <w:sz w:val="24"/>
        </w:rPr>
      </w:pPr>
    </w:p>
    <w:p w:rsidR="00C54C61" w:rsidRDefault="00BF3A17">
      <w:pPr>
        <w:spacing w:line="360" w:lineRule="auto"/>
        <w:contextualSpacing/>
        <w:rPr>
          <w:rStyle w:val="3Char2"/>
          <w:sz w:val="28"/>
          <w:szCs w:val="28"/>
        </w:rPr>
      </w:pPr>
      <w:r>
        <w:rPr>
          <w:rStyle w:val="3Char2"/>
          <w:rFonts w:hint="eastAsia"/>
          <w:sz w:val="28"/>
          <w:szCs w:val="28"/>
        </w:rPr>
        <w:t>投标文件组成：</w:t>
      </w:r>
    </w:p>
    <w:p w:rsidR="00C54C61" w:rsidRDefault="00BF3A17">
      <w:pPr>
        <w:spacing w:line="360" w:lineRule="auto"/>
        <w:ind w:firstLineChars="500" w:firstLine="1200"/>
        <w:contextualSpacing/>
        <w:rPr>
          <w:rFonts w:ascii="宋体" w:hAnsi="宋体"/>
          <w:sz w:val="24"/>
        </w:rPr>
      </w:pPr>
      <w:r>
        <w:rPr>
          <w:rFonts w:ascii="宋体" w:hAnsi="宋体" w:hint="eastAsia"/>
          <w:sz w:val="24"/>
        </w:rPr>
        <w:t>1.投标文件正文</w:t>
      </w:r>
      <w:r>
        <w:rPr>
          <w:rFonts w:ascii="宋体" w:hAnsi="宋体" w:hint="eastAsia"/>
          <w:b/>
          <w:color w:val="FF0000"/>
          <w:sz w:val="24"/>
        </w:rPr>
        <w:t>（信息公开部分）</w:t>
      </w:r>
      <w:r>
        <w:rPr>
          <w:rFonts w:ascii="宋体" w:hAnsi="宋体" w:hint="eastAsia"/>
          <w:sz w:val="24"/>
        </w:rPr>
        <w:t>，主要包括以下内容：</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1</w:t>
      </w:r>
      <w:r>
        <w:rPr>
          <w:rFonts w:hint="eastAsia"/>
          <w:szCs w:val="21"/>
        </w:rPr>
        <w:t>）投标函</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2</w:t>
      </w:r>
      <w:r>
        <w:rPr>
          <w:rFonts w:hint="eastAsia"/>
          <w:szCs w:val="21"/>
        </w:rPr>
        <w:t>）政府采购投标及履约承诺函</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3</w:t>
      </w:r>
      <w:r>
        <w:rPr>
          <w:rFonts w:hint="eastAsia"/>
          <w:szCs w:val="21"/>
        </w:rPr>
        <w:t>）分项报价清单</w:t>
      </w:r>
    </w:p>
    <w:p w:rsidR="00C54C61" w:rsidRDefault="00BF3A17">
      <w:pPr>
        <w:spacing w:line="360" w:lineRule="auto"/>
        <w:ind w:leftChars="1017" w:left="2692" w:hangingChars="265" w:hanging="556"/>
        <w:contextualSpacing/>
        <w:rPr>
          <w:szCs w:val="21"/>
        </w:rPr>
      </w:pPr>
      <w:r>
        <w:rPr>
          <w:rFonts w:hint="eastAsia"/>
          <w:szCs w:val="21"/>
        </w:rPr>
        <w:t>（</w:t>
      </w:r>
      <w:r>
        <w:rPr>
          <w:rFonts w:hint="eastAsia"/>
          <w:szCs w:val="21"/>
        </w:rPr>
        <w:t>4</w:t>
      </w:r>
      <w:r>
        <w:rPr>
          <w:rFonts w:hint="eastAsia"/>
          <w:szCs w:val="21"/>
        </w:rPr>
        <w:t>）投标人情况介绍</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5</w:t>
      </w:r>
      <w:r>
        <w:rPr>
          <w:rFonts w:hint="eastAsia"/>
          <w:szCs w:val="21"/>
        </w:rPr>
        <w:t>）货物说明一览表</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6</w:t>
      </w:r>
      <w:r>
        <w:rPr>
          <w:rFonts w:hint="eastAsia"/>
          <w:szCs w:val="21"/>
        </w:rPr>
        <w:t>）技术规格偏离表</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7</w:t>
      </w:r>
      <w:r>
        <w:rPr>
          <w:rFonts w:hint="eastAsia"/>
          <w:szCs w:val="21"/>
        </w:rPr>
        <w:t>）商务需求偏离表</w:t>
      </w:r>
    </w:p>
    <w:p w:rsidR="00C54C61" w:rsidRDefault="00BF3A17" w:rsidP="00EE5467">
      <w:pPr>
        <w:spacing w:line="360" w:lineRule="auto"/>
        <w:ind w:leftChars="342" w:left="718" w:firstLineChars="675" w:firstLine="1418"/>
        <w:contextualSpacing/>
        <w:rPr>
          <w:rFonts w:hAnsi="宋体"/>
          <w:szCs w:val="21"/>
        </w:rPr>
      </w:pPr>
      <w:r>
        <w:rPr>
          <w:rFonts w:hint="eastAsia"/>
          <w:szCs w:val="21"/>
        </w:rPr>
        <w:t>（</w:t>
      </w:r>
      <w:r>
        <w:rPr>
          <w:rFonts w:hint="eastAsia"/>
          <w:szCs w:val="21"/>
        </w:rPr>
        <w:t>8</w:t>
      </w:r>
      <w:r>
        <w:rPr>
          <w:rFonts w:hint="eastAsia"/>
          <w:szCs w:val="21"/>
        </w:rPr>
        <w:t>）</w:t>
      </w:r>
      <w:r>
        <w:rPr>
          <w:rFonts w:hAnsi="宋体" w:hint="eastAsia"/>
          <w:szCs w:val="21"/>
        </w:rPr>
        <w:t>企业实力（格式自拟）</w:t>
      </w:r>
    </w:p>
    <w:p w:rsidR="00C54C61" w:rsidRDefault="00BF3A17" w:rsidP="00EE5467">
      <w:pPr>
        <w:spacing w:line="360" w:lineRule="auto"/>
        <w:ind w:leftChars="342" w:left="718" w:firstLineChars="675" w:firstLine="1418"/>
        <w:contextualSpacing/>
        <w:rPr>
          <w:rFonts w:hAnsi="宋体" w:cs="宋体"/>
          <w:szCs w:val="21"/>
        </w:rPr>
      </w:pPr>
      <w:r>
        <w:rPr>
          <w:rFonts w:hint="eastAsia"/>
          <w:szCs w:val="21"/>
        </w:rPr>
        <w:t>（</w:t>
      </w:r>
      <w:r>
        <w:rPr>
          <w:rFonts w:hint="eastAsia"/>
          <w:szCs w:val="21"/>
        </w:rPr>
        <w:t>9</w:t>
      </w:r>
      <w:r>
        <w:rPr>
          <w:rFonts w:hint="eastAsia"/>
          <w:szCs w:val="21"/>
        </w:rPr>
        <w:t>）</w:t>
      </w:r>
      <w:r>
        <w:rPr>
          <w:rFonts w:hAnsi="宋体" w:cs="宋体" w:hint="eastAsia"/>
          <w:szCs w:val="21"/>
        </w:rPr>
        <w:t>企业荣誉（格式自拟）</w:t>
      </w:r>
    </w:p>
    <w:p w:rsidR="00C54C61" w:rsidRDefault="00BF3A17" w:rsidP="00EE5467">
      <w:pPr>
        <w:spacing w:line="360" w:lineRule="auto"/>
        <w:ind w:leftChars="342" w:left="718" w:firstLineChars="675" w:firstLine="1418"/>
        <w:contextualSpacing/>
        <w:rPr>
          <w:rFonts w:hAnsi="宋体" w:cs="宋体"/>
          <w:szCs w:val="21"/>
        </w:rPr>
      </w:pPr>
      <w:r>
        <w:rPr>
          <w:rFonts w:hint="eastAsia"/>
          <w:szCs w:val="21"/>
        </w:rPr>
        <w:t>（</w:t>
      </w:r>
      <w:r>
        <w:rPr>
          <w:rFonts w:hint="eastAsia"/>
          <w:szCs w:val="21"/>
        </w:rPr>
        <w:t>10</w:t>
      </w:r>
      <w:r>
        <w:rPr>
          <w:rFonts w:hint="eastAsia"/>
          <w:szCs w:val="21"/>
        </w:rPr>
        <w:t>）</w:t>
      </w:r>
      <w:r>
        <w:rPr>
          <w:rFonts w:hAnsi="宋体" w:hint="eastAsia"/>
          <w:szCs w:val="21"/>
        </w:rPr>
        <w:t>业绩经验（格式自拟）</w:t>
      </w:r>
    </w:p>
    <w:p w:rsidR="00C54C61" w:rsidRDefault="00BF3A17" w:rsidP="00EE5467">
      <w:pPr>
        <w:spacing w:line="360" w:lineRule="auto"/>
        <w:ind w:leftChars="342" w:left="718" w:firstLineChars="675" w:firstLine="1418"/>
        <w:contextualSpacing/>
        <w:rPr>
          <w:rFonts w:hAnsi="宋体"/>
          <w:szCs w:val="21"/>
        </w:rPr>
      </w:pPr>
      <w:r>
        <w:rPr>
          <w:rFonts w:hint="eastAsia"/>
          <w:szCs w:val="21"/>
        </w:rPr>
        <w:t>（</w:t>
      </w:r>
      <w:r>
        <w:rPr>
          <w:rFonts w:hint="eastAsia"/>
          <w:szCs w:val="21"/>
        </w:rPr>
        <w:t>11</w:t>
      </w:r>
      <w:r>
        <w:rPr>
          <w:rFonts w:hint="eastAsia"/>
          <w:szCs w:val="21"/>
        </w:rPr>
        <w:t>）</w:t>
      </w:r>
      <w:r>
        <w:rPr>
          <w:rFonts w:ascii="宋体" w:hAnsi="宋体" w:cs="宋体" w:hint="eastAsia"/>
          <w:szCs w:val="21"/>
        </w:rPr>
        <w:t>售后服务能力及便利性（格式自拟）</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12</w:t>
      </w:r>
      <w:r>
        <w:rPr>
          <w:rFonts w:hint="eastAsia"/>
          <w:szCs w:val="21"/>
        </w:rPr>
        <w:t>）投标人认为需要加以说明的其他内容</w:t>
      </w:r>
    </w:p>
    <w:p w:rsidR="00C54C61" w:rsidRDefault="00C54C61" w:rsidP="00EE5467">
      <w:pPr>
        <w:spacing w:line="360" w:lineRule="auto"/>
        <w:ind w:leftChars="342" w:left="718" w:firstLineChars="675" w:firstLine="1418"/>
        <w:contextualSpacing/>
        <w:rPr>
          <w:szCs w:val="21"/>
        </w:rPr>
      </w:pPr>
    </w:p>
    <w:p w:rsidR="00C54C61" w:rsidRDefault="00BF3A17">
      <w:pPr>
        <w:spacing w:line="360" w:lineRule="auto"/>
        <w:ind w:firstLineChars="500" w:firstLine="1200"/>
        <w:contextualSpacing/>
        <w:rPr>
          <w:rFonts w:ascii="宋体" w:hAnsi="宋体"/>
          <w:sz w:val="24"/>
        </w:rPr>
      </w:pPr>
      <w:r>
        <w:rPr>
          <w:rFonts w:ascii="宋体" w:hAnsi="宋体" w:hint="eastAsia"/>
          <w:sz w:val="24"/>
        </w:rPr>
        <w:t>2.投标文件附件</w:t>
      </w:r>
      <w:r>
        <w:rPr>
          <w:rFonts w:ascii="宋体" w:hAnsi="宋体" w:hint="eastAsia"/>
          <w:b/>
          <w:color w:val="FF0000"/>
          <w:sz w:val="24"/>
        </w:rPr>
        <w:t>（信息不公开部分）</w:t>
      </w:r>
      <w:r>
        <w:rPr>
          <w:rFonts w:ascii="宋体" w:hAnsi="宋体" w:hint="eastAsia"/>
          <w:sz w:val="24"/>
        </w:rPr>
        <w:t>：主要包括以下内容：</w:t>
      </w:r>
    </w:p>
    <w:p w:rsidR="00C54C61" w:rsidRDefault="00BF3A17">
      <w:pPr>
        <w:spacing w:line="360" w:lineRule="auto"/>
        <w:ind w:firstLineChars="1000" w:firstLine="2100"/>
        <w:contextualSpacing/>
        <w:rPr>
          <w:szCs w:val="21"/>
        </w:rPr>
      </w:pPr>
      <w:r>
        <w:rPr>
          <w:rFonts w:hint="eastAsia"/>
          <w:szCs w:val="21"/>
        </w:rPr>
        <w:t>（</w:t>
      </w:r>
      <w:r>
        <w:rPr>
          <w:rFonts w:hint="eastAsia"/>
          <w:szCs w:val="21"/>
        </w:rPr>
        <w:t>1</w:t>
      </w:r>
      <w:r>
        <w:rPr>
          <w:rFonts w:hint="eastAsia"/>
          <w:szCs w:val="21"/>
        </w:rPr>
        <w:t>）法定代表人证明书</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2</w:t>
      </w:r>
      <w:r>
        <w:rPr>
          <w:rFonts w:hint="eastAsia"/>
          <w:szCs w:val="21"/>
        </w:rPr>
        <w:t>）投标文件签署授权委托书</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3</w:t>
      </w:r>
      <w:r>
        <w:rPr>
          <w:rFonts w:hint="eastAsia"/>
          <w:szCs w:val="21"/>
        </w:rPr>
        <w:t>）实质性条款响应情况表</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4</w:t>
      </w:r>
      <w:r>
        <w:rPr>
          <w:rFonts w:hint="eastAsia"/>
          <w:szCs w:val="21"/>
        </w:rPr>
        <w:t>）</w:t>
      </w:r>
      <w:r>
        <w:rPr>
          <w:rFonts w:hAnsi="宋体" w:cs="宋体" w:hint="eastAsia"/>
          <w:bCs/>
          <w:szCs w:val="21"/>
        </w:rPr>
        <w:t>项目实施方案（格式自拟）</w:t>
      </w:r>
    </w:p>
    <w:p w:rsidR="00C54C61" w:rsidRDefault="00BF3A17" w:rsidP="00EE5467">
      <w:pPr>
        <w:spacing w:line="360" w:lineRule="auto"/>
        <w:ind w:leftChars="342" w:left="718" w:firstLineChars="675" w:firstLine="1418"/>
        <w:contextualSpacing/>
        <w:rPr>
          <w:szCs w:val="21"/>
        </w:rPr>
      </w:pPr>
      <w:r>
        <w:rPr>
          <w:rFonts w:hint="eastAsia"/>
          <w:szCs w:val="21"/>
        </w:rPr>
        <w:t>（</w:t>
      </w:r>
      <w:r>
        <w:rPr>
          <w:rFonts w:hint="eastAsia"/>
          <w:szCs w:val="21"/>
        </w:rPr>
        <w:t>5</w:t>
      </w:r>
      <w:r>
        <w:rPr>
          <w:rFonts w:hint="eastAsia"/>
          <w:szCs w:val="21"/>
        </w:rPr>
        <w:t>）</w:t>
      </w:r>
      <w:r>
        <w:rPr>
          <w:rFonts w:hAnsi="宋体" w:hint="eastAsia"/>
          <w:szCs w:val="21"/>
        </w:rPr>
        <w:t>售后服务方案（格式自拟）</w:t>
      </w:r>
    </w:p>
    <w:p w:rsidR="00C54C61" w:rsidRDefault="00BF3A17">
      <w:pPr>
        <w:spacing w:line="360" w:lineRule="auto"/>
        <w:ind w:firstLineChars="1000" w:firstLine="2100"/>
        <w:contextualSpacing/>
        <w:rPr>
          <w:szCs w:val="21"/>
        </w:rPr>
      </w:pPr>
      <w:r>
        <w:rPr>
          <w:rFonts w:hint="eastAsia"/>
          <w:szCs w:val="21"/>
        </w:rPr>
        <w:t>（</w:t>
      </w:r>
      <w:r>
        <w:rPr>
          <w:rFonts w:hint="eastAsia"/>
          <w:szCs w:val="21"/>
        </w:rPr>
        <w:t>6</w:t>
      </w:r>
      <w:r>
        <w:rPr>
          <w:rFonts w:hint="eastAsia"/>
          <w:szCs w:val="21"/>
        </w:rPr>
        <w:t>）</w:t>
      </w:r>
      <w:r>
        <w:rPr>
          <w:rFonts w:hAnsi="宋体" w:hint="eastAsia"/>
          <w:szCs w:val="21"/>
        </w:rPr>
        <w:t>样品符合性（格式自拟）</w:t>
      </w:r>
    </w:p>
    <w:p w:rsidR="00C54C61" w:rsidRDefault="00C54C61">
      <w:pPr>
        <w:spacing w:line="360" w:lineRule="auto"/>
        <w:contextualSpacing/>
        <w:rPr>
          <w:rFonts w:ascii="宋体" w:hAnsi="宋体"/>
          <w:color w:val="FF0000"/>
          <w:sz w:val="24"/>
        </w:rPr>
      </w:pPr>
    </w:p>
    <w:p w:rsidR="00C54C61" w:rsidRDefault="00C54C61">
      <w:pPr>
        <w:spacing w:line="360" w:lineRule="auto"/>
        <w:contextualSpacing/>
        <w:rPr>
          <w:rFonts w:ascii="宋体" w:hAnsi="宋体"/>
          <w:color w:val="FF0000"/>
          <w:sz w:val="24"/>
        </w:rPr>
      </w:pPr>
    </w:p>
    <w:p w:rsidR="00C54C61" w:rsidRDefault="00C54C61">
      <w:pPr>
        <w:spacing w:line="360" w:lineRule="auto"/>
        <w:contextualSpacing/>
        <w:rPr>
          <w:rFonts w:ascii="宋体" w:hAnsi="宋体"/>
          <w:color w:val="FF0000"/>
          <w:sz w:val="24"/>
        </w:rPr>
      </w:pPr>
    </w:p>
    <w:p w:rsidR="00C54C61" w:rsidRDefault="00BF3A17">
      <w:pPr>
        <w:spacing w:line="360" w:lineRule="auto"/>
        <w:contextualSpacing/>
        <w:outlineLvl w:val="1"/>
        <w:rPr>
          <w:rFonts w:ascii="宋体" w:hAnsi="宋体"/>
          <w:b/>
          <w:color w:val="FF0000"/>
          <w:sz w:val="28"/>
          <w:szCs w:val="28"/>
        </w:rPr>
      </w:pPr>
      <w:r>
        <w:rPr>
          <w:rFonts w:ascii="宋体" w:hAnsi="宋体" w:hint="eastAsia"/>
          <w:b/>
          <w:color w:val="FF0000"/>
          <w:sz w:val="28"/>
          <w:szCs w:val="28"/>
        </w:rPr>
        <w:t>投标文件正文（信息公开部分）</w:t>
      </w:r>
    </w:p>
    <w:p w:rsidR="00C54C61" w:rsidRDefault="00BF3A17">
      <w:pPr>
        <w:pStyle w:val="30"/>
        <w:spacing w:before="0" w:after="0" w:line="360" w:lineRule="auto"/>
        <w:contextualSpacing/>
        <w:jc w:val="center"/>
        <w:rPr>
          <w:rFonts w:ascii="黑体" w:eastAsia="黑体"/>
          <w:b w:val="0"/>
          <w:sz w:val="24"/>
        </w:rPr>
      </w:pPr>
      <w:r>
        <w:rPr>
          <w:rFonts w:ascii="黑体" w:eastAsia="黑体" w:hint="eastAsia"/>
          <w:b w:val="0"/>
          <w:sz w:val="24"/>
        </w:rPr>
        <w:t>一、投标函</w:t>
      </w:r>
    </w:p>
    <w:p w:rsidR="00C54C61" w:rsidRDefault="00BF3A17">
      <w:pPr>
        <w:spacing w:line="360" w:lineRule="auto"/>
        <w:contextualSpacing/>
        <w:rPr>
          <w:rFonts w:ascii="宋体" w:hAnsi="宋体"/>
          <w:color w:val="FF0000"/>
          <w:szCs w:val="21"/>
        </w:rPr>
      </w:pPr>
      <w:r>
        <w:rPr>
          <w:rFonts w:ascii="宋体" w:hAnsi="宋体" w:hint="eastAsia"/>
          <w:color w:val="FF0000"/>
          <w:szCs w:val="21"/>
        </w:rPr>
        <w:t>致：</w:t>
      </w:r>
      <w:r>
        <w:rPr>
          <w:rFonts w:ascii="宋体" w:hAnsi="宋体" w:hint="eastAsia"/>
          <w:color w:val="FF0000"/>
          <w:szCs w:val="21"/>
          <w:u w:val="single"/>
        </w:rPr>
        <w:t xml:space="preserve">  深圳市国信招标有限公司  </w:t>
      </w:r>
    </w:p>
    <w:p w:rsidR="00C54C61" w:rsidRDefault="00BF3A17">
      <w:pPr>
        <w:spacing w:afterLines="50" w:after="120" w:line="360" w:lineRule="auto"/>
        <w:ind w:firstLineChars="200" w:firstLine="420"/>
        <w:contextualSpacing/>
        <w:rPr>
          <w:szCs w:val="21"/>
        </w:rPr>
      </w:pPr>
      <w:r>
        <w:rPr>
          <w:rFonts w:hint="eastAsia"/>
          <w:szCs w:val="21"/>
        </w:rPr>
        <w:t>1</w:t>
      </w:r>
      <w:r>
        <w:rPr>
          <w:rFonts w:hint="eastAsia"/>
          <w:szCs w:val="21"/>
        </w:rPr>
        <w:t>、根据已收到贵方的招标编号</w:t>
      </w:r>
      <w:r>
        <w:rPr>
          <w:rFonts w:hint="eastAsia"/>
          <w:color w:val="FF0000"/>
          <w:szCs w:val="21"/>
        </w:rPr>
        <w:t>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color w:val="FF0000"/>
          <w:szCs w:val="21"/>
        </w:rPr>
        <w:t>项目</w:t>
      </w:r>
      <w:r>
        <w:rPr>
          <w:rFonts w:hint="eastAsia"/>
          <w:szCs w:val="21"/>
        </w:rPr>
        <w:t>的招标文件，遵照《深圳经济特区政府采购条例》和《深圳网上政府采购管理暂行办法》等有关规定，我单位经研究上述招标文件的专用条款及通用条款后，我方愿以投标书编制软件中《开标一览表》中填写的投标报价并按招标文件要求承包上述项目并修补其任何缺陷。</w:t>
      </w:r>
    </w:p>
    <w:p w:rsidR="00C54C61" w:rsidRDefault="00BF3A17">
      <w:pPr>
        <w:spacing w:afterLines="50" w:after="120" w:line="360" w:lineRule="auto"/>
        <w:ind w:firstLineChars="200" w:firstLine="420"/>
        <w:contextualSpacing/>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rsidR="00C54C61" w:rsidRDefault="00BF3A17">
      <w:pPr>
        <w:spacing w:afterLines="50" w:after="120" w:line="360" w:lineRule="auto"/>
        <w:ind w:firstLineChars="200" w:firstLine="420"/>
        <w:contextualSpacing/>
        <w:rPr>
          <w:szCs w:val="21"/>
        </w:rPr>
      </w:pPr>
      <w:r>
        <w:rPr>
          <w:rFonts w:hint="eastAsia"/>
          <w:szCs w:val="21"/>
        </w:rPr>
        <w:t>3</w:t>
      </w:r>
      <w:r>
        <w:rPr>
          <w:rFonts w:hint="eastAsia"/>
          <w:szCs w:val="21"/>
        </w:rPr>
        <w:t>、如果我方中标，我方将按照规定提交上述总价</w:t>
      </w:r>
      <w:r>
        <w:rPr>
          <w:rFonts w:hint="eastAsia"/>
          <w:szCs w:val="21"/>
          <w:u w:val="single"/>
        </w:rPr>
        <w:t xml:space="preserve">      </w:t>
      </w:r>
      <w:r>
        <w:rPr>
          <w:rFonts w:hint="eastAsia"/>
          <w:szCs w:val="21"/>
        </w:rPr>
        <w:t>％（或</w:t>
      </w:r>
      <w:r>
        <w:rPr>
          <w:rFonts w:hint="eastAsia"/>
          <w:szCs w:val="21"/>
          <w:u w:val="single"/>
        </w:rPr>
        <w:t xml:space="preserve">   </w:t>
      </w:r>
      <w:r>
        <w:rPr>
          <w:rFonts w:hint="eastAsia"/>
          <w:szCs w:val="21"/>
        </w:rPr>
        <w:t>万元）作为履约担保。</w:t>
      </w:r>
    </w:p>
    <w:p w:rsidR="00C54C61" w:rsidRDefault="00BF3A17" w:rsidP="00EE5467">
      <w:pPr>
        <w:spacing w:afterLines="50" w:after="120" w:line="360" w:lineRule="auto"/>
        <w:ind w:firstLineChars="196" w:firstLine="412"/>
        <w:contextualSpacing/>
        <w:rPr>
          <w:rFonts w:ascii="宋体" w:hAnsi="宋体"/>
          <w:szCs w:val="21"/>
        </w:rPr>
      </w:pPr>
      <w:r>
        <w:rPr>
          <w:rFonts w:ascii="宋体" w:hAnsi="宋体" w:hint="eastAsia"/>
          <w:szCs w:val="21"/>
        </w:rPr>
        <w:t>4、我方同意所递交的投标文件在“对通用条款的补充内容”中的投标有效期内有效，在此期间内我方的投标有可能中标，我方将受此约束。</w:t>
      </w:r>
    </w:p>
    <w:p w:rsidR="00C54C61" w:rsidRDefault="00BF3A17" w:rsidP="00EE5467">
      <w:pPr>
        <w:spacing w:afterLines="50" w:after="120" w:line="360" w:lineRule="auto"/>
        <w:ind w:firstLineChars="196" w:firstLine="412"/>
        <w:contextualSpacing/>
        <w:rPr>
          <w:rFonts w:ascii="宋体" w:hAnsi="宋体"/>
          <w:szCs w:val="21"/>
        </w:rPr>
      </w:pPr>
      <w:r>
        <w:rPr>
          <w:rFonts w:ascii="宋体" w:hAnsi="宋体" w:hint="eastAsia"/>
          <w:szCs w:val="21"/>
        </w:rPr>
        <w:t>5、除非另外达成协议并生效，贵方的中标通知书和本投标文件将构成约束我们双方的合同。</w:t>
      </w:r>
    </w:p>
    <w:p w:rsidR="00C54C61" w:rsidRDefault="00BF3A17" w:rsidP="00EE5467">
      <w:pPr>
        <w:spacing w:afterLines="50" w:after="120" w:line="360" w:lineRule="auto"/>
        <w:ind w:firstLineChars="196" w:firstLine="412"/>
        <w:contextualSpacing/>
        <w:rPr>
          <w:rFonts w:ascii="宋体" w:hAnsi="宋体"/>
          <w:szCs w:val="21"/>
        </w:rPr>
      </w:pPr>
      <w:r>
        <w:rPr>
          <w:rFonts w:ascii="宋体" w:hAnsi="宋体" w:hint="eastAsia"/>
          <w:szCs w:val="21"/>
        </w:rPr>
        <w:t>6、我方理解贵方将不受必须接受你们所收到的最低标价或其它任何投标文件的约束。</w:t>
      </w:r>
    </w:p>
    <w:p w:rsidR="00C54C61" w:rsidRDefault="00BF3A17">
      <w:pPr>
        <w:spacing w:line="360" w:lineRule="auto"/>
        <w:ind w:leftChars="257" w:left="540"/>
        <w:contextualSpacing/>
        <w:rPr>
          <w:szCs w:val="21"/>
          <w:u w:val="single"/>
        </w:rPr>
      </w:pPr>
      <w:r>
        <w:rPr>
          <w:rFonts w:hint="eastAsia"/>
          <w:color w:val="FF0000"/>
          <w:szCs w:val="21"/>
        </w:rPr>
        <w:t>投标人：</w:t>
      </w:r>
      <w:r>
        <w:rPr>
          <w:rFonts w:hint="eastAsia"/>
          <w:color w:val="FF0000"/>
          <w:szCs w:val="21"/>
          <w:u w:val="single"/>
        </w:rPr>
        <w:t xml:space="preserve">                   </w:t>
      </w:r>
      <w:r>
        <w:rPr>
          <w:rFonts w:hint="eastAsia"/>
          <w:color w:val="FF0000"/>
          <w:szCs w:val="21"/>
        </w:rPr>
        <w:t xml:space="preserve"> </w:t>
      </w:r>
      <w:r>
        <w:rPr>
          <w:rFonts w:hint="eastAsia"/>
          <w:szCs w:val="21"/>
        </w:rPr>
        <w:t xml:space="preserve">   </w:t>
      </w:r>
      <w:r>
        <w:rPr>
          <w:rFonts w:hint="eastAsia"/>
          <w:szCs w:val="21"/>
        </w:rPr>
        <w:t>单位地址：</w:t>
      </w:r>
      <w:r>
        <w:rPr>
          <w:rFonts w:hint="eastAsia"/>
          <w:szCs w:val="21"/>
          <w:u w:val="single"/>
        </w:rPr>
        <w:t xml:space="preserve">               </w:t>
      </w:r>
    </w:p>
    <w:p w:rsidR="00C54C61" w:rsidRDefault="00BF3A17">
      <w:pPr>
        <w:spacing w:line="360" w:lineRule="auto"/>
        <w:ind w:leftChars="257" w:left="540"/>
        <w:contextualSpacing/>
        <w:rPr>
          <w:szCs w:val="21"/>
          <w:u w:val="single"/>
        </w:rPr>
      </w:pPr>
      <w:r>
        <w:rPr>
          <w:rFonts w:hint="eastAsia"/>
          <w:color w:val="FF0000"/>
          <w:szCs w:val="21"/>
        </w:rPr>
        <w:t>法定代表人或其委托代理人：</w:t>
      </w:r>
      <w:r>
        <w:rPr>
          <w:rFonts w:hint="eastAsia"/>
          <w:color w:val="FF0000"/>
          <w:szCs w:val="21"/>
          <w:u w:val="single"/>
        </w:rPr>
        <w:t xml:space="preserve">                   </w:t>
      </w:r>
    </w:p>
    <w:p w:rsidR="00C54C61" w:rsidRDefault="00BF3A17">
      <w:pPr>
        <w:spacing w:line="360" w:lineRule="auto"/>
        <w:ind w:leftChars="257" w:left="540"/>
        <w:contextualSpacing/>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rsidR="00C54C61" w:rsidRDefault="00BF3A17">
      <w:pPr>
        <w:spacing w:line="360" w:lineRule="auto"/>
        <w:ind w:leftChars="257" w:left="540"/>
        <w:contextualSpacing/>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C54C61" w:rsidRDefault="00BF3A17">
      <w:pPr>
        <w:spacing w:line="360" w:lineRule="auto"/>
        <w:ind w:leftChars="257" w:left="540"/>
        <w:contextualSpacing/>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C54C61" w:rsidRDefault="00BF3A17" w:rsidP="00EE5467">
      <w:pPr>
        <w:spacing w:line="360" w:lineRule="auto"/>
        <w:ind w:firstLineChars="257" w:firstLine="540"/>
        <w:contextualSpacing/>
        <w:rPr>
          <w:sz w:val="24"/>
        </w:rPr>
      </w:pPr>
      <w:r>
        <w:rPr>
          <w:rFonts w:ascii="宋体" w:hAnsi="宋体" w:hint="eastAsia"/>
          <w:color w:val="FF0000"/>
          <w:szCs w:val="21"/>
        </w:rPr>
        <w:t>日期：</w:t>
      </w:r>
      <w:r>
        <w:rPr>
          <w:rFonts w:ascii="宋体" w:hAnsi="宋体" w:hint="eastAsia"/>
          <w:color w:val="FF0000"/>
          <w:szCs w:val="21"/>
          <w:u w:val="single"/>
        </w:rPr>
        <w:t xml:space="preserve">       </w:t>
      </w:r>
      <w:r>
        <w:rPr>
          <w:rFonts w:ascii="宋体" w:hAnsi="宋体" w:hint="eastAsia"/>
          <w:color w:val="FF0000"/>
          <w:szCs w:val="21"/>
        </w:rPr>
        <w:t>年</w:t>
      </w:r>
      <w:r>
        <w:rPr>
          <w:rFonts w:ascii="宋体" w:hAnsi="宋体" w:hint="eastAsia"/>
          <w:color w:val="FF0000"/>
          <w:szCs w:val="21"/>
          <w:u w:val="single"/>
        </w:rPr>
        <w:t xml:space="preserve">     </w:t>
      </w:r>
      <w:r>
        <w:rPr>
          <w:rFonts w:ascii="宋体" w:hAnsi="宋体" w:hint="eastAsia"/>
          <w:color w:val="FF0000"/>
          <w:szCs w:val="21"/>
        </w:rPr>
        <w:t>月</w:t>
      </w:r>
      <w:r>
        <w:rPr>
          <w:rFonts w:ascii="宋体" w:hAnsi="宋体" w:hint="eastAsia"/>
          <w:color w:val="FF0000"/>
          <w:szCs w:val="21"/>
          <w:u w:val="single"/>
        </w:rPr>
        <w:t xml:space="preserve">    </w:t>
      </w:r>
      <w:r>
        <w:rPr>
          <w:rFonts w:ascii="宋体" w:hAnsi="宋体" w:hint="eastAsia"/>
          <w:color w:val="FF0000"/>
          <w:szCs w:val="21"/>
        </w:rPr>
        <w:t>日</w:t>
      </w:r>
      <w:r>
        <w:rPr>
          <w:rFonts w:hint="eastAsia"/>
          <w:color w:val="FF0000"/>
          <w:sz w:val="24"/>
        </w:rPr>
        <w:t xml:space="preserve"> </w:t>
      </w:r>
      <w:r>
        <w:rPr>
          <w:rFonts w:hint="eastAsia"/>
          <w:sz w:val="24"/>
        </w:rPr>
        <w:t xml:space="preserve">                               </w:t>
      </w:r>
    </w:p>
    <w:p w:rsidR="00C54C61" w:rsidRDefault="00C54C61">
      <w:pPr>
        <w:spacing w:line="360" w:lineRule="auto"/>
        <w:contextualSpacing/>
        <w:rPr>
          <w:rFonts w:ascii="黑体" w:eastAsia="黑体" w:hAnsi="宋体"/>
        </w:rPr>
      </w:pPr>
    </w:p>
    <w:p w:rsidR="00C54C61" w:rsidRDefault="00BF3A17">
      <w:pPr>
        <w:pStyle w:val="30"/>
        <w:spacing w:before="0" w:after="0" w:line="360" w:lineRule="auto"/>
        <w:contextualSpacing/>
        <w:jc w:val="center"/>
        <w:rPr>
          <w:rFonts w:ascii="黑体" w:eastAsia="黑体"/>
          <w:b w:val="0"/>
          <w:sz w:val="24"/>
        </w:rPr>
      </w:pPr>
      <w:r>
        <w:rPr>
          <w:rFonts w:ascii="黑体" w:eastAsia="黑体" w:hint="eastAsia"/>
          <w:b w:val="0"/>
          <w:sz w:val="24"/>
        </w:rPr>
        <w:t>二、</w:t>
      </w:r>
      <w:r>
        <w:rPr>
          <w:rFonts w:hint="eastAsia"/>
          <w:szCs w:val="21"/>
        </w:rPr>
        <w:t>政府采购投标及履约承诺函</w:t>
      </w:r>
    </w:p>
    <w:p w:rsidR="00C54C61" w:rsidRDefault="00BF3A17">
      <w:pPr>
        <w:spacing w:line="360" w:lineRule="auto"/>
        <w:contextualSpacing/>
        <w:rPr>
          <w:rFonts w:ascii="宋体" w:hAnsi="宋体"/>
          <w:color w:val="FF0000"/>
          <w:szCs w:val="21"/>
        </w:rPr>
      </w:pPr>
      <w:r>
        <w:rPr>
          <w:rFonts w:ascii="宋体" w:hAnsi="宋体" w:hint="eastAsia"/>
          <w:color w:val="FF0000"/>
          <w:szCs w:val="21"/>
        </w:rPr>
        <w:t>致：深圳市国信招标有限公司</w:t>
      </w:r>
    </w:p>
    <w:p w:rsidR="00C54C61" w:rsidRDefault="00BF3A17">
      <w:pPr>
        <w:spacing w:line="360" w:lineRule="auto"/>
        <w:ind w:right="-815" w:firstLineChars="200" w:firstLine="420"/>
        <w:contextualSpacing/>
        <w:rPr>
          <w:rFonts w:ascii="宋体" w:hAnsi="宋体"/>
          <w:szCs w:val="21"/>
        </w:rPr>
      </w:pPr>
      <w:r>
        <w:rPr>
          <w:rFonts w:ascii="宋体" w:hAnsi="宋体" w:hint="eastAsia"/>
          <w:szCs w:val="21"/>
        </w:rPr>
        <w:t>我公司承诺：</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1.我公司本招标项目所提供的货物或服务未侵犯知识产权。</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2.我公司参与本项目投标前三年内，在经营活动中没有重大违法记录。</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3.我公司参与本项目</w:t>
      </w:r>
      <w:r>
        <w:rPr>
          <w:rFonts w:hint="eastAsia"/>
        </w:rPr>
        <w:t>政府采购活动时不存在被有关部门禁止参与政府采购活动且在有效期内的情况。</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4.我公司具备《中华人民共和国政府采购法》第二十二条第一款规定的六项条件。</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5.我公司</w:t>
      </w:r>
      <w:r>
        <w:rPr>
          <w:rFonts w:hint="eastAsia"/>
        </w:rPr>
        <w:t>未被列入失信被执行人、重大税收违法案件当事人名单、政府采购严重违法失信行为记录名单</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7.我公司如果中标，做到守信，不偷工减料，依照本项目招标文件需求内容、签署的采购合同及本公司在投标中所作的一切承诺履约。项目验收达到全部指标合格，力争优良。</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10.我公司承诺不非法转包、分包。</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以上承诺，如有违反，愿依照国家相关法律处理，并承担由此给采购人带来的损失。</w:t>
      </w:r>
    </w:p>
    <w:p w:rsidR="00C54C61" w:rsidRDefault="00BF3A17">
      <w:pPr>
        <w:spacing w:beforeLines="25" w:before="60" w:afterLines="25" w:after="60" w:line="360" w:lineRule="auto"/>
        <w:ind w:firstLineChars="2600" w:firstLine="5460"/>
        <w:contextualSpacing/>
        <w:rPr>
          <w:rFonts w:ascii="宋体" w:hAnsi="宋体"/>
          <w:szCs w:val="21"/>
        </w:rPr>
      </w:pPr>
      <w:r>
        <w:rPr>
          <w:rFonts w:ascii="宋体" w:hAnsi="宋体" w:hint="eastAsia"/>
          <w:szCs w:val="21"/>
        </w:rPr>
        <w:t xml:space="preserve">                                    </w:t>
      </w:r>
    </w:p>
    <w:p w:rsidR="00C54C61" w:rsidRDefault="00BF3A17">
      <w:pPr>
        <w:spacing w:beforeLines="25" w:before="60" w:afterLines="25" w:after="60" w:line="360" w:lineRule="auto"/>
        <w:ind w:firstLineChars="2600" w:firstLine="5460"/>
        <w:contextualSpacing/>
        <w:rPr>
          <w:color w:val="FF0000"/>
        </w:rPr>
      </w:pPr>
      <w:r>
        <w:rPr>
          <w:rFonts w:hint="eastAsia"/>
          <w:color w:val="FF0000"/>
          <w:szCs w:val="21"/>
        </w:rPr>
        <w:t>投标人：</w:t>
      </w:r>
      <w:r>
        <w:rPr>
          <w:rFonts w:hint="eastAsia"/>
          <w:color w:val="FF0000"/>
          <w:szCs w:val="21"/>
          <w:u w:val="single"/>
        </w:rPr>
        <w:t xml:space="preserve">              </w:t>
      </w:r>
    </w:p>
    <w:p w:rsidR="00C54C61" w:rsidRDefault="00BF3A17">
      <w:pPr>
        <w:spacing w:line="360" w:lineRule="auto"/>
        <w:ind w:firstLine="645"/>
        <w:contextualSpacing/>
        <w:rPr>
          <w:rFonts w:ascii="宋体" w:hAnsi="宋体"/>
          <w:color w:val="FF0000"/>
          <w:szCs w:val="21"/>
        </w:rPr>
      </w:pPr>
      <w:r>
        <w:rPr>
          <w:rFonts w:ascii="宋体" w:hAnsi="宋体" w:hint="eastAsia"/>
          <w:color w:val="FF0000"/>
          <w:szCs w:val="21"/>
        </w:rPr>
        <w:t xml:space="preserve">                                              日期：</w:t>
      </w:r>
      <w:r>
        <w:rPr>
          <w:rFonts w:ascii="宋体" w:hAnsi="宋体" w:hint="eastAsia"/>
          <w:color w:val="FF0000"/>
          <w:szCs w:val="21"/>
          <w:u w:val="single"/>
        </w:rPr>
        <w:t xml:space="preserve">    </w:t>
      </w:r>
      <w:r>
        <w:rPr>
          <w:rFonts w:ascii="宋体" w:hAnsi="宋体" w:hint="eastAsia"/>
          <w:color w:val="FF0000"/>
          <w:szCs w:val="21"/>
        </w:rPr>
        <w:t>年</w:t>
      </w:r>
      <w:r>
        <w:rPr>
          <w:rFonts w:ascii="宋体" w:hAnsi="宋体" w:hint="eastAsia"/>
          <w:color w:val="FF0000"/>
          <w:szCs w:val="21"/>
          <w:u w:val="single"/>
        </w:rPr>
        <w:t xml:space="preserve">   </w:t>
      </w:r>
      <w:r>
        <w:rPr>
          <w:rFonts w:ascii="宋体" w:hAnsi="宋体" w:hint="eastAsia"/>
          <w:color w:val="FF0000"/>
          <w:szCs w:val="21"/>
        </w:rPr>
        <w:t>月</w:t>
      </w:r>
      <w:r>
        <w:rPr>
          <w:rFonts w:ascii="宋体" w:hAnsi="宋体" w:hint="eastAsia"/>
          <w:color w:val="FF0000"/>
          <w:szCs w:val="21"/>
          <w:u w:val="single"/>
        </w:rPr>
        <w:t xml:space="preserve">   </w:t>
      </w:r>
      <w:r>
        <w:rPr>
          <w:rFonts w:ascii="宋体" w:hAnsi="宋体" w:hint="eastAsia"/>
          <w:color w:val="FF0000"/>
          <w:szCs w:val="21"/>
        </w:rPr>
        <w:t>日</w:t>
      </w:r>
    </w:p>
    <w:p w:rsidR="00C54C61" w:rsidRDefault="00C54C61">
      <w:pPr>
        <w:spacing w:line="360" w:lineRule="auto"/>
        <w:ind w:firstLine="645"/>
        <w:contextualSpacing/>
        <w:rPr>
          <w:rFonts w:ascii="宋体" w:hAnsi="宋体"/>
          <w:szCs w:val="21"/>
        </w:rPr>
      </w:pPr>
    </w:p>
    <w:p w:rsidR="00C54C61" w:rsidRDefault="00C54C61">
      <w:pPr>
        <w:spacing w:line="360" w:lineRule="auto"/>
        <w:ind w:firstLine="645"/>
        <w:contextualSpacing/>
        <w:rPr>
          <w:rFonts w:ascii="宋体" w:hAnsi="宋体"/>
          <w:szCs w:val="21"/>
        </w:rPr>
      </w:pPr>
    </w:p>
    <w:p w:rsidR="00C54C61" w:rsidRDefault="00C54C61">
      <w:pPr>
        <w:spacing w:line="360" w:lineRule="auto"/>
        <w:ind w:firstLine="645"/>
        <w:contextualSpacing/>
        <w:rPr>
          <w:rFonts w:ascii="宋体" w:hAnsi="宋体"/>
          <w:szCs w:val="21"/>
        </w:rPr>
      </w:pPr>
    </w:p>
    <w:p w:rsidR="00C54C61" w:rsidRDefault="00C54C61">
      <w:pPr>
        <w:spacing w:line="360" w:lineRule="auto"/>
        <w:ind w:firstLine="645"/>
        <w:contextualSpacing/>
        <w:rPr>
          <w:rFonts w:ascii="宋体"/>
          <w:b/>
          <w:szCs w:val="21"/>
        </w:rPr>
      </w:pPr>
    </w:p>
    <w:p w:rsidR="00C54C61" w:rsidRDefault="00BF3A17">
      <w:pPr>
        <w:pStyle w:val="30"/>
        <w:spacing w:before="0" w:after="0" w:line="360" w:lineRule="auto"/>
        <w:contextualSpacing/>
        <w:jc w:val="center"/>
        <w:rPr>
          <w:rFonts w:ascii="黑体" w:eastAsia="黑体"/>
          <w:b w:val="0"/>
          <w:sz w:val="24"/>
          <w:szCs w:val="24"/>
        </w:rPr>
      </w:pPr>
      <w:r>
        <w:rPr>
          <w:rFonts w:ascii="黑体" w:eastAsia="黑体" w:hint="eastAsia"/>
          <w:b w:val="0"/>
          <w:sz w:val="24"/>
          <w:szCs w:val="24"/>
        </w:rPr>
        <w:t>三、分项报价清单</w:t>
      </w:r>
    </w:p>
    <w:p w:rsidR="00C54C61" w:rsidRDefault="00BF3A17">
      <w:pPr>
        <w:numPr>
          <w:ilvl w:val="0"/>
          <w:numId w:val="12"/>
        </w:numPr>
        <w:spacing w:line="360" w:lineRule="auto"/>
        <w:contextualSpacing/>
        <w:jc w:val="center"/>
        <w:rPr>
          <w:b/>
          <w:sz w:val="24"/>
        </w:rPr>
      </w:pPr>
      <w:r>
        <w:rPr>
          <w:rFonts w:hint="eastAsia"/>
          <w:b/>
          <w:sz w:val="24"/>
        </w:rPr>
        <w:t>项目报价表</w:t>
      </w:r>
    </w:p>
    <w:p w:rsidR="00C54C61" w:rsidRDefault="00C54C61">
      <w:pPr>
        <w:spacing w:line="360" w:lineRule="auto"/>
        <w:contextualSpacing/>
      </w:pP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436"/>
        <w:gridCol w:w="832"/>
        <w:gridCol w:w="1114"/>
        <w:gridCol w:w="691"/>
        <w:gridCol w:w="672"/>
        <w:gridCol w:w="429"/>
        <w:gridCol w:w="691"/>
        <w:gridCol w:w="691"/>
        <w:gridCol w:w="692"/>
        <w:gridCol w:w="846"/>
      </w:tblGrid>
      <w:tr w:rsidR="00C54C61">
        <w:trPr>
          <w:jc w:val="center"/>
        </w:trPr>
        <w:tc>
          <w:tcPr>
            <w:tcW w:w="247" w:type="pct"/>
          </w:tcPr>
          <w:p w:rsidR="00C54C61" w:rsidRDefault="00BF3A17">
            <w:pPr>
              <w:spacing w:line="360" w:lineRule="auto"/>
              <w:contextualSpacing/>
              <w:jc w:val="center"/>
              <w:rPr>
                <w:szCs w:val="21"/>
              </w:rPr>
            </w:pPr>
            <w:r>
              <w:rPr>
                <w:rFonts w:hint="eastAsia"/>
                <w:szCs w:val="21"/>
              </w:rPr>
              <w:t>序号</w:t>
            </w:r>
          </w:p>
        </w:tc>
        <w:tc>
          <w:tcPr>
            <w:tcW w:w="849" w:type="pct"/>
            <w:vAlign w:val="center"/>
          </w:tcPr>
          <w:p w:rsidR="00C54C61" w:rsidRDefault="00BF3A17">
            <w:pPr>
              <w:spacing w:line="360" w:lineRule="auto"/>
              <w:contextualSpacing/>
              <w:jc w:val="center"/>
              <w:rPr>
                <w:szCs w:val="21"/>
              </w:rPr>
            </w:pPr>
            <w:r>
              <w:rPr>
                <w:rFonts w:hint="eastAsia"/>
                <w:szCs w:val="21"/>
              </w:rPr>
              <w:t>采购计划编号</w:t>
            </w:r>
          </w:p>
        </w:tc>
        <w:tc>
          <w:tcPr>
            <w:tcW w:w="495" w:type="pct"/>
            <w:vAlign w:val="center"/>
          </w:tcPr>
          <w:p w:rsidR="00C54C61" w:rsidRDefault="00BF3A17">
            <w:pPr>
              <w:spacing w:line="360" w:lineRule="auto"/>
              <w:contextualSpacing/>
              <w:jc w:val="center"/>
              <w:rPr>
                <w:szCs w:val="21"/>
              </w:rPr>
            </w:pPr>
            <w:r>
              <w:rPr>
                <w:rFonts w:hint="eastAsia"/>
                <w:szCs w:val="21"/>
              </w:rPr>
              <w:t>货物名称</w:t>
            </w:r>
          </w:p>
        </w:tc>
        <w:tc>
          <w:tcPr>
            <w:tcW w:w="660" w:type="pct"/>
            <w:vAlign w:val="center"/>
          </w:tcPr>
          <w:p w:rsidR="00C54C61" w:rsidRDefault="00BF3A17">
            <w:pPr>
              <w:spacing w:line="360" w:lineRule="auto"/>
              <w:contextualSpacing/>
              <w:jc w:val="center"/>
              <w:rPr>
                <w:szCs w:val="21"/>
              </w:rPr>
            </w:pPr>
            <w:r>
              <w:rPr>
                <w:rFonts w:hint="eastAsia"/>
                <w:szCs w:val="21"/>
              </w:rPr>
              <w:t>规格</w:t>
            </w:r>
            <w:r>
              <w:rPr>
                <w:rFonts w:hint="eastAsia"/>
                <w:szCs w:val="21"/>
              </w:rPr>
              <w:t>/</w:t>
            </w:r>
            <w:r>
              <w:rPr>
                <w:rFonts w:hint="eastAsia"/>
                <w:szCs w:val="21"/>
              </w:rPr>
              <w:t>型号</w:t>
            </w:r>
          </w:p>
        </w:tc>
        <w:tc>
          <w:tcPr>
            <w:tcW w:w="412" w:type="pct"/>
            <w:vAlign w:val="center"/>
          </w:tcPr>
          <w:p w:rsidR="00C54C61" w:rsidRDefault="00BF3A17">
            <w:pPr>
              <w:spacing w:line="360" w:lineRule="auto"/>
              <w:contextualSpacing/>
              <w:jc w:val="center"/>
              <w:rPr>
                <w:b/>
                <w:color w:val="FF0000"/>
                <w:szCs w:val="21"/>
              </w:rPr>
            </w:pPr>
            <w:r>
              <w:rPr>
                <w:rFonts w:hint="eastAsia"/>
                <w:b/>
                <w:color w:val="FF0000"/>
                <w:szCs w:val="21"/>
              </w:rPr>
              <w:t>原产地</w:t>
            </w:r>
          </w:p>
        </w:tc>
        <w:tc>
          <w:tcPr>
            <w:tcW w:w="401" w:type="pct"/>
            <w:vAlign w:val="center"/>
          </w:tcPr>
          <w:p w:rsidR="00C54C61" w:rsidRDefault="00BF3A17">
            <w:pPr>
              <w:spacing w:line="360" w:lineRule="auto"/>
              <w:contextualSpacing/>
              <w:jc w:val="center"/>
              <w:rPr>
                <w:szCs w:val="21"/>
              </w:rPr>
            </w:pPr>
            <w:r>
              <w:rPr>
                <w:rFonts w:hint="eastAsia"/>
                <w:szCs w:val="21"/>
              </w:rPr>
              <w:t>制造商名称</w:t>
            </w:r>
          </w:p>
        </w:tc>
        <w:tc>
          <w:tcPr>
            <w:tcW w:w="258" w:type="pct"/>
            <w:vAlign w:val="center"/>
          </w:tcPr>
          <w:p w:rsidR="00C54C61" w:rsidRDefault="00BF3A17">
            <w:pPr>
              <w:spacing w:line="360" w:lineRule="auto"/>
              <w:contextualSpacing/>
              <w:jc w:val="center"/>
              <w:rPr>
                <w:szCs w:val="21"/>
              </w:rPr>
            </w:pPr>
            <w:r>
              <w:rPr>
                <w:rFonts w:hint="eastAsia"/>
                <w:szCs w:val="21"/>
              </w:rPr>
              <w:t>数量</w:t>
            </w:r>
          </w:p>
        </w:tc>
        <w:tc>
          <w:tcPr>
            <w:tcW w:w="412" w:type="pct"/>
            <w:vAlign w:val="center"/>
          </w:tcPr>
          <w:p w:rsidR="00C54C61" w:rsidRDefault="00BF3A17">
            <w:pPr>
              <w:spacing w:line="360" w:lineRule="auto"/>
              <w:contextualSpacing/>
              <w:jc w:val="center"/>
              <w:rPr>
                <w:szCs w:val="21"/>
              </w:rPr>
            </w:pPr>
            <w:r>
              <w:rPr>
                <w:rFonts w:hint="eastAsia"/>
                <w:szCs w:val="21"/>
              </w:rPr>
              <w:t>单位</w:t>
            </w:r>
          </w:p>
        </w:tc>
        <w:tc>
          <w:tcPr>
            <w:tcW w:w="412" w:type="pct"/>
            <w:vAlign w:val="center"/>
          </w:tcPr>
          <w:p w:rsidR="00C54C61" w:rsidRDefault="00BF3A17">
            <w:pPr>
              <w:spacing w:line="360" w:lineRule="auto"/>
              <w:contextualSpacing/>
              <w:jc w:val="center"/>
              <w:rPr>
                <w:szCs w:val="21"/>
              </w:rPr>
            </w:pPr>
            <w:r>
              <w:rPr>
                <w:rFonts w:hint="eastAsia"/>
                <w:szCs w:val="21"/>
              </w:rPr>
              <w:t>单价</w:t>
            </w:r>
            <w:r>
              <w:rPr>
                <w:rFonts w:hint="eastAsia"/>
                <w:szCs w:val="21"/>
              </w:rPr>
              <w:t>(</w:t>
            </w:r>
            <w:r>
              <w:rPr>
                <w:rFonts w:hint="eastAsia"/>
                <w:szCs w:val="21"/>
              </w:rPr>
              <w:t>元</w:t>
            </w:r>
            <w:r>
              <w:rPr>
                <w:rFonts w:hint="eastAsia"/>
                <w:szCs w:val="21"/>
              </w:rPr>
              <w:t>)</w:t>
            </w:r>
          </w:p>
        </w:tc>
        <w:tc>
          <w:tcPr>
            <w:tcW w:w="412" w:type="pct"/>
            <w:vAlign w:val="center"/>
          </w:tcPr>
          <w:p w:rsidR="00C54C61" w:rsidRDefault="00BF3A17">
            <w:pPr>
              <w:spacing w:line="360" w:lineRule="auto"/>
              <w:contextualSpacing/>
              <w:jc w:val="center"/>
              <w:rPr>
                <w:szCs w:val="21"/>
              </w:rPr>
            </w:pPr>
            <w:r>
              <w:rPr>
                <w:rFonts w:hint="eastAsia"/>
                <w:szCs w:val="21"/>
              </w:rPr>
              <w:t>合价</w:t>
            </w:r>
            <w:r>
              <w:rPr>
                <w:rFonts w:hint="eastAsia"/>
                <w:szCs w:val="21"/>
              </w:rPr>
              <w:t>(</w:t>
            </w:r>
            <w:r>
              <w:rPr>
                <w:rFonts w:hint="eastAsia"/>
                <w:szCs w:val="21"/>
              </w:rPr>
              <w:t>元</w:t>
            </w:r>
            <w:r>
              <w:rPr>
                <w:rFonts w:hint="eastAsia"/>
                <w:szCs w:val="21"/>
              </w:rPr>
              <w:t>)</w:t>
            </w:r>
          </w:p>
        </w:tc>
        <w:tc>
          <w:tcPr>
            <w:tcW w:w="438" w:type="pct"/>
            <w:vAlign w:val="center"/>
          </w:tcPr>
          <w:p w:rsidR="00C54C61" w:rsidRDefault="00BF3A17">
            <w:pPr>
              <w:spacing w:line="360" w:lineRule="auto"/>
              <w:contextualSpacing/>
              <w:jc w:val="center"/>
              <w:rPr>
                <w:szCs w:val="21"/>
              </w:rPr>
            </w:pPr>
            <w:r>
              <w:rPr>
                <w:rFonts w:hint="eastAsia"/>
                <w:szCs w:val="21"/>
              </w:rPr>
              <w:t>财政预算限额（元）</w:t>
            </w:r>
          </w:p>
        </w:tc>
      </w:tr>
      <w:tr w:rsidR="00C54C61">
        <w:trPr>
          <w:jc w:val="center"/>
        </w:trPr>
        <w:tc>
          <w:tcPr>
            <w:tcW w:w="247" w:type="pct"/>
          </w:tcPr>
          <w:p w:rsidR="00C54C61" w:rsidRDefault="00C54C61">
            <w:pPr>
              <w:spacing w:line="360" w:lineRule="auto"/>
              <w:contextualSpacing/>
              <w:rPr>
                <w:sz w:val="24"/>
              </w:rPr>
            </w:pPr>
          </w:p>
        </w:tc>
        <w:tc>
          <w:tcPr>
            <w:tcW w:w="849" w:type="pct"/>
          </w:tcPr>
          <w:p w:rsidR="00C54C61" w:rsidRDefault="00C54C61">
            <w:pPr>
              <w:spacing w:line="360" w:lineRule="auto"/>
              <w:contextualSpacing/>
              <w:rPr>
                <w:sz w:val="24"/>
              </w:rPr>
            </w:pPr>
          </w:p>
        </w:tc>
        <w:tc>
          <w:tcPr>
            <w:tcW w:w="495" w:type="pct"/>
          </w:tcPr>
          <w:p w:rsidR="00C54C61" w:rsidRDefault="00C54C61">
            <w:pPr>
              <w:spacing w:line="360" w:lineRule="auto"/>
              <w:contextualSpacing/>
              <w:rPr>
                <w:sz w:val="24"/>
              </w:rPr>
            </w:pPr>
          </w:p>
        </w:tc>
        <w:tc>
          <w:tcPr>
            <w:tcW w:w="660"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01" w:type="pct"/>
          </w:tcPr>
          <w:p w:rsidR="00C54C61" w:rsidRDefault="00C54C61">
            <w:pPr>
              <w:spacing w:line="360" w:lineRule="auto"/>
              <w:contextualSpacing/>
              <w:rPr>
                <w:sz w:val="24"/>
              </w:rPr>
            </w:pPr>
          </w:p>
        </w:tc>
        <w:tc>
          <w:tcPr>
            <w:tcW w:w="258"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38" w:type="pct"/>
          </w:tcPr>
          <w:p w:rsidR="00C54C61" w:rsidRDefault="00C54C61">
            <w:pPr>
              <w:spacing w:line="360" w:lineRule="auto"/>
              <w:contextualSpacing/>
              <w:rPr>
                <w:sz w:val="24"/>
              </w:rPr>
            </w:pPr>
          </w:p>
        </w:tc>
      </w:tr>
      <w:tr w:rsidR="00C54C61">
        <w:trPr>
          <w:jc w:val="center"/>
        </w:trPr>
        <w:tc>
          <w:tcPr>
            <w:tcW w:w="247" w:type="pct"/>
          </w:tcPr>
          <w:p w:rsidR="00C54C61" w:rsidRDefault="00C54C61">
            <w:pPr>
              <w:spacing w:line="360" w:lineRule="auto"/>
              <w:contextualSpacing/>
              <w:rPr>
                <w:sz w:val="24"/>
              </w:rPr>
            </w:pPr>
          </w:p>
        </w:tc>
        <w:tc>
          <w:tcPr>
            <w:tcW w:w="849" w:type="pct"/>
          </w:tcPr>
          <w:p w:rsidR="00C54C61" w:rsidRDefault="00C54C61">
            <w:pPr>
              <w:spacing w:line="360" w:lineRule="auto"/>
              <w:contextualSpacing/>
              <w:rPr>
                <w:sz w:val="24"/>
              </w:rPr>
            </w:pPr>
          </w:p>
        </w:tc>
        <w:tc>
          <w:tcPr>
            <w:tcW w:w="495" w:type="pct"/>
          </w:tcPr>
          <w:p w:rsidR="00C54C61" w:rsidRDefault="00C54C61">
            <w:pPr>
              <w:spacing w:line="360" w:lineRule="auto"/>
              <w:contextualSpacing/>
              <w:rPr>
                <w:sz w:val="24"/>
              </w:rPr>
            </w:pPr>
          </w:p>
        </w:tc>
        <w:tc>
          <w:tcPr>
            <w:tcW w:w="660"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01" w:type="pct"/>
          </w:tcPr>
          <w:p w:rsidR="00C54C61" w:rsidRDefault="00C54C61">
            <w:pPr>
              <w:spacing w:line="360" w:lineRule="auto"/>
              <w:contextualSpacing/>
              <w:rPr>
                <w:sz w:val="24"/>
              </w:rPr>
            </w:pPr>
          </w:p>
        </w:tc>
        <w:tc>
          <w:tcPr>
            <w:tcW w:w="258"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38" w:type="pct"/>
          </w:tcPr>
          <w:p w:rsidR="00C54C61" w:rsidRDefault="00C54C61">
            <w:pPr>
              <w:spacing w:line="360" w:lineRule="auto"/>
              <w:contextualSpacing/>
              <w:rPr>
                <w:sz w:val="24"/>
              </w:rPr>
            </w:pPr>
          </w:p>
        </w:tc>
      </w:tr>
      <w:tr w:rsidR="00C54C61">
        <w:trPr>
          <w:jc w:val="center"/>
        </w:trPr>
        <w:tc>
          <w:tcPr>
            <w:tcW w:w="247" w:type="pct"/>
          </w:tcPr>
          <w:p w:rsidR="00C54C61" w:rsidRDefault="00C54C61">
            <w:pPr>
              <w:spacing w:line="360" w:lineRule="auto"/>
              <w:contextualSpacing/>
              <w:rPr>
                <w:sz w:val="24"/>
              </w:rPr>
            </w:pPr>
          </w:p>
        </w:tc>
        <w:tc>
          <w:tcPr>
            <w:tcW w:w="849" w:type="pct"/>
          </w:tcPr>
          <w:p w:rsidR="00C54C61" w:rsidRDefault="00C54C61">
            <w:pPr>
              <w:spacing w:line="360" w:lineRule="auto"/>
              <w:contextualSpacing/>
              <w:rPr>
                <w:sz w:val="24"/>
              </w:rPr>
            </w:pPr>
          </w:p>
        </w:tc>
        <w:tc>
          <w:tcPr>
            <w:tcW w:w="495" w:type="pct"/>
          </w:tcPr>
          <w:p w:rsidR="00C54C61" w:rsidRDefault="00C54C61">
            <w:pPr>
              <w:spacing w:line="360" w:lineRule="auto"/>
              <w:contextualSpacing/>
              <w:rPr>
                <w:sz w:val="24"/>
              </w:rPr>
            </w:pPr>
          </w:p>
        </w:tc>
        <w:tc>
          <w:tcPr>
            <w:tcW w:w="660"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01" w:type="pct"/>
          </w:tcPr>
          <w:p w:rsidR="00C54C61" w:rsidRDefault="00C54C61">
            <w:pPr>
              <w:spacing w:line="360" w:lineRule="auto"/>
              <w:contextualSpacing/>
              <w:rPr>
                <w:sz w:val="24"/>
              </w:rPr>
            </w:pPr>
          </w:p>
        </w:tc>
        <w:tc>
          <w:tcPr>
            <w:tcW w:w="258"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38" w:type="pct"/>
          </w:tcPr>
          <w:p w:rsidR="00C54C61" w:rsidRDefault="00C54C61">
            <w:pPr>
              <w:spacing w:line="360" w:lineRule="auto"/>
              <w:contextualSpacing/>
              <w:rPr>
                <w:sz w:val="24"/>
              </w:rPr>
            </w:pPr>
          </w:p>
        </w:tc>
      </w:tr>
      <w:tr w:rsidR="00C54C61">
        <w:trPr>
          <w:jc w:val="center"/>
        </w:trPr>
        <w:tc>
          <w:tcPr>
            <w:tcW w:w="247" w:type="pct"/>
          </w:tcPr>
          <w:p w:rsidR="00C54C61" w:rsidRDefault="00C54C61">
            <w:pPr>
              <w:spacing w:line="360" w:lineRule="auto"/>
              <w:contextualSpacing/>
              <w:rPr>
                <w:sz w:val="24"/>
              </w:rPr>
            </w:pPr>
          </w:p>
        </w:tc>
        <w:tc>
          <w:tcPr>
            <w:tcW w:w="849" w:type="pct"/>
          </w:tcPr>
          <w:p w:rsidR="00C54C61" w:rsidRDefault="00C54C61">
            <w:pPr>
              <w:spacing w:line="360" w:lineRule="auto"/>
              <w:contextualSpacing/>
              <w:rPr>
                <w:sz w:val="24"/>
              </w:rPr>
            </w:pPr>
          </w:p>
        </w:tc>
        <w:tc>
          <w:tcPr>
            <w:tcW w:w="495" w:type="pct"/>
          </w:tcPr>
          <w:p w:rsidR="00C54C61" w:rsidRDefault="00C54C61">
            <w:pPr>
              <w:spacing w:line="360" w:lineRule="auto"/>
              <w:contextualSpacing/>
              <w:rPr>
                <w:sz w:val="24"/>
              </w:rPr>
            </w:pPr>
          </w:p>
        </w:tc>
        <w:tc>
          <w:tcPr>
            <w:tcW w:w="660"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01" w:type="pct"/>
          </w:tcPr>
          <w:p w:rsidR="00C54C61" w:rsidRDefault="00C54C61">
            <w:pPr>
              <w:spacing w:line="360" w:lineRule="auto"/>
              <w:contextualSpacing/>
              <w:rPr>
                <w:sz w:val="24"/>
              </w:rPr>
            </w:pPr>
          </w:p>
        </w:tc>
        <w:tc>
          <w:tcPr>
            <w:tcW w:w="258"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38" w:type="pct"/>
          </w:tcPr>
          <w:p w:rsidR="00C54C61" w:rsidRDefault="00C54C61">
            <w:pPr>
              <w:spacing w:line="360" w:lineRule="auto"/>
              <w:contextualSpacing/>
              <w:rPr>
                <w:sz w:val="24"/>
              </w:rPr>
            </w:pPr>
          </w:p>
        </w:tc>
      </w:tr>
      <w:tr w:rsidR="00C54C61">
        <w:trPr>
          <w:jc w:val="center"/>
        </w:trPr>
        <w:tc>
          <w:tcPr>
            <w:tcW w:w="247" w:type="pct"/>
          </w:tcPr>
          <w:p w:rsidR="00C54C61" w:rsidRDefault="00C54C61">
            <w:pPr>
              <w:spacing w:line="360" w:lineRule="auto"/>
              <w:contextualSpacing/>
              <w:rPr>
                <w:sz w:val="24"/>
              </w:rPr>
            </w:pPr>
          </w:p>
        </w:tc>
        <w:tc>
          <w:tcPr>
            <w:tcW w:w="849" w:type="pct"/>
          </w:tcPr>
          <w:p w:rsidR="00C54C61" w:rsidRDefault="00C54C61">
            <w:pPr>
              <w:spacing w:line="360" w:lineRule="auto"/>
              <w:contextualSpacing/>
              <w:rPr>
                <w:sz w:val="24"/>
              </w:rPr>
            </w:pPr>
          </w:p>
        </w:tc>
        <w:tc>
          <w:tcPr>
            <w:tcW w:w="495" w:type="pct"/>
          </w:tcPr>
          <w:p w:rsidR="00C54C61" w:rsidRDefault="00C54C61">
            <w:pPr>
              <w:spacing w:line="360" w:lineRule="auto"/>
              <w:contextualSpacing/>
              <w:rPr>
                <w:sz w:val="24"/>
              </w:rPr>
            </w:pPr>
          </w:p>
        </w:tc>
        <w:tc>
          <w:tcPr>
            <w:tcW w:w="660"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01" w:type="pct"/>
          </w:tcPr>
          <w:p w:rsidR="00C54C61" w:rsidRDefault="00C54C61">
            <w:pPr>
              <w:spacing w:line="360" w:lineRule="auto"/>
              <w:contextualSpacing/>
              <w:rPr>
                <w:sz w:val="24"/>
              </w:rPr>
            </w:pPr>
          </w:p>
        </w:tc>
        <w:tc>
          <w:tcPr>
            <w:tcW w:w="258"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38" w:type="pct"/>
          </w:tcPr>
          <w:p w:rsidR="00C54C61" w:rsidRDefault="00C54C61">
            <w:pPr>
              <w:spacing w:line="360" w:lineRule="auto"/>
              <w:contextualSpacing/>
              <w:rPr>
                <w:sz w:val="24"/>
              </w:rPr>
            </w:pPr>
          </w:p>
        </w:tc>
      </w:tr>
      <w:tr w:rsidR="00C54C61">
        <w:trPr>
          <w:jc w:val="center"/>
        </w:trPr>
        <w:tc>
          <w:tcPr>
            <w:tcW w:w="247" w:type="pct"/>
          </w:tcPr>
          <w:p w:rsidR="00C54C61" w:rsidRDefault="00C54C61">
            <w:pPr>
              <w:spacing w:line="360" w:lineRule="auto"/>
              <w:contextualSpacing/>
              <w:rPr>
                <w:sz w:val="24"/>
              </w:rPr>
            </w:pPr>
          </w:p>
        </w:tc>
        <w:tc>
          <w:tcPr>
            <w:tcW w:w="849" w:type="pct"/>
          </w:tcPr>
          <w:p w:rsidR="00C54C61" w:rsidRDefault="00C54C61">
            <w:pPr>
              <w:spacing w:line="360" w:lineRule="auto"/>
              <w:contextualSpacing/>
              <w:rPr>
                <w:sz w:val="24"/>
              </w:rPr>
            </w:pPr>
          </w:p>
        </w:tc>
        <w:tc>
          <w:tcPr>
            <w:tcW w:w="495" w:type="pct"/>
          </w:tcPr>
          <w:p w:rsidR="00C54C61" w:rsidRDefault="00C54C61">
            <w:pPr>
              <w:spacing w:line="360" w:lineRule="auto"/>
              <w:contextualSpacing/>
              <w:rPr>
                <w:sz w:val="24"/>
              </w:rPr>
            </w:pPr>
          </w:p>
        </w:tc>
        <w:tc>
          <w:tcPr>
            <w:tcW w:w="660"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01" w:type="pct"/>
          </w:tcPr>
          <w:p w:rsidR="00C54C61" w:rsidRDefault="00C54C61">
            <w:pPr>
              <w:spacing w:line="360" w:lineRule="auto"/>
              <w:contextualSpacing/>
              <w:rPr>
                <w:sz w:val="24"/>
              </w:rPr>
            </w:pPr>
          </w:p>
        </w:tc>
        <w:tc>
          <w:tcPr>
            <w:tcW w:w="258"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12" w:type="pct"/>
          </w:tcPr>
          <w:p w:rsidR="00C54C61" w:rsidRDefault="00C54C61">
            <w:pPr>
              <w:spacing w:line="360" w:lineRule="auto"/>
              <w:contextualSpacing/>
              <w:rPr>
                <w:sz w:val="24"/>
              </w:rPr>
            </w:pPr>
          </w:p>
        </w:tc>
        <w:tc>
          <w:tcPr>
            <w:tcW w:w="438" w:type="pct"/>
          </w:tcPr>
          <w:p w:rsidR="00C54C61" w:rsidRDefault="00C54C61">
            <w:pPr>
              <w:spacing w:line="360" w:lineRule="auto"/>
              <w:contextualSpacing/>
              <w:rPr>
                <w:sz w:val="24"/>
              </w:rPr>
            </w:pPr>
          </w:p>
        </w:tc>
      </w:tr>
      <w:tr w:rsidR="00C54C61">
        <w:trPr>
          <w:jc w:val="center"/>
        </w:trPr>
        <w:tc>
          <w:tcPr>
            <w:tcW w:w="5000" w:type="pct"/>
            <w:gridSpan w:val="11"/>
          </w:tcPr>
          <w:p w:rsidR="00C54C61" w:rsidRDefault="00BF3A17">
            <w:pPr>
              <w:spacing w:line="360" w:lineRule="auto"/>
              <w:contextualSpacing/>
              <w:rPr>
                <w:sz w:val="24"/>
              </w:rPr>
            </w:pPr>
            <w:r>
              <w:rPr>
                <w:rFonts w:hint="eastAsia"/>
                <w:sz w:val="24"/>
              </w:rPr>
              <w:t>合计（即：投标总价；币种：人民币；单位：元）：</w:t>
            </w:r>
            <w:r>
              <w:rPr>
                <w:rFonts w:hint="eastAsia"/>
                <w:color w:val="FF0000"/>
                <w:sz w:val="24"/>
              </w:rPr>
              <w:t>大写：</w:t>
            </w:r>
          </w:p>
        </w:tc>
      </w:tr>
    </w:tbl>
    <w:p w:rsidR="00C54C61" w:rsidRDefault="00C54C61">
      <w:pPr>
        <w:spacing w:line="360" w:lineRule="auto"/>
        <w:contextualSpacing/>
        <w:rPr>
          <w:rFonts w:ascii="宋体" w:hAnsi="宋体"/>
          <w:szCs w:val="21"/>
        </w:rPr>
      </w:pPr>
    </w:p>
    <w:p w:rsidR="00C54C61" w:rsidRDefault="00BF3A17">
      <w:pPr>
        <w:spacing w:line="360" w:lineRule="auto"/>
        <w:contextualSpacing/>
        <w:rPr>
          <w:rFonts w:ascii="宋体" w:hAnsi="宋体"/>
          <w:b/>
          <w:color w:val="FF0000"/>
          <w:sz w:val="24"/>
        </w:rPr>
      </w:pPr>
      <w:r>
        <w:rPr>
          <w:rFonts w:ascii="宋体" w:hAnsi="宋体" w:hint="eastAsia"/>
          <w:b/>
          <w:color w:val="FF0000"/>
          <w:sz w:val="24"/>
        </w:rPr>
        <w:t>注：1. 请根据“第二章 招标项目需求” “二、货物清单”填写；本表格式不得修改。</w:t>
      </w:r>
    </w:p>
    <w:p w:rsidR="00C54C61" w:rsidRDefault="00BF3A17">
      <w:pPr>
        <w:spacing w:line="360" w:lineRule="auto"/>
        <w:contextualSpacing/>
        <w:rPr>
          <w:rFonts w:ascii="宋体" w:hAnsi="宋体"/>
          <w:b/>
          <w:color w:val="FF0000"/>
          <w:sz w:val="24"/>
        </w:rPr>
      </w:pPr>
      <w:r>
        <w:rPr>
          <w:rFonts w:ascii="宋体" w:hAnsi="宋体"/>
          <w:b/>
          <w:color w:val="FF0000"/>
          <w:sz w:val="24"/>
        </w:rPr>
        <w:t xml:space="preserve">    2</w:t>
      </w:r>
      <w:r>
        <w:rPr>
          <w:rFonts w:ascii="宋体" w:hAnsi="宋体" w:hint="eastAsia"/>
          <w:b/>
          <w:color w:val="FF0000"/>
          <w:sz w:val="24"/>
        </w:rPr>
        <w:t>. 所有价格应按“招标文件”中规定的货币单位填写；投标总价应为以上各分项价格之和；投标总价和项目报价表中单个采购预算条目报价均不得超过对应的财政预算限额，否则将导致无效投标。</w:t>
      </w:r>
    </w:p>
    <w:p w:rsidR="00C54C61" w:rsidRDefault="00BF3A17">
      <w:pPr>
        <w:spacing w:line="360" w:lineRule="auto"/>
        <w:ind w:firstLineChars="200" w:firstLine="482"/>
        <w:contextualSpacing/>
        <w:rPr>
          <w:rFonts w:ascii="宋体" w:hAnsi="宋体"/>
          <w:b/>
          <w:color w:val="FF0000"/>
          <w:sz w:val="24"/>
        </w:rPr>
      </w:pPr>
      <w:r>
        <w:rPr>
          <w:rFonts w:ascii="宋体" w:hAnsi="宋体" w:hint="eastAsia"/>
          <w:b/>
          <w:color w:val="FF0000"/>
          <w:sz w:val="24"/>
        </w:rPr>
        <w:t>3.</w:t>
      </w:r>
      <w:r>
        <w:rPr>
          <w:rFonts w:ascii="宋体" w:hAnsi="宋体"/>
          <w:b/>
          <w:color w:val="FF0000"/>
          <w:sz w:val="24"/>
        </w:rPr>
        <w:t xml:space="preserve"> </w:t>
      </w:r>
      <w:r>
        <w:rPr>
          <w:rFonts w:ascii="宋体" w:hAnsi="宋体" w:hint="eastAsia"/>
          <w:b/>
          <w:color w:val="FF0000"/>
          <w:sz w:val="24"/>
        </w:rPr>
        <w:t>单价、合价和投标总价为包干价，即三者均应包含设备的价款、包装、运输、装卸、安装、调试、技术指导、培训、咨询、服务、保险、税费、检测、验收合格交付使用之前以及技术和售后服务等其他各项有关费用。</w:t>
      </w:r>
    </w:p>
    <w:p w:rsidR="00C54C61" w:rsidRDefault="00BF3A17">
      <w:pPr>
        <w:spacing w:line="360" w:lineRule="auto"/>
        <w:ind w:firstLineChars="200" w:firstLine="482"/>
        <w:contextualSpacing/>
        <w:rPr>
          <w:rFonts w:ascii="宋体" w:hAnsi="宋体"/>
          <w:b/>
          <w:color w:val="FF0000"/>
          <w:sz w:val="24"/>
        </w:rPr>
      </w:pPr>
      <w:r>
        <w:rPr>
          <w:rFonts w:ascii="宋体" w:hAnsi="宋体" w:hint="eastAsia"/>
          <w:b/>
          <w:color w:val="FF0000"/>
          <w:sz w:val="24"/>
        </w:rPr>
        <w:t>4.</w:t>
      </w:r>
      <w:r>
        <w:rPr>
          <w:rFonts w:ascii="宋体" w:hAnsi="宋体"/>
          <w:b/>
          <w:color w:val="FF0000"/>
          <w:sz w:val="24"/>
        </w:rPr>
        <w:t xml:space="preserve"> </w:t>
      </w:r>
      <w:r>
        <w:rPr>
          <w:rFonts w:ascii="宋体" w:hAnsi="宋体" w:hint="eastAsia"/>
          <w:b/>
          <w:color w:val="FF0000"/>
          <w:sz w:val="24"/>
        </w:rPr>
        <w:t>开标一览表的投标总价应当与项目报价表的投标总价一致。</w:t>
      </w:r>
    </w:p>
    <w:p w:rsidR="00C54C61" w:rsidRDefault="00BF3A17">
      <w:pPr>
        <w:spacing w:line="360" w:lineRule="auto"/>
        <w:ind w:firstLineChars="196" w:firstLine="472"/>
        <w:contextualSpacing/>
        <w:rPr>
          <w:rFonts w:ascii="宋体" w:hAnsi="宋体"/>
          <w:b/>
          <w:color w:val="FF0000"/>
          <w:sz w:val="24"/>
        </w:rPr>
      </w:pPr>
      <w:r>
        <w:rPr>
          <w:rFonts w:ascii="宋体" w:hAnsi="宋体" w:hint="eastAsia"/>
          <w:b/>
          <w:color w:val="FF0000"/>
          <w:sz w:val="24"/>
        </w:rPr>
        <w:t>5.</w:t>
      </w:r>
      <w:r>
        <w:rPr>
          <w:rFonts w:ascii="宋体" w:hAnsi="宋体"/>
          <w:b/>
          <w:color w:val="FF0000"/>
          <w:sz w:val="24"/>
        </w:rPr>
        <w:t xml:space="preserve"> </w:t>
      </w:r>
      <w:r>
        <w:rPr>
          <w:rFonts w:ascii="宋体" w:hAnsi="宋体" w:hint="eastAsia"/>
          <w:b/>
          <w:color w:val="FF0000"/>
          <w:sz w:val="24"/>
        </w:rPr>
        <w:t>“原产地”是指该产品的实际生产加工地，而非品牌总公司所在地。</w:t>
      </w:r>
    </w:p>
    <w:p w:rsidR="00C54C61" w:rsidRDefault="00BF3A17">
      <w:pPr>
        <w:spacing w:line="360" w:lineRule="auto"/>
        <w:ind w:firstLineChars="196" w:firstLine="472"/>
        <w:contextualSpacing/>
        <w:rPr>
          <w:rFonts w:ascii="宋体" w:hAnsi="宋体"/>
          <w:b/>
          <w:color w:val="FF0000"/>
          <w:sz w:val="24"/>
        </w:rPr>
      </w:pPr>
      <w:r>
        <w:rPr>
          <w:rFonts w:ascii="宋体" w:hAnsi="宋体" w:hint="eastAsia"/>
          <w:b/>
          <w:color w:val="FF0000"/>
          <w:sz w:val="24"/>
        </w:rPr>
        <w:t>6.</w:t>
      </w:r>
      <w:r>
        <w:rPr>
          <w:rFonts w:hint="eastAsia"/>
        </w:rPr>
        <w:t xml:space="preserve"> </w:t>
      </w:r>
      <w:r>
        <w:rPr>
          <w:rFonts w:ascii="宋体" w:hAnsi="宋体" w:hint="eastAsia"/>
          <w:b/>
          <w:color w:val="FF0000"/>
          <w:sz w:val="24"/>
        </w:rPr>
        <w:t>详细填写所投货物的制造商名称；若如所投产品属于定制类的非量产货物或无具体型号的货物，可以不填写型号等信息，但应当标注投标产品为定制产品。</w:t>
      </w:r>
    </w:p>
    <w:p w:rsidR="00C54C61" w:rsidRDefault="00C54C61">
      <w:pPr>
        <w:spacing w:line="360" w:lineRule="auto"/>
        <w:ind w:firstLineChars="200" w:firstLine="482"/>
        <w:contextualSpacing/>
        <w:rPr>
          <w:rFonts w:ascii="宋体" w:hAnsi="宋体"/>
          <w:b/>
          <w:color w:val="FF0000"/>
          <w:sz w:val="24"/>
        </w:rPr>
      </w:pPr>
    </w:p>
    <w:p w:rsidR="00C54C61" w:rsidRDefault="00C54C61">
      <w:pPr>
        <w:spacing w:line="360" w:lineRule="auto"/>
        <w:ind w:firstLineChars="200" w:firstLine="482"/>
        <w:contextualSpacing/>
        <w:rPr>
          <w:rFonts w:ascii="宋体" w:hAnsi="宋体"/>
          <w:b/>
          <w:color w:val="FF0000"/>
          <w:sz w:val="24"/>
        </w:rPr>
      </w:pPr>
    </w:p>
    <w:p w:rsidR="00C54C61" w:rsidRDefault="00C54C61">
      <w:pPr>
        <w:spacing w:line="360" w:lineRule="auto"/>
        <w:ind w:firstLineChars="200" w:firstLine="482"/>
        <w:contextualSpacing/>
        <w:rPr>
          <w:rFonts w:ascii="宋体" w:hAnsi="宋体"/>
          <w:b/>
          <w:color w:val="FF0000"/>
          <w:sz w:val="24"/>
        </w:rPr>
      </w:pPr>
    </w:p>
    <w:p w:rsidR="00C54C61" w:rsidRDefault="00BF3A17">
      <w:pPr>
        <w:numPr>
          <w:ilvl w:val="0"/>
          <w:numId w:val="12"/>
        </w:numPr>
        <w:spacing w:line="360" w:lineRule="auto"/>
        <w:ind w:left="482" w:hanging="482"/>
        <w:contextualSpacing/>
        <w:jc w:val="center"/>
        <w:rPr>
          <w:b/>
          <w:sz w:val="24"/>
        </w:rPr>
      </w:pPr>
      <w:r>
        <w:rPr>
          <w:rFonts w:hint="eastAsia"/>
          <w:b/>
          <w:sz w:val="24"/>
        </w:rPr>
        <w:t>核心产品的品牌情况</w:t>
      </w:r>
    </w:p>
    <w:p w:rsidR="00C54C61" w:rsidRDefault="00C54C61">
      <w:pPr>
        <w:spacing w:line="360" w:lineRule="auto"/>
        <w:ind w:firstLineChars="200" w:firstLine="482"/>
        <w:contextualSpacing/>
        <w:rPr>
          <w:rFonts w:ascii="宋体" w:hAnsi="宋体"/>
          <w:b/>
          <w:color w:val="FF0000"/>
          <w:sz w:val="24"/>
        </w:rPr>
      </w:pPr>
    </w:p>
    <w:p w:rsidR="00C54C61" w:rsidRDefault="00BF3A17">
      <w:pPr>
        <w:spacing w:line="360" w:lineRule="auto"/>
        <w:ind w:firstLineChars="200" w:firstLine="482"/>
        <w:contextualSpacing/>
        <w:rPr>
          <w:rFonts w:ascii="宋体" w:hAnsi="宋体"/>
          <w:b/>
          <w:color w:val="FF0000"/>
          <w:sz w:val="24"/>
        </w:rPr>
      </w:pPr>
      <w:r>
        <w:rPr>
          <w:rFonts w:hint="eastAsia"/>
          <w:b/>
          <w:color w:val="FF0000"/>
          <w:sz w:val="24"/>
        </w:rPr>
        <w:t>我公司所投核心产品的品牌为：</w:t>
      </w:r>
      <w:r>
        <w:rPr>
          <w:rFonts w:hint="eastAsia"/>
          <w:b/>
          <w:color w:val="FF0000"/>
          <w:sz w:val="24"/>
          <w:u w:val="single"/>
        </w:rPr>
        <w:t xml:space="preserve">               </w:t>
      </w:r>
      <w:r>
        <w:rPr>
          <w:rFonts w:hint="eastAsia"/>
          <w:b/>
          <w:color w:val="FF0000"/>
          <w:sz w:val="24"/>
        </w:rPr>
        <w:t>。</w:t>
      </w:r>
    </w:p>
    <w:p w:rsidR="00C54C61" w:rsidRDefault="00C54C61">
      <w:pPr>
        <w:spacing w:line="360" w:lineRule="auto"/>
        <w:ind w:firstLineChars="200" w:firstLine="482"/>
        <w:contextualSpacing/>
        <w:rPr>
          <w:rFonts w:ascii="宋体" w:hAnsi="宋体"/>
          <w:b/>
          <w:color w:val="FF0000"/>
          <w:sz w:val="24"/>
        </w:rPr>
      </w:pPr>
    </w:p>
    <w:p w:rsidR="00C54C61" w:rsidRDefault="00BF3A17">
      <w:pPr>
        <w:spacing w:line="360" w:lineRule="auto"/>
        <w:ind w:firstLineChars="200" w:firstLine="480"/>
        <w:contextualSpacing/>
        <w:rPr>
          <w:rFonts w:ascii="宋体" w:hAnsi="宋体"/>
          <w:sz w:val="24"/>
        </w:rPr>
      </w:pPr>
      <w:r>
        <w:rPr>
          <w:rFonts w:ascii="宋体" w:hAnsi="宋体" w:hint="eastAsia"/>
          <w:sz w:val="24"/>
        </w:rPr>
        <w:t>备注：招标文件未列明核心产品的，无需填写该项。</w:t>
      </w:r>
    </w:p>
    <w:p w:rsidR="00C54C61" w:rsidRDefault="00C54C61">
      <w:pPr>
        <w:spacing w:line="360" w:lineRule="auto"/>
        <w:ind w:firstLineChars="200" w:firstLine="482"/>
        <w:contextualSpacing/>
        <w:rPr>
          <w:rFonts w:ascii="宋体" w:hAnsi="宋体"/>
          <w:b/>
          <w:color w:val="FF0000"/>
          <w:sz w:val="24"/>
        </w:rPr>
      </w:pPr>
    </w:p>
    <w:p w:rsidR="00C54C61" w:rsidRDefault="00C54C61">
      <w:pPr>
        <w:spacing w:line="360" w:lineRule="auto"/>
        <w:ind w:firstLineChars="200" w:firstLine="482"/>
        <w:contextualSpacing/>
        <w:rPr>
          <w:rFonts w:ascii="宋体" w:hAnsi="宋体"/>
          <w:b/>
          <w:color w:val="FF0000"/>
          <w:sz w:val="24"/>
        </w:rPr>
      </w:pPr>
    </w:p>
    <w:p w:rsidR="00C54C61" w:rsidRDefault="00C54C61">
      <w:pPr>
        <w:spacing w:line="360" w:lineRule="auto"/>
        <w:contextualSpacing/>
        <w:rPr>
          <w:b/>
          <w:sz w:val="24"/>
        </w:rPr>
      </w:pPr>
    </w:p>
    <w:p w:rsidR="00C54C61" w:rsidRDefault="00BF3A17">
      <w:pPr>
        <w:numPr>
          <w:ilvl w:val="0"/>
          <w:numId w:val="12"/>
        </w:numPr>
        <w:spacing w:line="360" w:lineRule="auto"/>
        <w:ind w:left="482" w:hanging="482"/>
        <w:contextualSpacing/>
        <w:jc w:val="center"/>
        <w:rPr>
          <w:b/>
          <w:sz w:val="24"/>
        </w:rPr>
      </w:pPr>
      <w:r>
        <w:rPr>
          <w:rFonts w:hint="eastAsia"/>
          <w:b/>
          <w:sz w:val="24"/>
        </w:rPr>
        <w:t>可选配件报价清单（不包括在总报价内）</w:t>
      </w:r>
    </w:p>
    <w:p w:rsidR="00C54C61" w:rsidRDefault="00BF3A17">
      <w:pPr>
        <w:spacing w:line="360" w:lineRule="auto"/>
        <w:ind w:firstLineChars="200" w:firstLine="422"/>
        <w:contextualSpacing/>
        <w:rPr>
          <w:rFonts w:hAnsi="宋体"/>
          <w:b/>
          <w:bCs/>
          <w:szCs w:val="21"/>
        </w:rPr>
      </w:pPr>
      <w:r>
        <w:rPr>
          <w:rFonts w:hAnsi="宋体" w:hint="eastAsia"/>
          <w:b/>
          <w:bCs/>
          <w:szCs w:val="21"/>
        </w:rPr>
        <w:t>注：格式参照《（一）项目报价表》表格，但须提供相应的品牌（没有品牌的，可提供制造商名称）、规格型号、原产地、单价等详细信息</w:t>
      </w:r>
    </w:p>
    <w:p w:rsidR="00C54C61" w:rsidRDefault="00C54C61">
      <w:pPr>
        <w:spacing w:line="360" w:lineRule="auto"/>
        <w:ind w:firstLineChars="200" w:firstLine="482"/>
        <w:contextualSpacing/>
        <w:rPr>
          <w:rFonts w:hAnsi="宋体"/>
          <w:b/>
          <w:bCs/>
          <w:sz w:val="24"/>
        </w:rPr>
      </w:pPr>
    </w:p>
    <w:p w:rsidR="00C54C61" w:rsidRDefault="00C54C61">
      <w:pPr>
        <w:spacing w:line="360" w:lineRule="auto"/>
        <w:ind w:firstLineChars="200" w:firstLine="482"/>
        <w:contextualSpacing/>
        <w:rPr>
          <w:rFonts w:hAnsi="宋体"/>
          <w:b/>
          <w:bCs/>
          <w:sz w:val="24"/>
        </w:rPr>
      </w:pPr>
    </w:p>
    <w:p w:rsidR="00C54C61" w:rsidRDefault="00BF3A17">
      <w:pPr>
        <w:numPr>
          <w:ilvl w:val="0"/>
          <w:numId w:val="12"/>
        </w:numPr>
        <w:spacing w:line="360" w:lineRule="auto"/>
        <w:ind w:left="482" w:hanging="482"/>
        <w:contextualSpacing/>
        <w:jc w:val="center"/>
        <w:rPr>
          <w:b/>
          <w:sz w:val="24"/>
        </w:rPr>
      </w:pPr>
      <w:r>
        <w:rPr>
          <w:rFonts w:hint="eastAsia"/>
          <w:b/>
          <w:sz w:val="24"/>
        </w:rPr>
        <w:t>供应商认为需要涉及的其他内容报价清单</w:t>
      </w:r>
    </w:p>
    <w:p w:rsidR="00C54C61" w:rsidRDefault="00C54C61">
      <w:pPr>
        <w:spacing w:line="360" w:lineRule="auto"/>
        <w:ind w:firstLineChars="200" w:firstLine="482"/>
        <w:contextualSpacing/>
        <w:jc w:val="center"/>
        <w:rPr>
          <w:rFonts w:hAnsi="宋体"/>
          <w:b/>
          <w:bCs/>
          <w:sz w:val="24"/>
        </w:rPr>
      </w:pPr>
    </w:p>
    <w:p w:rsidR="00C54C61" w:rsidRDefault="00BF3A17">
      <w:pPr>
        <w:pStyle w:val="30"/>
        <w:spacing w:before="0" w:after="0" w:line="360" w:lineRule="auto"/>
        <w:contextualSpacing/>
        <w:jc w:val="center"/>
        <w:rPr>
          <w:rFonts w:ascii="黑体" w:eastAsia="黑体"/>
          <w:b w:val="0"/>
          <w:sz w:val="24"/>
          <w:szCs w:val="24"/>
        </w:rPr>
      </w:pPr>
      <w:r>
        <w:rPr>
          <w:rFonts w:ascii="黑体" w:eastAsia="黑体" w:hint="eastAsia"/>
          <w:b w:val="0"/>
          <w:sz w:val="24"/>
          <w:szCs w:val="24"/>
        </w:rPr>
        <w:t>四、投标人情况介绍</w:t>
      </w:r>
    </w:p>
    <w:p w:rsidR="00C54C61" w:rsidRDefault="00C54C61">
      <w:pPr>
        <w:spacing w:line="360" w:lineRule="auto"/>
        <w:contextualSpacing/>
        <w:rPr>
          <w:b/>
          <w:bCs/>
          <w:sz w:val="24"/>
        </w:rPr>
      </w:pPr>
    </w:p>
    <w:p w:rsidR="00C54C61" w:rsidRDefault="00C54C61">
      <w:pPr>
        <w:spacing w:line="360" w:lineRule="auto"/>
        <w:contextualSpacing/>
        <w:rPr>
          <w:b/>
          <w:bCs/>
          <w:sz w:val="24"/>
        </w:rPr>
      </w:pPr>
    </w:p>
    <w:p w:rsidR="00C54C61" w:rsidRDefault="00C54C61">
      <w:pPr>
        <w:spacing w:line="360" w:lineRule="auto"/>
        <w:contextualSpacing/>
        <w:rPr>
          <w:b/>
          <w:bCs/>
          <w:sz w:val="24"/>
        </w:rPr>
      </w:pPr>
    </w:p>
    <w:p w:rsidR="00C54C61" w:rsidRDefault="00BF3A17">
      <w:pPr>
        <w:spacing w:line="360" w:lineRule="auto"/>
        <w:contextualSpacing/>
        <w:outlineLvl w:val="3"/>
        <w:rPr>
          <w:b/>
          <w:bCs/>
          <w:sz w:val="24"/>
        </w:rPr>
      </w:pPr>
      <w:r>
        <w:rPr>
          <w:rFonts w:hint="eastAsia"/>
          <w:b/>
          <w:bCs/>
          <w:sz w:val="24"/>
        </w:rPr>
        <w:t>（一）投标人</w:t>
      </w:r>
      <w:r>
        <w:rPr>
          <w:rFonts w:hint="eastAsia"/>
          <w:b/>
          <w:sz w:val="24"/>
        </w:rPr>
        <w:t>资格证明文件</w:t>
      </w:r>
    </w:p>
    <w:p w:rsidR="00C54C61" w:rsidRDefault="00BF3A17">
      <w:pPr>
        <w:spacing w:beforeLines="50" w:before="120" w:line="360" w:lineRule="auto"/>
        <w:contextualSpacing/>
        <w:rPr>
          <w:b/>
          <w:bCs/>
          <w:color w:val="FF0000"/>
        </w:rPr>
      </w:pPr>
      <w:r>
        <w:rPr>
          <w:rFonts w:hint="eastAsia"/>
          <w:b/>
          <w:bCs/>
          <w:color w:val="FF0000"/>
        </w:rPr>
        <w:t>（特别提示：投标人须按本招标文件第一章招标公告</w:t>
      </w:r>
      <w:r>
        <w:rPr>
          <w:rFonts w:hint="eastAsia"/>
          <w:b/>
          <w:bCs/>
          <w:color w:val="FF0000"/>
        </w:rPr>
        <w:t xml:space="preserve"> </w:t>
      </w:r>
      <w:r>
        <w:rPr>
          <w:rFonts w:hint="eastAsia"/>
          <w:b/>
          <w:bCs/>
          <w:color w:val="FF0000"/>
        </w:rPr>
        <w:t>“投标人资质要求”提供相关的资质证明，未提供或提供不完整、不符合要求的，投标文件将按无效投标处理。）</w:t>
      </w:r>
    </w:p>
    <w:p w:rsidR="00C54C61" w:rsidRDefault="00C54C61">
      <w:pPr>
        <w:spacing w:line="360" w:lineRule="auto"/>
        <w:contextualSpacing/>
        <w:rPr>
          <w:b/>
          <w:bCs/>
          <w:sz w:val="24"/>
        </w:rPr>
      </w:pPr>
    </w:p>
    <w:p w:rsidR="00C54C61" w:rsidRDefault="00C54C61">
      <w:pPr>
        <w:spacing w:line="360" w:lineRule="auto"/>
        <w:contextualSpacing/>
        <w:rPr>
          <w:b/>
          <w:bCs/>
          <w:sz w:val="24"/>
        </w:rPr>
      </w:pPr>
    </w:p>
    <w:p w:rsidR="00C54C61" w:rsidRDefault="00C54C61">
      <w:pPr>
        <w:spacing w:line="360" w:lineRule="auto"/>
        <w:contextualSpacing/>
        <w:rPr>
          <w:b/>
          <w:bCs/>
          <w:sz w:val="24"/>
        </w:rPr>
      </w:pPr>
    </w:p>
    <w:p w:rsidR="00C54C61" w:rsidRDefault="00BF3A17">
      <w:pPr>
        <w:spacing w:line="360" w:lineRule="auto"/>
        <w:contextualSpacing/>
        <w:outlineLvl w:val="3"/>
        <w:rPr>
          <w:b/>
          <w:sz w:val="24"/>
        </w:rPr>
      </w:pPr>
      <w:r>
        <w:rPr>
          <w:rFonts w:hint="eastAsia"/>
          <w:b/>
          <w:bCs/>
          <w:sz w:val="24"/>
        </w:rPr>
        <w:t>（二）技术保障措施及</w:t>
      </w:r>
      <w:r>
        <w:rPr>
          <w:rFonts w:hint="eastAsia"/>
          <w:b/>
          <w:sz w:val="24"/>
        </w:rPr>
        <w:t>实施本项目的主要技术人员情况表（格式自定，可选）</w:t>
      </w:r>
    </w:p>
    <w:p w:rsidR="00C54C61" w:rsidRDefault="00BF3A17">
      <w:pPr>
        <w:spacing w:line="360" w:lineRule="auto"/>
        <w:contextualSpacing/>
        <w:rPr>
          <w:b/>
          <w:bCs/>
          <w:color w:val="FF0000"/>
        </w:rPr>
      </w:pPr>
      <w:r>
        <w:rPr>
          <w:rFonts w:hint="eastAsia"/>
          <w:b/>
          <w:bCs/>
          <w:color w:val="FF0000"/>
        </w:rPr>
        <w:t>（特别提示：投标人须按本招标文件评标信息中</w:t>
      </w:r>
      <w:r>
        <w:rPr>
          <w:rFonts w:hint="eastAsia"/>
          <w:b/>
          <w:bCs/>
          <w:color w:val="FF0000"/>
        </w:rPr>
        <w:t xml:space="preserve"> </w:t>
      </w:r>
      <w:r>
        <w:rPr>
          <w:rFonts w:hint="eastAsia"/>
          <w:b/>
          <w:bCs/>
          <w:color w:val="FF0000"/>
        </w:rPr>
        <w:t>“技术保障措施”这一评审因素要求，提供相关技术保障方案或其它证明资料）</w:t>
      </w:r>
    </w:p>
    <w:p w:rsidR="00C54C61" w:rsidRDefault="00C54C61">
      <w:pPr>
        <w:spacing w:line="360" w:lineRule="auto"/>
        <w:contextualSpacing/>
        <w:rPr>
          <w:b/>
          <w:bCs/>
          <w:sz w:val="24"/>
        </w:rPr>
      </w:pPr>
    </w:p>
    <w:p w:rsidR="00C54C61" w:rsidRDefault="00BF3A17">
      <w:pPr>
        <w:spacing w:line="360" w:lineRule="auto"/>
        <w:contextualSpacing/>
        <w:outlineLvl w:val="3"/>
        <w:rPr>
          <w:b/>
          <w:bCs/>
          <w:sz w:val="24"/>
        </w:rPr>
      </w:pPr>
      <w:r>
        <w:rPr>
          <w:rFonts w:hint="eastAsia"/>
          <w:b/>
          <w:bCs/>
          <w:sz w:val="24"/>
        </w:rPr>
        <w:t>（三）施工安全保障措施（可选）</w:t>
      </w:r>
    </w:p>
    <w:p w:rsidR="00C54C61" w:rsidRDefault="00BF3A17">
      <w:pPr>
        <w:spacing w:line="360" w:lineRule="auto"/>
        <w:contextualSpacing/>
        <w:rPr>
          <w:b/>
          <w:bCs/>
          <w:color w:val="FF0000"/>
        </w:rPr>
      </w:pPr>
      <w:r>
        <w:rPr>
          <w:rFonts w:hint="eastAsia"/>
          <w:b/>
          <w:bCs/>
          <w:color w:val="FF0000"/>
        </w:rPr>
        <w:t>（特别提示：投标人须按本招标文件评标信息中</w:t>
      </w:r>
      <w:r>
        <w:rPr>
          <w:rFonts w:hint="eastAsia"/>
          <w:b/>
          <w:bCs/>
          <w:color w:val="FF0000"/>
        </w:rPr>
        <w:t xml:space="preserve"> </w:t>
      </w:r>
      <w:r>
        <w:rPr>
          <w:rFonts w:hint="eastAsia"/>
          <w:b/>
          <w:bCs/>
          <w:color w:val="FF0000"/>
        </w:rPr>
        <w:t>“施工安全保障措施”这一评审因素要求，提供详细的施工安全保障方案或其它证明资料）</w:t>
      </w:r>
    </w:p>
    <w:p w:rsidR="00C54C61" w:rsidRDefault="00C54C61">
      <w:pPr>
        <w:spacing w:line="360" w:lineRule="auto"/>
        <w:contextualSpacing/>
        <w:rPr>
          <w:b/>
          <w:sz w:val="24"/>
        </w:rPr>
      </w:pPr>
    </w:p>
    <w:p w:rsidR="00C54C61" w:rsidRDefault="00BF3A17">
      <w:pPr>
        <w:spacing w:line="360" w:lineRule="auto"/>
        <w:contextualSpacing/>
        <w:outlineLvl w:val="3"/>
        <w:rPr>
          <w:b/>
          <w:sz w:val="24"/>
        </w:rPr>
      </w:pPr>
      <w:r>
        <w:rPr>
          <w:rFonts w:hint="eastAsia"/>
          <w:b/>
          <w:sz w:val="24"/>
        </w:rPr>
        <w:t>（四）检测报告（可选）</w:t>
      </w:r>
    </w:p>
    <w:p w:rsidR="00C54C61" w:rsidRDefault="00BF3A17">
      <w:pPr>
        <w:spacing w:line="360" w:lineRule="auto"/>
        <w:contextualSpacing/>
        <w:rPr>
          <w:b/>
          <w:bCs/>
          <w:color w:val="FF0000"/>
        </w:rPr>
      </w:pPr>
      <w:r>
        <w:rPr>
          <w:rFonts w:hint="eastAsia"/>
          <w:b/>
          <w:bCs/>
          <w:color w:val="FF0000"/>
        </w:rPr>
        <w:t>（特别提示：投标人须按本招标文件评标信息中</w:t>
      </w:r>
      <w:r>
        <w:rPr>
          <w:rFonts w:hint="eastAsia"/>
          <w:b/>
          <w:bCs/>
          <w:color w:val="FF0000"/>
        </w:rPr>
        <w:t xml:space="preserve"> </w:t>
      </w:r>
      <w:r>
        <w:rPr>
          <w:rFonts w:hint="eastAsia"/>
          <w:b/>
          <w:bCs/>
          <w:color w:val="FF0000"/>
        </w:rPr>
        <w:t>“检测报告”这一评审因素要求，提供详细的检测报告或其它证明资料）</w:t>
      </w:r>
    </w:p>
    <w:p w:rsidR="00C54C61" w:rsidRDefault="00C54C61">
      <w:pPr>
        <w:spacing w:line="360" w:lineRule="auto"/>
        <w:contextualSpacing/>
        <w:rPr>
          <w:b/>
          <w:sz w:val="24"/>
        </w:rPr>
      </w:pPr>
    </w:p>
    <w:p w:rsidR="00C54C61" w:rsidRDefault="00BF3A17">
      <w:pPr>
        <w:spacing w:line="360" w:lineRule="auto"/>
        <w:contextualSpacing/>
        <w:outlineLvl w:val="3"/>
        <w:rPr>
          <w:b/>
          <w:color w:val="000000"/>
          <w:sz w:val="24"/>
        </w:rPr>
      </w:pPr>
      <w:r>
        <w:rPr>
          <w:rFonts w:hint="eastAsia"/>
          <w:b/>
          <w:sz w:val="24"/>
        </w:rPr>
        <w:t>（五）奖项（可选）</w:t>
      </w:r>
    </w:p>
    <w:p w:rsidR="00C54C61" w:rsidRDefault="00BF3A17">
      <w:pPr>
        <w:spacing w:line="360" w:lineRule="auto"/>
        <w:contextualSpacing/>
        <w:rPr>
          <w:b/>
          <w:bCs/>
          <w:color w:val="FF0000"/>
        </w:rPr>
      </w:pPr>
      <w:r>
        <w:rPr>
          <w:rFonts w:hint="eastAsia"/>
          <w:b/>
          <w:bCs/>
          <w:color w:val="FF0000"/>
        </w:rPr>
        <w:t>（特别提示：投标人须按本招标文件评标信息中</w:t>
      </w:r>
      <w:r>
        <w:rPr>
          <w:rFonts w:hint="eastAsia"/>
          <w:b/>
          <w:bCs/>
          <w:color w:val="FF0000"/>
        </w:rPr>
        <w:t xml:space="preserve"> </w:t>
      </w:r>
      <w:r>
        <w:rPr>
          <w:rFonts w:hint="eastAsia"/>
          <w:b/>
          <w:bCs/>
          <w:color w:val="FF0000"/>
        </w:rPr>
        <w:t>“奖项”这一评审因素要求，提供相提供详细证明资料）</w:t>
      </w:r>
    </w:p>
    <w:p w:rsidR="00C54C61" w:rsidRDefault="00C54C61">
      <w:pPr>
        <w:spacing w:line="360" w:lineRule="auto"/>
        <w:contextualSpacing/>
        <w:rPr>
          <w:b/>
          <w:sz w:val="24"/>
        </w:rPr>
      </w:pPr>
    </w:p>
    <w:p w:rsidR="00C54C61" w:rsidRDefault="00BF3A17">
      <w:pPr>
        <w:spacing w:line="360" w:lineRule="auto"/>
        <w:contextualSpacing/>
        <w:outlineLvl w:val="3"/>
        <w:rPr>
          <w:b/>
          <w:bCs/>
          <w:sz w:val="24"/>
        </w:rPr>
      </w:pPr>
      <w:r>
        <w:rPr>
          <w:rFonts w:hint="eastAsia"/>
          <w:b/>
          <w:bCs/>
          <w:sz w:val="24"/>
        </w:rPr>
        <w:t>（</w:t>
      </w:r>
      <w:r>
        <w:rPr>
          <w:rFonts w:hint="eastAsia"/>
          <w:b/>
          <w:sz w:val="24"/>
        </w:rPr>
        <w:t>六）</w:t>
      </w:r>
      <w:r>
        <w:rPr>
          <w:rFonts w:hint="eastAsia"/>
          <w:b/>
          <w:bCs/>
          <w:sz w:val="24"/>
        </w:rPr>
        <w:t>近三年同类业绩</w:t>
      </w:r>
      <w:r>
        <w:rPr>
          <w:rFonts w:hint="eastAsia"/>
          <w:b/>
          <w:sz w:val="24"/>
        </w:rPr>
        <w:t>（可选）</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86"/>
        <w:gridCol w:w="1583"/>
        <w:gridCol w:w="1421"/>
        <w:gridCol w:w="1342"/>
        <w:gridCol w:w="1344"/>
        <w:gridCol w:w="1353"/>
      </w:tblGrid>
      <w:tr w:rsidR="00C54C61">
        <w:trPr>
          <w:cantSplit/>
        </w:trPr>
        <w:tc>
          <w:tcPr>
            <w:tcW w:w="5000" w:type="pct"/>
            <w:gridSpan w:val="6"/>
            <w:vAlign w:val="center"/>
          </w:tcPr>
          <w:p w:rsidR="00C54C61" w:rsidRDefault="00C54C61">
            <w:pPr>
              <w:spacing w:line="360" w:lineRule="auto"/>
              <w:ind w:firstLineChars="200" w:firstLine="420"/>
              <w:contextualSpacing/>
              <w:rPr>
                <w:rFonts w:ascii="宋体" w:hAnsi="宋体"/>
                <w:szCs w:val="21"/>
              </w:rPr>
            </w:pPr>
          </w:p>
        </w:tc>
      </w:tr>
      <w:tr w:rsidR="00C54C61">
        <w:tc>
          <w:tcPr>
            <w:tcW w:w="871" w:type="pct"/>
            <w:vAlign w:val="center"/>
          </w:tcPr>
          <w:p w:rsidR="00C54C61" w:rsidRDefault="00BF3A17">
            <w:pPr>
              <w:spacing w:line="360" w:lineRule="auto"/>
              <w:ind w:firstLineChars="200" w:firstLine="420"/>
              <w:contextualSpacing/>
              <w:rPr>
                <w:rFonts w:ascii="宋体" w:hAnsi="宋体"/>
                <w:szCs w:val="21"/>
              </w:rPr>
            </w:pPr>
            <w:r>
              <w:rPr>
                <w:rFonts w:ascii="宋体" w:hAnsi="宋体" w:hint="eastAsia"/>
                <w:szCs w:val="21"/>
              </w:rPr>
              <w:t>采购人</w:t>
            </w:r>
          </w:p>
        </w:tc>
        <w:tc>
          <w:tcPr>
            <w:tcW w:w="928" w:type="pct"/>
            <w:vAlign w:val="center"/>
          </w:tcPr>
          <w:p w:rsidR="00C54C61" w:rsidRDefault="00BF3A17">
            <w:pPr>
              <w:spacing w:line="360" w:lineRule="auto"/>
              <w:ind w:firstLineChars="200" w:firstLine="420"/>
              <w:contextualSpacing/>
              <w:rPr>
                <w:rFonts w:ascii="宋体" w:hAnsi="宋体"/>
                <w:szCs w:val="21"/>
              </w:rPr>
            </w:pPr>
            <w:r>
              <w:rPr>
                <w:rFonts w:ascii="宋体" w:hAnsi="宋体" w:hint="eastAsia"/>
                <w:szCs w:val="21"/>
              </w:rPr>
              <w:t>项目名称</w:t>
            </w:r>
          </w:p>
        </w:tc>
        <w:tc>
          <w:tcPr>
            <w:tcW w:w="833" w:type="pct"/>
            <w:vAlign w:val="center"/>
          </w:tcPr>
          <w:p w:rsidR="00C54C61" w:rsidRDefault="00BF3A17">
            <w:pPr>
              <w:spacing w:line="360" w:lineRule="auto"/>
              <w:ind w:firstLineChars="200" w:firstLine="420"/>
              <w:contextualSpacing/>
              <w:rPr>
                <w:rFonts w:ascii="宋体" w:hAnsi="宋体"/>
                <w:szCs w:val="21"/>
              </w:rPr>
            </w:pPr>
            <w:r>
              <w:rPr>
                <w:rFonts w:ascii="宋体" w:hAnsi="宋体" w:hint="eastAsia"/>
                <w:szCs w:val="21"/>
              </w:rPr>
              <w:t>项目规模（金额）</w:t>
            </w:r>
          </w:p>
        </w:tc>
        <w:tc>
          <w:tcPr>
            <w:tcW w:w="787" w:type="pct"/>
            <w:vAlign w:val="center"/>
          </w:tcPr>
          <w:p w:rsidR="00C54C61" w:rsidRDefault="00BF3A17">
            <w:pPr>
              <w:spacing w:line="360" w:lineRule="auto"/>
              <w:ind w:firstLineChars="200" w:firstLine="420"/>
              <w:contextualSpacing/>
              <w:rPr>
                <w:rFonts w:ascii="宋体" w:hAnsi="宋体"/>
                <w:szCs w:val="21"/>
              </w:rPr>
            </w:pPr>
            <w:r>
              <w:rPr>
                <w:rFonts w:ascii="宋体" w:hAnsi="宋体" w:hint="eastAsia"/>
                <w:szCs w:val="21"/>
              </w:rPr>
              <w:t>合同签订日期</w:t>
            </w:r>
          </w:p>
        </w:tc>
        <w:tc>
          <w:tcPr>
            <w:tcW w:w="788" w:type="pct"/>
            <w:vAlign w:val="center"/>
          </w:tcPr>
          <w:p w:rsidR="00C54C61" w:rsidRDefault="00BF3A17">
            <w:pPr>
              <w:spacing w:line="360" w:lineRule="auto"/>
              <w:ind w:firstLineChars="200" w:firstLine="420"/>
              <w:contextualSpacing/>
              <w:rPr>
                <w:rFonts w:ascii="宋体" w:hAnsi="宋体"/>
                <w:szCs w:val="21"/>
              </w:rPr>
            </w:pPr>
            <w:r>
              <w:rPr>
                <w:rFonts w:ascii="宋体" w:hAnsi="宋体" w:hint="eastAsia"/>
                <w:szCs w:val="21"/>
              </w:rPr>
              <w:t>履约验收时间</w:t>
            </w:r>
          </w:p>
        </w:tc>
        <w:tc>
          <w:tcPr>
            <w:tcW w:w="790" w:type="pct"/>
            <w:vAlign w:val="center"/>
          </w:tcPr>
          <w:p w:rsidR="00C54C61" w:rsidRDefault="00BF3A17">
            <w:pPr>
              <w:spacing w:line="360" w:lineRule="auto"/>
              <w:ind w:firstLineChars="200" w:firstLine="420"/>
              <w:contextualSpacing/>
              <w:rPr>
                <w:rFonts w:ascii="宋体" w:hAnsi="宋体"/>
                <w:szCs w:val="21"/>
              </w:rPr>
            </w:pPr>
            <w:r>
              <w:rPr>
                <w:rFonts w:ascii="宋体" w:hAnsi="宋体" w:hint="eastAsia"/>
                <w:szCs w:val="21"/>
              </w:rPr>
              <w:t>完成质量情况（以履约验收报告为准）</w:t>
            </w:r>
          </w:p>
        </w:tc>
      </w:tr>
      <w:tr w:rsidR="00C54C61">
        <w:tc>
          <w:tcPr>
            <w:tcW w:w="871" w:type="pct"/>
            <w:vAlign w:val="center"/>
          </w:tcPr>
          <w:p w:rsidR="00C54C61" w:rsidRDefault="00C54C61">
            <w:pPr>
              <w:spacing w:line="360" w:lineRule="auto"/>
              <w:ind w:firstLineChars="200" w:firstLine="420"/>
              <w:contextualSpacing/>
              <w:rPr>
                <w:rFonts w:ascii="宋体" w:hAnsi="宋体"/>
                <w:szCs w:val="21"/>
              </w:rPr>
            </w:pPr>
          </w:p>
        </w:tc>
        <w:tc>
          <w:tcPr>
            <w:tcW w:w="928" w:type="pct"/>
            <w:vAlign w:val="center"/>
          </w:tcPr>
          <w:p w:rsidR="00C54C61" w:rsidRDefault="00C54C61">
            <w:pPr>
              <w:spacing w:line="360" w:lineRule="auto"/>
              <w:ind w:firstLineChars="200" w:firstLine="420"/>
              <w:contextualSpacing/>
              <w:rPr>
                <w:rFonts w:ascii="宋体" w:hAnsi="宋体"/>
                <w:szCs w:val="21"/>
              </w:rPr>
            </w:pPr>
          </w:p>
        </w:tc>
        <w:tc>
          <w:tcPr>
            <w:tcW w:w="833" w:type="pct"/>
            <w:vAlign w:val="center"/>
          </w:tcPr>
          <w:p w:rsidR="00C54C61" w:rsidRDefault="00C54C61">
            <w:pPr>
              <w:spacing w:line="360" w:lineRule="auto"/>
              <w:ind w:firstLineChars="200" w:firstLine="420"/>
              <w:contextualSpacing/>
              <w:rPr>
                <w:rFonts w:ascii="宋体" w:hAnsi="宋体"/>
                <w:szCs w:val="21"/>
              </w:rPr>
            </w:pPr>
          </w:p>
        </w:tc>
        <w:tc>
          <w:tcPr>
            <w:tcW w:w="787" w:type="pct"/>
            <w:vAlign w:val="center"/>
          </w:tcPr>
          <w:p w:rsidR="00C54C61" w:rsidRDefault="00C54C61">
            <w:pPr>
              <w:spacing w:line="360" w:lineRule="auto"/>
              <w:ind w:firstLineChars="200" w:firstLine="420"/>
              <w:contextualSpacing/>
              <w:rPr>
                <w:rFonts w:ascii="宋体" w:hAnsi="宋体"/>
                <w:szCs w:val="21"/>
              </w:rPr>
            </w:pPr>
          </w:p>
        </w:tc>
        <w:tc>
          <w:tcPr>
            <w:tcW w:w="788" w:type="pct"/>
            <w:vAlign w:val="center"/>
          </w:tcPr>
          <w:p w:rsidR="00C54C61" w:rsidRDefault="00C54C61">
            <w:pPr>
              <w:spacing w:line="360" w:lineRule="auto"/>
              <w:ind w:firstLineChars="200" w:firstLine="420"/>
              <w:contextualSpacing/>
              <w:rPr>
                <w:rFonts w:ascii="宋体" w:hAnsi="宋体"/>
                <w:szCs w:val="21"/>
              </w:rPr>
            </w:pPr>
          </w:p>
        </w:tc>
        <w:tc>
          <w:tcPr>
            <w:tcW w:w="790" w:type="pct"/>
            <w:vAlign w:val="center"/>
          </w:tcPr>
          <w:p w:rsidR="00C54C61" w:rsidRDefault="00C54C61">
            <w:pPr>
              <w:spacing w:line="360" w:lineRule="auto"/>
              <w:ind w:firstLineChars="200" w:firstLine="420"/>
              <w:contextualSpacing/>
              <w:rPr>
                <w:rFonts w:ascii="宋体" w:hAnsi="宋体"/>
                <w:szCs w:val="21"/>
              </w:rPr>
            </w:pPr>
          </w:p>
        </w:tc>
      </w:tr>
      <w:tr w:rsidR="00C54C61">
        <w:tc>
          <w:tcPr>
            <w:tcW w:w="871" w:type="pct"/>
            <w:vAlign w:val="center"/>
          </w:tcPr>
          <w:p w:rsidR="00C54C61" w:rsidRDefault="00C54C61">
            <w:pPr>
              <w:spacing w:line="360" w:lineRule="auto"/>
              <w:ind w:firstLineChars="200" w:firstLine="420"/>
              <w:contextualSpacing/>
              <w:rPr>
                <w:rFonts w:ascii="宋体" w:hAnsi="宋体"/>
                <w:szCs w:val="21"/>
              </w:rPr>
            </w:pPr>
          </w:p>
        </w:tc>
        <w:tc>
          <w:tcPr>
            <w:tcW w:w="928" w:type="pct"/>
            <w:vAlign w:val="center"/>
          </w:tcPr>
          <w:p w:rsidR="00C54C61" w:rsidRDefault="00C54C61">
            <w:pPr>
              <w:spacing w:line="360" w:lineRule="auto"/>
              <w:ind w:firstLineChars="200" w:firstLine="420"/>
              <w:contextualSpacing/>
              <w:rPr>
                <w:rFonts w:ascii="宋体" w:hAnsi="宋体"/>
                <w:szCs w:val="21"/>
              </w:rPr>
            </w:pPr>
          </w:p>
        </w:tc>
        <w:tc>
          <w:tcPr>
            <w:tcW w:w="833" w:type="pct"/>
            <w:vAlign w:val="center"/>
          </w:tcPr>
          <w:p w:rsidR="00C54C61" w:rsidRDefault="00C54C61">
            <w:pPr>
              <w:spacing w:line="360" w:lineRule="auto"/>
              <w:ind w:firstLineChars="200" w:firstLine="420"/>
              <w:contextualSpacing/>
              <w:rPr>
                <w:rFonts w:ascii="宋体" w:hAnsi="宋体"/>
                <w:szCs w:val="21"/>
              </w:rPr>
            </w:pPr>
          </w:p>
        </w:tc>
        <w:tc>
          <w:tcPr>
            <w:tcW w:w="787" w:type="pct"/>
            <w:vAlign w:val="center"/>
          </w:tcPr>
          <w:p w:rsidR="00C54C61" w:rsidRDefault="00C54C61">
            <w:pPr>
              <w:spacing w:line="360" w:lineRule="auto"/>
              <w:ind w:firstLineChars="200" w:firstLine="420"/>
              <w:contextualSpacing/>
              <w:rPr>
                <w:rFonts w:ascii="宋体" w:hAnsi="宋体"/>
                <w:szCs w:val="21"/>
              </w:rPr>
            </w:pPr>
          </w:p>
        </w:tc>
        <w:tc>
          <w:tcPr>
            <w:tcW w:w="788" w:type="pct"/>
            <w:vAlign w:val="center"/>
          </w:tcPr>
          <w:p w:rsidR="00C54C61" w:rsidRDefault="00C54C61">
            <w:pPr>
              <w:spacing w:line="360" w:lineRule="auto"/>
              <w:ind w:firstLineChars="200" w:firstLine="420"/>
              <w:contextualSpacing/>
              <w:rPr>
                <w:rFonts w:ascii="宋体" w:hAnsi="宋体"/>
                <w:szCs w:val="21"/>
              </w:rPr>
            </w:pPr>
          </w:p>
        </w:tc>
        <w:tc>
          <w:tcPr>
            <w:tcW w:w="790" w:type="pct"/>
            <w:vAlign w:val="center"/>
          </w:tcPr>
          <w:p w:rsidR="00C54C61" w:rsidRDefault="00C54C61">
            <w:pPr>
              <w:spacing w:line="360" w:lineRule="auto"/>
              <w:ind w:firstLineChars="200" w:firstLine="420"/>
              <w:contextualSpacing/>
              <w:rPr>
                <w:rFonts w:ascii="宋体" w:hAnsi="宋体"/>
                <w:szCs w:val="21"/>
              </w:rPr>
            </w:pPr>
          </w:p>
        </w:tc>
      </w:tr>
      <w:tr w:rsidR="00C54C61">
        <w:tc>
          <w:tcPr>
            <w:tcW w:w="871" w:type="pct"/>
            <w:vAlign w:val="center"/>
          </w:tcPr>
          <w:p w:rsidR="00C54C61" w:rsidRDefault="00C54C61">
            <w:pPr>
              <w:spacing w:line="360" w:lineRule="auto"/>
              <w:ind w:firstLineChars="200" w:firstLine="420"/>
              <w:contextualSpacing/>
              <w:rPr>
                <w:rFonts w:ascii="宋体" w:hAnsi="宋体"/>
                <w:szCs w:val="21"/>
              </w:rPr>
            </w:pPr>
          </w:p>
        </w:tc>
        <w:tc>
          <w:tcPr>
            <w:tcW w:w="928" w:type="pct"/>
            <w:vAlign w:val="center"/>
          </w:tcPr>
          <w:p w:rsidR="00C54C61" w:rsidRDefault="00C54C61">
            <w:pPr>
              <w:spacing w:line="360" w:lineRule="auto"/>
              <w:ind w:firstLineChars="200" w:firstLine="420"/>
              <w:contextualSpacing/>
              <w:rPr>
                <w:rFonts w:ascii="宋体" w:hAnsi="宋体"/>
                <w:szCs w:val="21"/>
              </w:rPr>
            </w:pPr>
          </w:p>
        </w:tc>
        <w:tc>
          <w:tcPr>
            <w:tcW w:w="833" w:type="pct"/>
            <w:vAlign w:val="center"/>
          </w:tcPr>
          <w:p w:rsidR="00C54C61" w:rsidRDefault="00C54C61">
            <w:pPr>
              <w:spacing w:line="360" w:lineRule="auto"/>
              <w:ind w:firstLineChars="200" w:firstLine="420"/>
              <w:contextualSpacing/>
              <w:rPr>
                <w:rFonts w:ascii="宋体" w:hAnsi="宋体"/>
                <w:szCs w:val="21"/>
              </w:rPr>
            </w:pPr>
          </w:p>
        </w:tc>
        <w:tc>
          <w:tcPr>
            <w:tcW w:w="787" w:type="pct"/>
            <w:vAlign w:val="center"/>
          </w:tcPr>
          <w:p w:rsidR="00C54C61" w:rsidRDefault="00C54C61">
            <w:pPr>
              <w:spacing w:line="360" w:lineRule="auto"/>
              <w:ind w:firstLineChars="200" w:firstLine="420"/>
              <w:contextualSpacing/>
              <w:rPr>
                <w:rFonts w:ascii="宋体" w:hAnsi="宋体"/>
                <w:szCs w:val="21"/>
              </w:rPr>
            </w:pPr>
          </w:p>
        </w:tc>
        <w:tc>
          <w:tcPr>
            <w:tcW w:w="788" w:type="pct"/>
            <w:vAlign w:val="center"/>
          </w:tcPr>
          <w:p w:rsidR="00C54C61" w:rsidRDefault="00C54C61">
            <w:pPr>
              <w:spacing w:line="360" w:lineRule="auto"/>
              <w:ind w:firstLineChars="200" w:firstLine="420"/>
              <w:contextualSpacing/>
              <w:rPr>
                <w:rFonts w:ascii="宋体" w:hAnsi="宋体"/>
                <w:szCs w:val="21"/>
              </w:rPr>
            </w:pPr>
          </w:p>
        </w:tc>
        <w:tc>
          <w:tcPr>
            <w:tcW w:w="790" w:type="pct"/>
            <w:vAlign w:val="center"/>
          </w:tcPr>
          <w:p w:rsidR="00C54C61" w:rsidRDefault="00C54C61">
            <w:pPr>
              <w:spacing w:line="360" w:lineRule="auto"/>
              <w:ind w:firstLineChars="200" w:firstLine="420"/>
              <w:contextualSpacing/>
              <w:rPr>
                <w:rFonts w:ascii="宋体" w:hAnsi="宋体"/>
                <w:szCs w:val="21"/>
              </w:rPr>
            </w:pPr>
          </w:p>
        </w:tc>
      </w:tr>
      <w:tr w:rsidR="00C54C61">
        <w:tc>
          <w:tcPr>
            <w:tcW w:w="871" w:type="pct"/>
            <w:vAlign w:val="center"/>
          </w:tcPr>
          <w:p w:rsidR="00C54C61" w:rsidRDefault="00C54C61">
            <w:pPr>
              <w:spacing w:line="360" w:lineRule="auto"/>
              <w:ind w:firstLineChars="200" w:firstLine="420"/>
              <w:contextualSpacing/>
              <w:rPr>
                <w:rFonts w:ascii="宋体" w:hAnsi="宋体"/>
                <w:szCs w:val="21"/>
              </w:rPr>
            </w:pPr>
          </w:p>
        </w:tc>
        <w:tc>
          <w:tcPr>
            <w:tcW w:w="928" w:type="pct"/>
            <w:vAlign w:val="center"/>
          </w:tcPr>
          <w:p w:rsidR="00C54C61" w:rsidRDefault="00C54C61">
            <w:pPr>
              <w:spacing w:line="360" w:lineRule="auto"/>
              <w:ind w:firstLineChars="200" w:firstLine="420"/>
              <w:contextualSpacing/>
              <w:rPr>
                <w:rFonts w:ascii="宋体" w:hAnsi="宋体"/>
                <w:szCs w:val="21"/>
              </w:rPr>
            </w:pPr>
          </w:p>
        </w:tc>
        <w:tc>
          <w:tcPr>
            <w:tcW w:w="833" w:type="pct"/>
            <w:vAlign w:val="center"/>
          </w:tcPr>
          <w:p w:rsidR="00C54C61" w:rsidRDefault="00C54C61">
            <w:pPr>
              <w:spacing w:line="360" w:lineRule="auto"/>
              <w:ind w:firstLineChars="200" w:firstLine="420"/>
              <w:contextualSpacing/>
              <w:rPr>
                <w:rFonts w:ascii="宋体" w:hAnsi="宋体"/>
                <w:szCs w:val="21"/>
              </w:rPr>
            </w:pPr>
          </w:p>
        </w:tc>
        <w:tc>
          <w:tcPr>
            <w:tcW w:w="787" w:type="pct"/>
            <w:vAlign w:val="center"/>
          </w:tcPr>
          <w:p w:rsidR="00C54C61" w:rsidRDefault="00C54C61">
            <w:pPr>
              <w:spacing w:line="360" w:lineRule="auto"/>
              <w:ind w:firstLineChars="200" w:firstLine="420"/>
              <w:contextualSpacing/>
              <w:rPr>
                <w:rFonts w:ascii="宋体" w:hAnsi="宋体"/>
                <w:szCs w:val="21"/>
              </w:rPr>
            </w:pPr>
          </w:p>
        </w:tc>
        <w:tc>
          <w:tcPr>
            <w:tcW w:w="788" w:type="pct"/>
            <w:vAlign w:val="center"/>
          </w:tcPr>
          <w:p w:rsidR="00C54C61" w:rsidRDefault="00C54C61">
            <w:pPr>
              <w:spacing w:line="360" w:lineRule="auto"/>
              <w:ind w:firstLineChars="200" w:firstLine="420"/>
              <w:contextualSpacing/>
              <w:rPr>
                <w:rFonts w:ascii="宋体" w:hAnsi="宋体"/>
                <w:szCs w:val="21"/>
              </w:rPr>
            </w:pPr>
          </w:p>
        </w:tc>
        <w:tc>
          <w:tcPr>
            <w:tcW w:w="790" w:type="pct"/>
            <w:vAlign w:val="center"/>
          </w:tcPr>
          <w:p w:rsidR="00C54C61" w:rsidRDefault="00C54C61">
            <w:pPr>
              <w:spacing w:line="360" w:lineRule="auto"/>
              <w:ind w:firstLineChars="200" w:firstLine="420"/>
              <w:contextualSpacing/>
              <w:rPr>
                <w:rFonts w:ascii="宋体" w:hAnsi="宋体"/>
                <w:szCs w:val="21"/>
              </w:rPr>
            </w:pPr>
          </w:p>
        </w:tc>
      </w:tr>
      <w:tr w:rsidR="00C54C61">
        <w:tc>
          <w:tcPr>
            <w:tcW w:w="871" w:type="pct"/>
            <w:vAlign w:val="center"/>
          </w:tcPr>
          <w:p w:rsidR="00C54C61" w:rsidRDefault="00C54C61">
            <w:pPr>
              <w:spacing w:line="360" w:lineRule="auto"/>
              <w:ind w:firstLineChars="200" w:firstLine="420"/>
              <w:contextualSpacing/>
              <w:rPr>
                <w:rFonts w:ascii="宋体" w:hAnsi="宋体"/>
                <w:szCs w:val="21"/>
              </w:rPr>
            </w:pPr>
          </w:p>
        </w:tc>
        <w:tc>
          <w:tcPr>
            <w:tcW w:w="928" w:type="pct"/>
            <w:vAlign w:val="center"/>
          </w:tcPr>
          <w:p w:rsidR="00C54C61" w:rsidRDefault="00C54C61">
            <w:pPr>
              <w:spacing w:line="360" w:lineRule="auto"/>
              <w:ind w:firstLineChars="200" w:firstLine="420"/>
              <w:contextualSpacing/>
              <w:rPr>
                <w:rFonts w:ascii="宋体" w:hAnsi="宋体"/>
                <w:szCs w:val="21"/>
              </w:rPr>
            </w:pPr>
          </w:p>
        </w:tc>
        <w:tc>
          <w:tcPr>
            <w:tcW w:w="833" w:type="pct"/>
            <w:vAlign w:val="center"/>
          </w:tcPr>
          <w:p w:rsidR="00C54C61" w:rsidRDefault="00C54C61">
            <w:pPr>
              <w:spacing w:line="360" w:lineRule="auto"/>
              <w:ind w:firstLineChars="200" w:firstLine="420"/>
              <w:contextualSpacing/>
              <w:rPr>
                <w:rFonts w:ascii="宋体" w:hAnsi="宋体"/>
                <w:szCs w:val="21"/>
              </w:rPr>
            </w:pPr>
          </w:p>
        </w:tc>
        <w:tc>
          <w:tcPr>
            <w:tcW w:w="787" w:type="pct"/>
            <w:vAlign w:val="center"/>
          </w:tcPr>
          <w:p w:rsidR="00C54C61" w:rsidRDefault="00C54C61">
            <w:pPr>
              <w:spacing w:line="360" w:lineRule="auto"/>
              <w:ind w:firstLineChars="200" w:firstLine="420"/>
              <w:contextualSpacing/>
              <w:rPr>
                <w:rFonts w:ascii="宋体" w:hAnsi="宋体"/>
                <w:szCs w:val="21"/>
              </w:rPr>
            </w:pPr>
          </w:p>
        </w:tc>
        <w:tc>
          <w:tcPr>
            <w:tcW w:w="788" w:type="pct"/>
            <w:vAlign w:val="center"/>
          </w:tcPr>
          <w:p w:rsidR="00C54C61" w:rsidRDefault="00C54C61">
            <w:pPr>
              <w:spacing w:line="360" w:lineRule="auto"/>
              <w:ind w:firstLineChars="200" w:firstLine="420"/>
              <w:contextualSpacing/>
              <w:rPr>
                <w:rFonts w:ascii="宋体" w:hAnsi="宋体"/>
                <w:szCs w:val="21"/>
              </w:rPr>
            </w:pPr>
          </w:p>
        </w:tc>
        <w:tc>
          <w:tcPr>
            <w:tcW w:w="790" w:type="pct"/>
            <w:vAlign w:val="center"/>
          </w:tcPr>
          <w:p w:rsidR="00C54C61" w:rsidRDefault="00C54C61">
            <w:pPr>
              <w:spacing w:line="360" w:lineRule="auto"/>
              <w:ind w:firstLineChars="200" w:firstLine="420"/>
              <w:contextualSpacing/>
              <w:rPr>
                <w:rFonts w:ascii="宋体" w:hAnsi="宋体"/>
                <w:szCs w:val="21"/>
              </w:rPr>
            </w:pPr>
          </w:p>
        </w:tc>
      </w:tr>
      <w:tr w:rsidR="00C54C61">
        <w:tc>
          <w:tcPr>
            <w:tcW w:w="871" w:type="pct"/>
            <w:vAlign w:val="center"/>
          </w:tcPr>
          <w:p w:rsidR="00C54C61" w:rsidRDefault="00C54C61">
            <w:pPr>
              <w:spacing w:line="360" w:lineRule="auto"/>
              <w:ind w:firstLineChars="200" w:firstLine="420"/>
              <w:contextualSpacing/>
              <w:rPr>
                <w:rFonts w:ascii="宋体" w:hAnsi="宋体"/>
                <w:szCs w:val="21"/>
              </w:rPr>
            </w:pPr>
          </w:p>
        </w:tc>
        <w:tc>
          <w:tcPr>
            <w:tcW w:w="928" w:type="pct"/>
            <w:vAlign w:val="center"/>
          </w:tcPr>
          <w:p w:rsidR="00C54C61" w:rsidRDefault="00C54C61">
            <w:pPr>
              <w:spacing w:line="360" w:lineRule="auto"/>
              <w:ind w:firstLineChars="200" w:firstLine="420"/>
              <w:contextualSpacing/>
              <w:rPr>
                <w:rFonts w:ascii="宋体" w:hAnsi="宋体"/>
                <w:szCs w:val="21"/>
              </w:rPr>
            </w:pPr>
          </w:p>
        </w:tc>
        <w:tc>
          <w:tcPr>
            <w:tcW w:w="833" w:type="pct"/>
            <w:vAlign w:val="center"/>
          </w:tcPr>
          <w:p w:rsidR="00C54C61" w:rsidRDefault="00C54C61">
            <w:pPr>
              <w:spacing w:line="360" w:lineRule="auto"/>
              <w:ind w:firstLineChars="200" w:firstLine="420"/>
              <w:contextualSpacing/>
              <w:rPr>
                <w:rFonts w:ascii="宋体" w:hAnsi="宋体"/>
                <w:szCs w:val="21"/>
              </w:rPr>
            </w:pPr>
          </w:p>
        </w:tc>
        <w:tc>
          <w:tcPr>
            <w:tcW w:w="787" w:type="pct"/>
            <w:vAlign w:val="center"/>
          </w:tcPr>
          <w:p w:rsidR="00C54C61" w:rsidRDefault="00C54C61">
            <w:pPr>
              <w:spacing w:line="360" w:lineRule="auto"/>
              <w:ind w:firstLineChars="200" w:firstLine="420"/>
              <w:contextualSpacing/>
              <w:rPr>
                <w:rFonts w:ascii="宋体" w:hAnsi="宋体"/>
                <w:szCs w:val="21"/>
              </w:rPr>
            </w:pPr>
          </w:p>
        </w:tc>
        <w:tc>
          <w:tcPr>
            <w:tcW w:w="788" w:type="pct"/>
            <w:vAlign w:val="center"/>
          </w:tcPr>
          <w:p w:rsidR="00C54C61" w:rsidRDefault="00C54C61">
            <w:pPr>
              <w:spacing w:line="360" w:lineRule="auto"/>
              <w:ind w:firstLineChars="200" w:firstLine="420"/>
              <w:contextualSpacing/>
              <w:rPr>
                <w:rFonts w:ascii="宋体" w:hAnsi="宋体"/>
                <w:szCs w:val="21"/>
              </w:rPr>
            </w:pPr>
          </w:p>
        </w:tc>
        <w:tc>
          <w:tcPr>
            <w:tcW w:w="790" w:type="pct"/>
            <w:vAlign w:val="center"/>
          </w:tcPr>
          <w:p w:rsidR="00C54C61" w:rsidRDefault="00C54C61">
            <w:pPr>
              <w:spacing w:line="360" w:lineRule="auto"/>
              <w:ind w:firstLineChars="200" w:firstLine="420"/>
              <w:contextualSpacing/>
              <w:rPr>
                <w:rFonts w:ascii="宋体" w:hAnsi="宋体"/>
                <w:szCs w:val="21"/>
              </w:rPr>
            </w:pPr>
          </w:p>
        </w:tc>
      </w:tr>
      <w:tr w:rsidR="00C54C61">
        <w:tc>
          <w:tcPr>
            <w:tcW w:w="871" w:type="pct"/>
            <w:vAlign w:val="center"/>
          </w:tcPr>
          <w:p w:rsidR="00C54C61" w:rsidRDefault="00C54C61">
            <w:pPr>
              <w:spacing w:line="360" w:lineRule="auto"/>
              <w:ind w:firstLineChars="200" w:firstLine="420"/>
              <w:contextualSpacing/>
              <w:rPr>
                <w:rFonts w:ascii="宋体" w:hAnsi="宋体"/>
                <w:szCs w:val="21"/>
              </w:rPr>
            </w:pPr>
          </w:p>
        </w:tc>
        <w:tc>
          <w:tcPr>
            <w:tcW w:w="928" w:type="pct"/>
            <w:vAlign w:val="center"/>
          </w:tcPr>
          <w:p w:rsidR="00C54C61" w:rsidRDefault="00C54C61">
            <w:pPr>
              <w:spacing w:line="360" w:lineRule="auto"/>
              <w:ind w:firstLineChars="200" w:firstLine="420"/>
              <w:contextualSpacing/>
              <w:rPr>
                <w:rFonts w:ascii="宋体" w:hAnsi="宋体"/>
                <w:szCs w:val="21"/>
              </w:rPr>
            </w:pPr>
          </w:p>
        </w:tc>
        <w:tc>
          <w:tcPr>
            <w:tcW w:w="833" w:type="pct"/>
            <w:vAlign w:val="center"/>
          </w:tcPr>
          <w:p w:rsidR="00C54C61" w:rsidRDefault="00C54C61">
            <w:pPr>
              <w:spacing w:line="360" w:lineRule="auto"/>
              <w:ind w:firstLineChars="200" w:firstLine="420"/>
              <w:contextualSpacing/>
              <w:rPr>
                <w:rFonts w:ascii="宋体" w:hAnsi="宋体"/>
                <w:szCs w:val="21"/>
              </w:rPr>
            </w:pPr>
          </w:p>
        </w:tc>
        <w:tc>
          <w:tcPr>
            <w:tcW w:w="787" w:type="pct"/>
            <w:vAlign w:val="center"/>
          </w:tcPr>
          <w:p w:rsidR="00C54C61" w:rsidRDefault="00C54C61">
            <w:pPr>
              <w:spacing w:line="360" w:lineRule="auto"/>
              <w:ind w:firstLineChars="200" w:firstLine="420"/>
              <w:contextualSpacing/>
              <w:rPr>
                <w:rFonts w:ascii="宋体" w:hAnsi="宋体"/>
                <w:szCs w:val="21"/>
              </w:rPr>
            </w:pPr>
          </w:p>
        </w:tc>
        <w:tc>
          <w:tcPr>
            <w:tcW w:w="788" w:type="pct"/>
            <w:vAlign w:val="center"/>
          </w:tcPr>
          <w:p w:rsidR="00C54C61" w:rsidRDefault="00C54C61">
            <w:pPr>
              <w:spacing w:line="360" w:lineRule="auto"/>
              <w:ind w:firstLineChars="200" w:firstLine="420"/>
              <w:contextualSpacing/>
              <w:rPr>
                <w:rFonts w:ascii="宋体" w:hAnsi="宋体"/>
                <w:szCs w:val="21"/>
              </w:rPr>
            </w:pPr>
          </w:p>
        </w:tc>
        <w:tc>
          <w:tcPr>
            <w:tcW w:w="790" w:type="pct"/>
            <w:vAlign w:val="center"/>
          </w:tcPr>
          <w:p w:rsidR="00C54C61" w:rsidRDefault="00C54C61">
            <w:pPr>
              <w:spacing w:line="360" w:lineRule="auto"/>
              <w:ind w:firstLineChars="200" w:firstLine="420"/>
              <w:contextualSpacing/>
              <w:rPr>
                <w:rFonts w:ascii="宋体" w:hAnsi="宋体"/>
                <w:szCs w:val="21"/>
              </w:rPr>
            </w:pPr>
          </w:p>
        </w:tc>
      </w:tr>
      <w:tr w:rsidR="00C54C61">
        <w:tc>
          <w:tcPr>
            <w:tcW w:w="871" w:type="pct"/>
            <w:vAlign w:val="center"/>
          </w:tcPr>
          <w:p w:rsidR="00C54C61" w:rsidRDefault="00C54C61">
            <w:pPr>
              <w:spacing w:line="360" w:lineRule="auto"/>
              <w:ind w:firstLineChars="200" w:firstLine="420"/>
              <w:contextualSpacing/>
              <w:rPr>
                <w:rFonts w:ascii="宋体" w:hAnsi="宋体"/>
                <w:szCs w:val="21"/>
              </w:rPr>
            </w:pPr>
          </w:p>
        </w:tc>
        <w:tc>
          <w:tcPr>
            <w:tcW w:w="928" w:type="pct"/>
            <w:vAlign w:val="center"/>
          </w:tcPr>
          <w:p w:rsidR="00C54C61" w:rsidRDefault="00C54C61">
            <w:pPr>
              <w:spacing w:line="360" w:lineRule="auto"/>
              <w:ind w:firstLineChars="200" w:firstLine="420"/>
              <w:contextualSpacing/>
              <w:rPr>
                <w:rFonts w:ascii="宋体" w:hAnsi="宋体"/>
                <w:szCs w:val="21"/>
              </w:rPr>
            </w:pPr>
          </w:p>
        </w:tc>
        <w:tc>
          <w:tcPr>
            <w:tcW w:w="833" w:type="pct"/>
            <w:vAlign w:val="center"/>
          </w:tcPr>
          <w:p w:rsidR="00C54C61" w:rsidRDefault="00C54C61">
            <w:pPr>
              <w:spacing w:line="360" w:lineRule="auto"/>
              <w:ind w:firstLineChars="200" w:firstLine="420"/>
              <w:contextualSpacing/>
              <w:rPr>
                <w:rFonts w:ascii="宋体" w:hAnsi="宋体"/>
                <w:szCs w:val="21"/>
              </w:rPr>
            </w:pPr>
          </w:p>
        </w:tc>
        <w:tc>
          <w:tcPr>
            <w:tcW w:w="787" w:type="pct"/>
            <w:vAlign w:val="center"/>
          </w:tcPr>
          <w:p w:rsidR="00C54C61" w:rsidRDefault="00C54C61">
            <w:pPr>
              <w:spacing w:line="360" w:lineRule="auto"/>
              <w:ind w:firstLineChars="200" w:firstLine="420"/>
              <w:contextualSpacing/>
              <w:rPr>
                <w:rFonts w:ascii="宋体" w:hAnsi="宋体"/>
                <w:szCs w:val="21"/>
              </w:rPr>
            </w:pPr>
          </w:p>
        </w:tc>
        <w:tc>
          <w:tcPr>
            <w:tcW w:w="788" w:type="pct"/>
            <w:vAlign w:val="center"/>
          </w:tcPr>
          <w:p w:rsidR="00C54C61" w:rsidRDefault="00C54C61">
            <w:pPr>
              <w:spacing w:line="360" w:lineRule="auto"/>
              <w:ind w:firstLineChars="200" w:firstLine="420"/>
              <w:contextualSpacing/>
              <w:rPr>
                <w:rFonts w:ascii="宋体" w:hAnsi="宋体"/>
                <w:szCs w:val="21"/>
              </w:rPr>
            </w:pPr>
          </w:p>
        </w:tc>
        <w:tc>
          <w:tcPr>
            <w:tcW w:w="790" w:type="pct"/>
            <w:vAlign w:val="center"/>
          </w:tcPr>
          <w:p w:rsidR="00C54C61" w:rsidRDefault="00C54C61">
            <w:pPr>
              <w:spacing w:line="360" w:lineRule="auto"/>
              <w:ind w:firstLineChars="200" w:firstLine="420"/>
              <w:contextualSpacing/>
              <w:rPr>
                <w:rFonts w:ascii="宋体" w:hAnsi="宋体"/>
                <w:szCs w:val="21"/>
              </w:rPr>
            </w:pPr>
          </w:p>
        </w:tc>
      </w:tr>
    </w:tbl>
    <w:p w:rsidR="00C54C61" w:rsidRDefault="00C54C61">
      <w:pPr>
        <w:spacing w:line="360" w:lineRule="auto"/>
        <w:ind w:firstLineChars="200" w:firstLine="420"/>
        <w:contextualSpacing/>
        <w:rPr>
          <w:rFonts w:ascii="宋体" w:hAnsi="宋体"/>
          <w:szCs w:val="21"/>
        </w:rPr>
      </w:pPr>
    </w:p>
    <w:p w:rsidR="00C54C61" w:rsidRDefault="00C54C61">
      <w:pPr>
        <w:spacing w:line="360" w:lineRule="auto"/>
        <w:ind w:firstLineChars="200" w:firstLine="420"/>
        <w:contextualSpacing/>
        <w:rPr>
          <w:rFonts w:ascii="宋体" w:hAnsi="宋体"/>
          <w:szCs w:val="21"/>
        </w:rPr>
      </w:pPr>
    </w:p>
    <w:p w:rsidR="00C54C61" w:rsidRDefault="00BF3A17">
      <w:pPr>
        <w:spacing w:line="360" w:lineRule="auto"/>
        <w:contextualSpacing/>
        <w:jc w:val="center"/>
        <w:outlineLvl w:val="3"/>
        <w:rPr>
          <w:rFonts w:ascii="黑体" w:eastAsia="黑体" w:hAnsi="宋体"/>
          <w:bCs/>
          <w:kern w:val="0"/>
          <w:sz w:val="24"/>
          <w:szCs w:val="32"/>
        </w:rPr>
      </w:pPr>
      <w:r>
        <w:rPr>
          <w:rFonts w:ascii="黑体" w:eastAsia="黑体" w:hAnsi="宋体" w:hint="eastAsia"/>
          <w:bCs/>
          <w:kern w:val="0"/>
          <w:sz w:val="24"/>
          <w:szCs w:val="32"/>
        </w:rPr>
        <w:t>（七）中小企业声明函、残疾人福利性单位声明函及监狱企业声明函</w:t>
      </w:r>
      <w:r>
        <w:rPr>
          <w:rFonts w:hint="eastAsia"/>
          <w:b/>
          <w:color w:val="FF0000"/>
          <w:szCs w:val="22"/>
        </w:rPr>
        <w:t>(</w:t>
      </w:r>
      <w:r>
        <w:rPr>
          <w:rFonts w:hint="eastAsia"/>
          <w:b/>
          <w:color w:val="FF0000"/>
          <w:szCs w:val="22"/>
        </w:rPr>
        <w:t>可选项</w:t>
      </w:r>
      <w:r>
        <w:rPr>
          <w:rFonts w:hint="eastAsia"/>
          <w:b/>
          <w:color w:val="FF0000"/>
          <w:szCs w:val="22"/>
        </w:rPr>
        <w:t>)</w:t>
      </w:r>
    </w:p>
    <w:p w:rsidR="00C54C61" w:rsidRDefault="00C54C61">
      <w:pPr>
        <w:spacing w:line="360" w:lineRule="auto"/>
        <w:ind w:firstLineChars="200" w:firstLine="422"/>
        <w:contextualSpacing/>
        <w:rPr>
          <w:b/>
          <w:color w:val="FF0000"/>
          <w:szCs w:val="22"/>
        </w:rPr>
      </w:pPr>
    </w:p>
    <w:p w:rsidR="00C54C61" w:rsidRDefault="00BF3A17">
      <w:pPr>
        <w:spacing w:line="360" w:lineRule="auto"/>
        <w:ind w:firstLineChars="200" w:firstLine="422"/>
        <w:contextualSpacing/>
        <w:rPr>
          <w:b/>
          <w:color w:val="FF0000"/>
          <w:szCs w:val="22"/>
        </w:rPr>
      </w:pPr>
      <w:r>
        <w:rPr>
          <w:rFonts w:hint="eastAsia"/>
          <w:b/>
          <w:color w:val="FF0000"/>
          <w:szCs w:val="22"/>
        </w:rPr>
        <w:t>填写指引：</w:t>
      </w:r>
    </w:p>
    <w:p w:rsidR="00C54C61" w:rsidRDefault="00BF3A17">
      <w:pPr>
        <w:spacing w:line="360" w:lineRule="auto"/>
        <w:ind w:firstLineChars="200" w:firstLine="422"/>
        <w:contextualSpacing/>
        <w:rPr>
          <w:b/>
          <w:color w:val="FF0000"/>
          <w:szCs w:val="22"/>
        </w:rPr>
      </w:pPr>
      <w:r>
        <w:rPr>
          <w:rFonts w:hint="eastAsia"/>
          <w:b/>
          <w:color w:val="FF0000"/>
          <w:szCs w:val="22"/>
        </w:rPr>
        <w:t>1</w:t>
      </w:r>
      <w:r>
        <w:rPr>
          <w:rFonts w:hint="eastAsia"/>
          <w:b/>
          <w:color w:val="FF0000"/>
          <w:szCs w:val="22"/>
        </w:rPr>
        <w:t>、该部分内容由供应商根据自身实际情况填写，不符合要求的供应商可以不填写或直接删除相应的声明函。供应商自行对声明内容的真实性负责；如提供虚假声明，将报送主管部门进行行政处罚。</w:t>
      </w:r>
      <w:r>
        <w:rPr>
          <w:rFonts w:hint="eastAsia"/>
          <w:b/>
          <w:color w:val="FF0000"/>
        </w:rPr>
        <w:t>若无法确定是否为中小微企业，可查阅《关于印发中小企业划型标准规定的通知》（工信部联企业【</w:t>
      </w:r>
      <w:r>
        <w:rPr>
          <w:rFonts w:hint="eastAsia"/>
          <w:b/>
          <w:color w:val="FF0000"/>
        </w:rPr>
        <w:t>2011</w:t>
      </w:r>
      <w:r>
        <w:rPr>
          <w:rFonts w:hint="eastAsia"/>
          <w:b/>
          <w:color w:val="FF0000"/>
        </w:rPr>
        <w:t>】</w:t>
      </w:r>
      <w:r>
        <w:rPr>
          <w:rFonts w:hint="eastAsia"/>
          <w:b/>
          <w:color w:val="FF0000"/>
        </w:rPr>
        <w:t>300</w:t>
      </w:r>
      <w:r>
        <w:rPr>
          <w:rFonts w:hint="eastAsia"/>
          <w:b/>
          <w:color w:val="FF0000"/>
        </w:rPr>
        <w:t>号）或向深圳市中小企业服务局咨询。</w:t>
      </w:r>
    </w:p>
    <w:p w:rsidR="00C54C61" w:rsidRDefault="00BF3A17">
      <w:pPr>
        <w:spacing w:line="360" w:lineRule="auto"/>
        <w:ind w:firstLineChars="200" w:firstLine="422"/>
        <w:contextualSpacing/>
        <w:rPr>
          <w:b/>
          <w:color w:val="FF0000"/>
          <w:szCs w:val="22"/>
        </w:rPr>
      </w:pPr>
      <w:r>
        <w:rPr>
          <w:rFonts w:hint="eastAsia"/>
          <w:b/>
          <w:color w:val="FF0000"/>
          <w:szCs w:val="22"/>
        </w:rPr>
        <w:t>2</w:t>
      </w:r>
      <w:r>
        <w:rPr>
          <w:rFonts w:hint="eastAsia"/>
          <w:b/>
          <w:color w:val="FF0000"/>
          <w:szCs w:val="22"/>
        </w:rPr>
        <w:t>、该部分内容填写需要参考的相关文件：（</w:t>
      </w:r>
      <w:r>
        <w:rPr>
          <w:rFonts w:hint="eastAsia"/>
          <w:b/>
          <w:color w:val="FF0000"/>
          <w:szCs w:val="22"/>
        </w:rPr>
        <w:t>1</w:t>
      </w:r>
      <w:r>
        <w:rPr>
          <w:rFonts w:hint="eastAsia"/>
          <w:b/>
          <w:color w:val="FF0000"/>
          <w:szCs w:val="22"/>
        </w:rPr>
        <w:t>）《深圳市财政局关于落实有关政府采购优惠政策的意见》（深财购函【</w:t>
      </w:r>
      <w:r>
        <w:rPr>
          <w:rFonts w:hint="eastAsia"/>
          <w:b/>
          <w:color w:val="FF0000"/>
          <w:szCs w:val="22"/>
        </w:rPr>
        <w:t>2019</w:t>
      </w:r>
      <w:r>
        <w:rPr>
          <w:rFonts w:hint="eastAsia"/>
          <w:b/>
          <w:color w:val="FF0000"/>
          <w:szCs w:val="22"/>
        </w:rPr>
        <w:t>】</w:t>
      </w:r>
      <w:r>
        <w:rPr>
          <w:rFonts w:hint="eastAsia"/>
          <w:b/>
          <w:color w:val="FF0000"/>
          <w:szCs w:val="22"/>
        </w:rPr>
        <w:t>868</w:t>
      </w:r>
      <w:r>
        <w:rPr>
          <w:rFonts w:hint="eastAsia"/>
          <w:b/>
          <w:color w:val="FF0000"/>
          <w:szCs w:val="22"/>
        </w:rPr>
        <w:t>号）；</w:t>
      </w:r>
      <w:r>
        <w:rPr>
          <w:rFonts w:hint="eastAsia"/>
          <w:b/>
          <w:color w:val="FF0000"/>
          <w:szCs w:val="22"/>
        </w:rPr>
        <w:t>(2)</w:t>
      </w:r>
      <w:r>
        <w:rPr>
          <w:rFonts w:hint="eastAsia"/>
          <w:b/>
          <w:color w:val="FF0000"/>
          <w:szCs w:val="22"/>
        </w:rPr>
        <w:t>财政部《政府采购促进中小企业发展暂行办法》（财库〔</w:t>
      </w:r>
      <w:r>
        <w:rPr>
          <w:rFonts w:hint="eastAsia"/>
          <w:b/>
          <w:color w:val="FF0000"/>
          <w:szCs w:val="22"/>
        </w:rPr>
        <w:t>2011</w:t>
      </w:r>
      <w:r>
        <w:rPr>
          <w:rFonts w:hint="eastAsia"/>
          <w:b/>
          <w:color w:val="FF0000"/>
          <w:szCs w:val="22"/>
        </w:rPr>
        <w:t>〕</w:t>
      </w:r>
      <w:r>
        <w:rPr>
          <w:rFonts w:hint="eastAsia"/>
          <w:b/>
          <w:color w:val="FF0000"/>
          <w:szCs w:val="22"/>
        </w:rPr>
        <w:t xml:space="preserve">181 </w:t>
      </w:r>
      <w:r>
        <w:rPr>
          <w:rFonts w:hint="eastAsia"/>
          <w:b/>
          <w:color w:val="FF0000"/>
          <w:szCs w:val="22"/>
        </w:rPr>
        <w:t>号）；</w:t>
      </w:r>
      <w:r>
        <w:rPr>
          <w:rFonts w:hint="eastAsia"/>
          <w:b/>
          <w:color w:val="FF0000"/>
          <w:szCs w:val="22"/>
        </w:rPr>
        <w:t xml:space="preserve">(3) </w:t>
      </w:r>
      <w:r>
        <w:rPr>
          <w:rFonts w:hint="eastAsia"/>
          <w:b/>
          <w:color w:val="FF0000"/>
          <w:szCs w:val="22"/>
        </w:rPr>
        <w:t>《工业和信息化部、国家统计局、国家发展和改革委员会、财政部关于印发中小企业划型标准规定的通知》（工信部联企业〔</w:t>
      </w:r>
      <w:r>
        <w:rPr>
          <w:rFonts w:hint="eastAsia"/>
          <w:b/>
          <w:color w:val="FF0000"/>
          <w:szCs w:val="22"/>
        </w:rPr>
        <w:t>2011</w:t>
      </w:r>
      <w:r>
        <w:rPr>
          <w:rFonts w:hint="eastAsia"/>
          <w:b/>
          <w:color w:val="FF0000"/>
          <w:szCs w:val="22"/>
        </w:rPr>
        <w:t>〕</w:t>
      </w:r>
      <w:r>
        <w:rPr>
          <w:rFonts w:hint="eastAsia"/>
          <w:b/>
          <w:color w:val="FF0000"/>
          <w:szCs w:val="22"/>
        </w:rPr>
        <w:t xml:space="preserve">300 </w:t>
      </w:r>
      <w:r>
        <w:rPr>
          <w:rFonts w:hint="eastAsia"/>
          <w:b/>
          <w:color w:val="FF0000"/>
          <w:szCs w:val="22"/>
        </w:rPr>
        <w:t>号）。</w:t>
      </w:r>
    </w:p>
    <w:p w:rsidR="00C54C61" w:rsidRDefault="00BF3A17">
      <w:pPr>
        <w:spacing w:line="360" w:lineRule="auto"/>
        <w:ind w:firstLineChars="200" w:firstLine="422"/>
        <w:contextualSpacing/>
        <w:rPr>
          <w:b/>
          <w:color w:val="FF0000"/>
          <w:szCs w:val="22"/>
        </w:rPr>
      </w:pPr>
      <w:r>
        <w:rPr>
          <w:rFonts w:hint="eastAsia"/>
          <w:b/>
          <w:color w:val="FF0000"/>
          <w:szCs w:val="22"/>
        </w:rPr>
        <w:t>3</w:t>
      </w:r>
      <w:r>
        <w:rPr>
          <w:rFonts w:hint="eastAsia"/>
          <w:b/>
          <w:color w:val="FF0000"/>
          <w:szCs w:val="22"/>
        </w:rPr>
        <w:t>、请依照提供的格式和内容填写声明函，不要随意变更格式或增删内容；声明函不需要盖章或签字；满足多项优惠政策的企业，不重复享受多项价格扣除政策。</w:t>
      </w:r>
    </w:p>
    <w:p w:rsidR="00C54C61" w:rsidRDefault="00BF3A17">
      <w:pPr>
        <w:spacing w:line="360" w:lineRule="auto"/>
        <w:ind w:firstLineChars="200" w:firstLine="422"/>
        <w:contextualSpacing/>
        <w:rPr>
          <w:b/>
          <w:color w:val="FF0000"/>
          <w:szCs w:val="22"/>
        </w:rPr>
      </w:pPr>
      <w:r>
        <w:rPr>
          <w:rFonts w:hint="eastAsia"/>
          <w:b/>
          <w:color w:val="FF0000"/>
          <w:szCs w:val="22"/>
        </w:rPr>
        <w:t>4</w:t>
      </w:r>
      <w:r>
        <w:rPr>
          <w:rFonts w:hint="eastAsia"/>
          <w:b/>
          <w:color w:val="FF0000"/>
          <w:szCs w:val="22"/>
        </w:rPr>
        <w:t>、声明函具体填写要求：</w:t>
      </w:r>
    </w:p>
    <w:p w:rsidR="00C54C61" w:rsidRDefault="00BF3A17">
      <w:pPr>
        <w:spacing w:line="360" w:lineRule="auto"/>
        <w:ind w:firstLineChars="200" w:firstLine="422"/>
        <w:contextualSpacing/>
        <w:rPr>
          <w:b/>
          <w:color w:val="FF0000"/>
          <w:szCs w:val="22"/>
        </w:rPr>
      </w:pPr>
      <w:r>
        <w:rPr>
          <w:rFonts w:hint="eastAsia"/>
          <w:b/>
          <w:color w:val="FF0000"/>
          <w:szCs w:val="22"/>
        </w:rPr>
        <w:t>（</w:t>
      </w:r>
      <w:r>
        <w:rPr>
          <w:rFonts w:hint="eastAsia"/>
          <w:b/>
          <w:color w:val="FF0000"/>
          <w:szCs w:val="22"/>
        </w:rPr>
        <w:t>1</w:t>
      </w:r>
      <w:r>
        <w:rPr>
          <w:rFonts w:hint="eastAsia"/>
          <w:b/>
          <w:color w:val="FF0000"/>
          <w:szCs w:val="22"/>
        </w:rPr>
        <w:t>）声明是中小企业须填写《中小企业声明函》的以下五项内容（填写位置的字体已加粗）：</w:t>
      </w:r>
    </w:p>
    <w:p w:rsidR="00C54C61" w:rsidRDefault="00BF3A17">
      <w:pPr>
        <w:spacing w:line="360" w:lineRule="auto"/>
        <w:ind w:firstLineChars="200" w:firstLine="422"/>
        <w:contextualSpacing/>
        <w:rPr>
          <w:b/>
          <w:color w:val="FF0000"/>
          <w:szCs w:val="22"/>
        </w:rPr>
      </w:pPr>
      <w:r>
        <w:rPr>
          <w:rFonts w:hint="eastAsia"/>
          <w:b/>
          <w:color w:val="FF0000"/>
          <w:szCs w:val="22"/>
        </w:rPr>
        <w:t>第一处，在下划线上如实填写中型或小型或微型；</w:t>
      </w:r>
    </w:p>
    <w:p w:rsidR="00C54C61" w:rsidRDefault="00BF3A17">
      <w:pPr>
        <w:spacing w:line="360" w:lineRule="auto"/>
        <w:ind w:firstLineChars="200" w:firstLine="422"/>
        <w:contextualSpacing/>
        <w:rPr>
          <w:b/>
          <w:color w:val="FF0000"/>
          <w:szCs w:val="22"/>
        </w:rPr>
      </w:pPr>
      <w:r>
        <w:rPr>
          <w:rFonts w:hint="eastAsia"/>
          <w:b/>
          <w:color w:val="FF0000"/>
          <w:szCs w:val="22"/>
        </w:rPr>
        <w:t>第二处，在下划线上如实填写中型或小型或微型；</w:t>
      </w:r>
    </w:p>
    <w:p w:rsidR="00C54C61" w:rsidRDefault="00BF3A17">
      <w:pPr>
        <w:spacing w:line="360" w:lineRule="auto"/>
        <w:ind w:firstLineChars="200" w:firstLine="422"/>
        <w:contextualSpacing/>
        <w:rPr>
          <w:b/>
          <w:color w:val="FF0000"/>
          <w:szCs w:val="22"/>
        </w:rPr>
      </w:pPr>
      <w:r>
        <w:rPr>
          <w:rFonts w:hint="eastAsia"/>
          <w:b/>
          <w:color w:val="FF0000"/>
          <w:szCs w:val="22"/>
        </w:rPr>
        <w:t>第三处，在“采购单位名称”下划线处填写本项目的实际采购单位名称（深圳市国信招标有限公司不是本项目的采购单位，而是本项目的组织实施机构）；</w:t>
      </w:r>
    </w:p>
    <w:p w:rsidR="00C54C61" w:rsidRDefault="00BF3A17">
      <w:pPr>
        <w:spacing w:line="360" w:lineRule="auto"/>
        <w:ind w:firstLineChars="200" w:firstLine="422"/>
        <w:contextualSpacing/>
        <w:rPr>
          <w:b/>
          <w:color w:val="FF0000"/>
          <w:szCs w:val="22"/>
        </w:rPr>
      </w:pPr>
      <w:r>
        <w:rPr>
          <w:rFonts w:hint="eastAsia"/>
          <w:b/>
          <w:color w:val="FF0000"/>
          <w:szCs w:val="22"/>
        </w:rPr>
        <w:t>第四处，在“采购项目名称”下划线处填写本项目的实际项目名称（项目名称可在招标公告处查看）；</w:t>
      </w:r>
    </w:p>
    <w:p w:rsidR="00C54C61" w:rsidRDefault="00BF3A17">
      <w:pPr>
        <w:spacing w:line="360" w:lineRule="auto"/>
        <w:ind w:firstLineChars="200" w:firstLine="422"/>
        <w:contextualSpacing/>
        <w:rPr>
          <w:b/>
          <w:color w:val="FF0000"/>
          <w:szCs w:val="22"/>
        </w:rPr>
      </w:pPr>
      <w:r>
        <w:rPr>
          <w:rFonts w:hint="eastAsia"/>
          <w:b/>
          <w:color w:val="FF0000"/>
          <w:szCs w:val="22"/>
        </w:rPr>
        <w:t>第五处，在“□本企业制造的货物”</w:t>
      </w:r>
      <w:r>
        <w:rPr>
          <w:rFonts w:hint="eastAsia"/>
          <w:b/>
          <w:color w:val="FF0000"/>
          <w:szCs w:val="22"/>
        </w:rPr>
        <w:t xml:space="preserve"> </w:t>
      </w:r>
      <w:r>
        <w:rPr>
          <w:rFonts w:hint="eastAsia"/>
          <w:b/>
          <w:color w:val="FF0000"/>
          <w:szCs w:val="22"/>
        </w:rPr>
        <w:t>或“□提供其他</w:t>
      </w:r>
      <w:r>
        <w:rPr>
          <w:rFonts w:hint="eastAsia"/>
          <w:b/>
          <w:color w:val="FF0000"/>
          <w:szCs w:val="22"/>
        </w:rPr>
        <w:t>______</w:t>
      </w:r>
      <w:r>
        <w:rPr>
          <w:rFonts w:hint="eastAsia"/>
          <w:b/>
          <w:color w:val="FF0000"/>
          <w:szCs w:val="22"/>
        </w:rPr>
        <w:t>企业（请填写：中型、小型、微型）制造的货物”两处中选择一处打√；如选择在“□提供其他</w:t>
      </w:r>
      <w:r>
        <w:rPr>
          <w:rFonts w:hint="eastAsia"/>
          <w:b/>
          <w:color w:val="FF0000"/>
          <w:szCs w:val="22"/>
        </w:rPr>
        <w:t>______</w:t>
      </w:r>
      <w:r>
        <w:rPr>
          <w:rFonts w:hint="eastAsia"/>
          <w:b/>
          <w:color w:val="FF0000"/>
          <w:szCs w:val="22"/>
        </w:rPr>
        <w:t>企业（请填写：中型、小型、微型）制造的货物”一处打√，还须在此下划线处如实填写中型或小型或微型；</w:t>
      </w:r>
      <w:r>
        <w:rPr>
          <w:b/>
          <w:color w:val="FF0000"/>
          <w:szCs w:val="22"/>
        </w:rPr>
        <w:t xml:space="preserve"> </w:t>
      </w:r>
    </w:p>
    <w:p w:rsidR="00C54C61" w:rsidRDefault="00BF3A17">
      <w:pPr>
        <w:spacing w:line="360" w:lineRule="auto"/>
        <w:ind w:firstLineChars="200" w:firstLine="422"/>
        <w:contextualSpacing/>
        <w:rPr>
          <w:b/>
          <w:color w:val="FF0000"/>
          <w:szCs w:val="22"/>
        </w:rPr>
      </w:pPr>
      <w:r>
        <w:rPr>
          <w:rFonts w:hint="eastAsia"/>
          <w:b/>
          <w:color w:val="FF0000"/>
          <w:szCs w:val="22"/>
        </w:rPr>
        <w:t>同时请注意：“□本企业制造的货物”</w:t>
      </w:r>
      <w:r>
        <w:rPr>
          <w:rFonts w:hint="eastAsia"/>
          <w:b/>
          <w:color w:val="FF0000"/>
          <w:szCs w:val="22"/>
        </w:rPr>
        <w:t xml:space="preserve"> </w:t>
      </w:r>
      <w:r>
        <w:rPr>
          <w:rFonts w:hint="eastAsia"/>
          <w:b/>
          <w:color w:val="FF0000"/>
          <w:szCs w:val="22"/>
        </w:rPr>
        <w:t>、“□提供其他</w:t>
      </w:r>
      <w:r>
        <w:rPr>
          <w:rFonts w:hint="eastAsia"/>
          <w:b/>
          <w:color w:val="FF0000"/>
          <w:szCs w:val="22"/>
        </w:rPr>
        <w:t>______</w:t>
      </w:r>
      <w:r>
        <w:rPr>
          <w:rFonts w:hint="eastAsia"/>
          <w:b/>
          <w:color w:val="FF0000"/>
          <w:szCs w:val="22"/>
        </w:rPr>
        <w:t>企业（请填写：中型、小型、微型）制造的货物”</w:t>
      </w:r>
      <w:r>
        <w:rPr>
          <w:rFonts w:hint="eastAsia"/>
          <w:b/>
          <w:color w:val="FF0000"/>
          <w:szCs w:val="22"/>
        </w:rPr>
        <w:t xml:space="preserve"> </w:t>
      </w:r>
      <w:r>
        <w:rPr>
          <w:rFonts w:hint="eastAsia"/>
          <w:b/>
          <w:color w:val="FF0000"/>
          <w:szCs w:val="22"/>
        </w:rPr>
        <w:t>中所称的货物是指单一产品采购项目中的货物，或者非单一产品采购项目中的核心产品（货物），不包括使用大型企业注册商标的货物；本项中的货物制造商应当在投标文件“分项报价清单”中明确列明。</w:t>
      </w:r>
    </w:p>
    <w:p w:rsidR="00C54C61" w:rsidRDefault="00BF3A17">
      <w:pPr>
        <w:spacing w:line="360" w:lineRule="auto"/>
        <w:ind w:firstLineChars="200" w:firstLine="422"/>
        <w:contextualSpacing/>
        <w:rPr>
          <w:b/>
          <w:color w:val="FF0000"/>
          <w:szCs w:val="22"/>
        </w:rPr>
      </w:pPr>
      <w:r>
        <w:rPr>
          <w:rFonts w:hint="eastAsia"/>
          <w:b/>
          <w:color w:val="FF0000"/>
          <w:szCs w:val="22"/>
        </w:rPr>
        <w:t>（</w:t>
      </w:r>
      <w:r>
        <w:rPr>
          <w:rFonts w:hint="eastAsia"/>
          <w:b/>
          <w:color w:val="FF0000"/>
          <w:szCs w:val="22"/>
        </w:rPr>
        <w:t>2</w:t>
      </w:r>
      <w:r>
        <w:rPr>
          <w:rFonts w:hint="eastAsia"/>
          <w:b/>
          <w:color w:val="FF0000"/>
          <w:szCs w:val="22"/>
        </w:rPr>
        <w:t>）声明是残疾人福利性单位须填写《残疾人福利性单位声明函》的三项内容（填写位置的字体已加粗），具体参照以上《中小企业声明函》填写要求执行。</w:t>
      </w:r>
    </w:p>
    <w:p w:rsidR="00C54C61" w:rsidRDefault="00BF3A17">
      <w:pPr>
        <w:spacing w:line="360" w:lineRule="auto"/>
        <w:ind w:firstLineChars="200" w:firstLine="422"/>
        <w:contextualSpacing/>
        <w:rPr>
          <w:b/>
          <w:color w:val="FF0000"/>
          <w:szCs w:val="22"/>
        </w:rPr>
      </w:pPr>
      <w:r>
        <w:rPr>
          <w:rFonts w:hint="eastAsia"/>
          <w:b/>
          <w:color w:val="FF0000"/>
          <w:szCs w:val="22"/>
        </w:rPr>
        <w:t>（</w:t>
      </w:r>
      <w:r>
        <w:rPr>
          <w:rFonts w:hint="eastAsia"/>
          <w:b/>
          <w:color w:val="FF0000"/>
          <w:szCs w:val="22"/>
        </w:rPr>
        <w:t>3</w:t>
      </w:r>
      <w:r>
        <w:rPr>
          <w:rFonts w:hint="eastAsia"/>
          <w:b/>
          <w:color w:val="FF0000"/>
          <w:szCs w:val="22"/>
        </w:rPr>
        <w:t>）声明是监狱企业须填写《监狱企业声明函》的三项内容（填写位置的字体已加粗），具体参照以上《中小企业声明函》填写要求执行。</w:t>
      </w:r>
    </w:p>
    <w:p w:rsidR="00C54C61" w:rsidRDefault="00BF3A17">
      <w:pPr>
        <w:spacing w:line="360" w:lineRule="auto"/>
        <w:ind w:firstLineChars="200" w:firstLine="422"/>
        <w:contextualSpacing/>
        <w:rPr>
          <w:b/>
          <w:color w:val="FF0000"/>
          <w:szCs w:val="22"/>
        </w:rPr>
      </w:pPr>
      <w:r>
        <w:rPr>
          <w:rFonts w:hint="eastAsia"/>
          <w:b/>
          <w:color w:val="FF0000"/>
          <w:szCs w:val="22"/>
        </w:rPr>
        <w:t>5</w:t>
      </w:r>
      <w:r>
        <w:rPr>
          <w:rFonts w:hint="eastAsia"/>
          <w:b/>
          <w:color w:val="FF0000"/>
          <w:szCs w:val="22"/>
        </w:rPr>
        <w:t>、声明函的有效性最终由评审委员会判定；如评审委员会判定声明函无效，相关供应商不享受价格扣除（但不作投标无效处理）。</w:t>
      </w:r>
    </w:p>
    <w:p w:rsidR="00C54C61" w:rsidRDefault="00C54C61">
      <w:pPr>
        <w:spacing w:line="360" w:lineRule="auto"/>
        <w:ind w:firstLineChars="200" w:firstLine="422"/>
        <w:contextualSpacing/>
        <w:rPr>
          <w:b/>
          <w:color w:val="FF0000"/>
        </w:rPr>
      </w:pPr>
    </w:p>
    <w:p w:rsidR="00C54C61" w:rsidRDefault="00C54C61">
      <w:pPr>
        <w:spacing w:line="360" w:lineRule="auto"/>
        <w:ind w:firstLineChars="200" w:firstLine="422"/>
        <w:contextualSpacing/>
        <w:rPr>
          <w:b/>
          <w:color w:val="FF0000"/>
        </w:rPr>
      </w:pPr>
    </w:p>
    <w:p w:rsidR="00C54C61" w:rsidRDefault="00C54C61">
      <w:pPr>
        <w:spacing w:line="360" w:lineRule="auto"/>
        <w:ind w:firstLineChars="200" w:firstLine="422"/>
        <w:contextualSpacing/>
        <w:rPr>
          <w:b/>
          <w:color w:val="FF0000"/>
        </w:rPr>
      </w:pPr>
    </w:p>
    <w:p w:rsidR="00C54C61" w:rsidRDefault="00C54C61">
      <w:pPr>
        <w:spacing w:line="360" w:lineRule="auto"/>
        <w:ind w:firstLineChars="200" w:firstLine="422"/>
        <w:contextualSpacing/>
        <w:rPr>
          <w:b/>
          <w:color w:val="FF0000"/>
        </w:rPr>
      </w:pPr>
    </w:p>
    <w:p w:rsidR="00C54C61" w:rsidRDefault="00C54C61">
      <w:pPr>
        <w:spacing w:line="360" w:lineRule="auto"/>
        <w:ind w:firstLineChars="200" w:firstLine="422"/>
        <w:contextualSpacing/>
        <w:rPr>
          <w:b/>
          <w:color w:val="FF0000"/>
        </w:rPr>
      </w:pPr>
    </w:p>
    <w:p w:rsidR="00C54C61" w:rsidRDefault="00C54C61">
      <w:pPr>
        <w:spacing w:line="360" w:lineRule="auto"/>
        <w:ind w:firstLineChars="200" w:firstLine="422"/>
        <w:contextualSpacing/>
        <w:rPr>
          <w:b/>
          <w:color w:val="FF0000"/>
        </w:rPr>
      </w:pPr>
    </w:p>
    <w:p w:rsidR="00C54C61" w:rsidRDefault="00C54C61">
      <w:pPr>
        <w:spacing w:line="360" w:lineRule="auto"/>
        <w:ind w:firstLineChars="200" w:firstLine="422"/>
        <w:contextualSpacing/>
        <w:rPr>
          <w:b/>
          <w:color w:val="FF0000"/>
        </w:rPr>
      </w:pPr>
    </w:p>
    <w:p w:rsidR="00C54C61" w:rsidRDefault="00C54C61">
      <w:pPr>
        <w:spacing w:line="360" w:lineRule="auto"/>
        <w:ind w:firstLineChars="200" w:firstLine="422"/>
        <w:contextualSpacing/>
        <w:rPr>
          <w:b/>
          <w:color w:val="FF0000"/>
        </w:rPr>
      </w:pPr>
    </w:p>
    <w:p w:rsidR="00C54C61" w:rsidRDefault="00C54C61">
      <w:pPr>
        <w:spacing w:line="360" w:lineRule="auto"/>
        <w:ind w:firstLineChars="200" w:firstLine="422"/>
        <w:contextualSpacing/>
        <w:rPr>
          <w:b/>
          <w:color w:val="FF0000"/>
        </w:rPr>
      </w:pPr>
    </w:p>
    <w:p w:rsidR="00C54C61" w:rsidRDefault="00BF3A17">
      <w:pPr>
        <w:spacing w:line="360" w:lineRule="auto"/>
        <w:contextualSpacing/>
        <w:jc w:val="center"/>
        <w:outlineLvl w:val="3"/>
        <w:rPr>
          <w:b/>
          <w:sz w:val="24"/>
        </w:rPr>
      </w:pPr>
      <w:r>
        <w:rPr>
          <w:rFonts w:hint="eastAsia"/>
          <w:b/>
          <w:sz w:val="24"/>
        </w:rPr>
        <w:t xml:space="preserve"> 1</w:t>
      </w:r>
      <w:r>
        <w:rPr>
          <w:rFonts w:hint="eastAsia"/>
          <w:b/>
          <w:sz w:val="24"/>
        </w:rPr>
        <w:t>、中小企业声明函</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本公司郑重声明，根据《政府采购促进中小企业发展暂行办法》（财库〔2011〕181 号）的规定，本公司为</w:t>
      </w:r>
      <w:r>
        <w:rPr>
          <w:rFonts w:ascii="宋体" w:hAnsi="宋体" w:hint="eastAsia"/>
          <w:b/>
          <w:szCs w:val="21"/>
        </w:rPr>
        <w:t>______（请填写：中型、小型、微型）企业</w:t>
      </w:r>
      <w:r>
        <w:rPr>
          <w:rFonts w:ascii="宋体" w:hAnsi="宋体" w:hint="eastAsia"/>
          <w:szCs w:val="21"/>
        </w:rPr>
        <w:t>。即，本公司同时满足以下条件：</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1.根据《工业和信息化部、国家统计局、国家发展和改革委员会、财政部关于印发中小企业划型标准规定的通知》（工信部联企业〔2011〕300 号）规定的划分标准，本公司为</w:t>
      </w:r>
      <w:r>
        <w:rPr>
          <w:rFonts w:ascii="宋体" w:hAnsi="宋体" w:hint="eastAsia"/>
          <w:b/>
          <w:szCs w:val="21"/>
        </w:rPr>
        <w:t>______（请填写：中型、小型、微型）</w:t>
      </w:r>
      <w:r>
        <w:rPr>
          <w:rFonts w:ascii="宋体" w:hAnsi="宋体" w:hint="eastAsia"/>
          <w:szCs w:val="21"/>
        </w:rPr>
        <w:t>企业。</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2.本公司参加</w:t>
      </w:r>
      <w:r>
        <w:rPr>
          <w:rFonts w:ascii="宋体" w:hAnsi="宋体" w:hint="eastAsia"/>
          <w:b/>
          <w:szCs w:val="21"/>
        </w:rPr>
        <w:t>_（采购单位名称）_</w:t>
      </w:r>
      <w:r>
        <w:rPr>
          <w:rFonts w:ascii="宋体" w:hAnsi="宋体" w:hint="eastAsia"/>
          <w:szCs w:val="21"/>
        </w:rPr>
        <w:t>单位的</w:t>
      </w:r>
      <w:r>
        <w:rPr>
          <w:rFonts w:ascii="宋体" w:hAnsi="宋体" w:hint="eastAsia"/>
          <w:b/>
          <w:szCs w:val="21"/>
        </w:rPr>
        <w:t>_（采购项目名称）_</w:t>
      </w:r>
      <w:r>
        <w:rPr>
          <w:rFonts w:ascii="宋体" w:hAnsi="宋体" w:hint="eastAsia"/>
          <w:szCs w:val="21"/>
        </w:rPr>
        <w:t>项目采购活动，并提供:</w:t>
      </w:r>
      <w:r>
        <w:rPr>
          <w:rFonts w:ascii="宋体" w:hAnsi="宋体" w:hint="eastAsia"/>
          <w:b/>
          <w:szCs w:val="21"/>
        </w:rPr>
        <w:t>□本企业制造的货物;□提供其他______企业（请填写：中型、小型、微型）制造的货物（承诺人在□处打√）</w:t>
      </w:r>
      <w:r>
        <w:rPr>
          <w:rFonts w:ascii="宋体" w:hAnsi="宋体" w:hint="eastAsia"/>
          <w:szCs w:val="21"/>
        </w:rPr>
        <w:t>。本条所称货物是指单一产品采购项目中的货物，或者非单一产品采购项目中的核心产品（货物），不包括使用大型企业注册商标的货物。</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本公司对上述声明的真实性负责。如有虚假，将依法承担相应责任。</w:t>
      </w:r>
    </w:p>
    <w:p w:rsidR="00C54C61" w:rsidRDefault="00C54C61">
      <w:pPr>
        <w:spacing w:line="360" w:lineRule="auto"/>
        <w:ind w:firstLineChars="200" w:firstLine="420"/>
        <w:contextualSpacing/>
        <w:rPr>
          <w:rFonts w:ascii="宋体" w:hAnsi="宋体"/>
          <w:szCs w:val="21"/>
        </w:rPr>
      </w:pPr>
    </w:p>
    <w:p w:rsidR="00C54C61" w:rsidRDefault="00C54C61">
      <w:pPr>
        <w:spacing w:line="360" w:lineRule="auto"/>
        <w:ind w:firstLineChars="200" w:firstLine="420"/>
        <w:contextualSpacing/>
        <w:rPr>
          <w:rFonts w:ascii="宋体" w:hAnsi="宋体"/>
          <w:szCs w:val="21"/>
        </w:rPr>
      </w:pPr>
    </w:p>
    <w:p w:rsidR="00C54C61" w:rsidRDefault="00BF3A17">
      <w:pPr>
        <w:spacing w:line="360" w:lineRule="auto"/>
        <w:ind w:right="420" w:firstLineChars="200" w:firstLine="420"/>
        <w:contextualSpacing/>
        <w:jc w:val="center"/>
        <w:rPr>
          <w:rFonts w:ascii="宋体" w:hAnsi="宋体"/>
          <w:szCs w:val="21"/>
        </w:rPr>
      </w:pPr>
      <w:r>
        <w:rPr>
          <w:rFonts w:ascii="宋体" w:hAnsi="宋体" w:hint="eastAsia"/>
          <w:szCs w:val="21"/>
        </w:rPr>
        <w:t xml:space="preserve">                                                  </w:t>
      </w:r>
    </w:p>
    <w:p w:rsidR="00C54C61" w:rsidRDefault="00C54C61">
      <w:pPr>
        <w:spacing w:line="360" w:lineRule="auto"/>
        <w:ind w:firstLineChars="200" w:firstLine="420"/>
        <w:contextualSpacing/>
        <w:rPr>
          <w:rFonts w:ascii="宋体" w:hAnsi="宋体"/>
          <w:szCs w:val="21"/>
        </w:rPr>
      </w:pPr>
    </w:p>
    <w:p w:rsidR="00C54C61" w:rsidRDefault="00BF3A17">
      <w:pPr>
        <w:spacing w:line="360" w:lineRule="auto"/>
        <w:ind w:firstLineChars="200" w:firstLine="420"/>
        <w:contextualSpacing/>
        <w:jc w:val="right"/>
        <w:rPr>
          <w:rFonts w:ascii="宋体" w:hAnsi="宋体"/>
          <w:szCs w:val="21"/>
        </w:rPr>
      </w:pPr>
      <w:r>
        <w:rPr>
          <w:rFonts w:ascii="宋体" w:hAnsi="宋体" w:hint="eastAsia"/>
          <w:szCs w:val="21"/>
        </w:rPr>
        <w:t xml:space="preserve">             </w:t>
      </w:r>
    </w:p>
    <w:p w:rsidR="00C54C61" w:rsidRDefault="00C54C61">
      <w:pPr>
        <w:spacing w:line="360" w:lineRule="auto"/>
        <w:ind w:firstLineChars="200" w:firstLine="420"/>
        <w:contextualSpacing/>
        <w:jc w:val="right"/>
        <w:rPr>
          <w:rFonts w:ascii="宋体" w:hAnsi="宋体"/>
          <w:szCs w:val="21"/>
        </w:rPr>
      </w:pPr>
    </w:p>
    <w:p w:rsidR="00C54C61" w:rsidRDefault="00BF3A17">
      <w:pPr>
        <w:spacing w:line="360" w:lineRule="auto"/>
        <w:contextualSpacing/>
        <w:jc w:val="center"/>
        <w:outlineLvl w:val="3"/>
        <w:rPr>
          <w:b/>
          <w:sz w:val="24"/>
        </w:rPr>
      </w:pPr>
      <w:r>
        <w:rPr>
          <w:rFonts w:hint="eastAsia"/>
          <w:b/>
          <w:sz w:val="24"/>
        </w:rPr>
        <w:t>2</w:t>
      </w:r>
      <w:r>
        <w:rPr>
          <w:rFonts w:hint="eastAsia"/>
          <w:b/>
          <w:sz w:val="24"/>
        </w:rPr>
        <w:t>、残疾人福利性单位声明函</w:t>
      </w:r>
    </w:p>
    <w:p w:rsidR="00C54C61" w:rsidRDefault="00C54C61">
      <w:pPr>
        <w:spacing w:line="360" w:lineRule="auto"/>
        <w:contextualSpacing/>
        <w:rPr>
          <w:b/>
          <w:bCs/>
        </w:rPr>
      </w:pPr>
    </w:p>
    <w:p w:rsidR="00C54C61" w:rsidRDefault="00BF3A17">
      <w:pPr>
        <w:spacing w:line="360" w:lineRule="auto"/>
        <w:ind w:firstLineChars="200" w:firstLine="420"/>
        <w:contextualSpacing/>
        <w:rPr>
          <w:rFonts w:ascii="宋体" w:hAnsi="宋体"/>
          <w:szCs w:val="21"/>
        </w:rPr>
      </w:pPr>
      <w:r>
        <w:rPr>
          <w:rFonts w:ascii="宋体" w:hAnsi="宋体" w:hint="eastAsia"/>
          <w:szCs w:val="21"/>
        </w:rPr>
        <w:t>本单位郑重声明，根据《财政部民政部中国残疾人联合会关于促进残疾人就业政府采购政策的通知》（财库〔</w:t>
      </w:r>
      <w:r>
        <w:rPr>
          <w:rFonts w:ascii="宋体" w:hAnsi="宋体"/>
          <w:szCs w:val="21"/>
        </w:rPr>
        <w:t>2017</w:t>
      </w:r>
      <w:r>
        <w:rPr>
          <w:rFonts w:ascii="宋体" w:hAnsi="宋体" w:hint="eastAsia"/>
          <w:szCs w:val="21"/>
        </w:rPr>
        <w:t>〕</w:t>
      </w:r>
      <w:r>
        <w:rPr>
          <w:rFonts w:ascii="宋体" w:hAnsi="宋体"/>
          <w:szCs w:val="21"/>
        </w:rPr>
        <w:t xml:space="preserve">141 </w:t>
      </w:r>
      <w:r>
        <w:rPr>
          <w:rFonts w:ascii="宋体" w:hAnsi="宋体" w:hint="eastAsia"/>
          <w:szCs w:val="21"/>
        </w:rPr>
        <w:t>号）的规定，本单位为符合条件的残疾人福利性单位，且本单位参加</w:t>
      </w:r>
      <w:r>
        <w:rPr>
          <w:rFonts w:ascii="宋体" w:hAnsi="宋体"/>
          <w:b/>
          <w:szCs w:val="21"/>
        </w:rPr>
        <w:t>_</w:t>
      </w:r>
      <w:r>
        <w:rPr>
          <w:rFonts w:ascii="宋体" w:hAnsi="宋体" w:hint="eastAsia"/>
          <w:b/>
          <w:szCs w:val="21"/>
        </w:rPr>
        <w:t>（采购单位名称）</w:t>
      </w:r>
      <w:r>
        <w:rPr>
          <w:rFonts w:ascii="宋体" w:hAnsi="宋体"/>
          <w:b/>
          <w:szCs w:val="21"/>
        </w:rPr>
        <w:t>_</w:t>
      </w:r>
      <w:r>
        <w:rPr>
          <w:rFonts w:ascii="宋体" w:hAnsi="宋体" w:hint="eastAsia"/>
          <w:szCs w:val="21"/>
        </w:rPr>
        <w:t>单位的</w:t>
      </w:r>
      <w:r>
        <w:rPr>
          <w:rFonts w:ascii="宋体" w:hAnsi="宋体"/>
          <w:b/>
          <w:szCs w:val="21"/>
        </w:rPr>
        <w:t>_</w:t>
      </w:r>
      <w:r>
        <w:rPr>
          <w:rFonts w:ascii="宋体" w:hAnsi="宋体" w:hint="eastAsia"/>
          <w:b/>
          <w:szCs w:val="21"/>
        </w:rPr>
        <w:t>（采购项目名称）</w:t>
      </w:r>
      <w:r>
        <w:rPr>
          <w:rFonts w:ascii="宋体" w:hAnsi="宋体" w:hint="eastAsia"/>
          <w:szCs w:val="21"/>
        </w:rPr>
        <w:t>项目采购活动，并提供</w:t>
      </w:r>
      <w:r>
        <w:rPr>
          <w:rFonts w:ascii="宋体" w:hAnsi="宋体"/>
          <w:szCs w:val="21"/>
        </w:rPr>
        <w:t>:</w:t>
      </w:r>
      <w:r>
        <w:rPr>
          <w:rFonts w:ascii="宋体" w:hAnsi="宋体" w:hint="eastAsia"/>
          <w:b/>
          <w:szCs w:val="21"/>
        </w:rPr>
        <w:t>□本单位制造的货物</w:t>
      </w:r>
      <w:r>
        <w:rPr>
          <w:rFonts w:ascii="宋体" w:hAnsi="宋体"/>
          <w:b/>
          <w:szCs w:val="21"/>
        </w:rPr>
        <w:t>;</w:t>
      </w:r>
      <w:r>
        <w:rPr>
          <w:rFonts w:ascii="宋体" w:hAnsi="宋体" w:hint="eastAsia"/>
          <w:b/>
          <w:szCs w:val="21"/>
        </w:rPr>
        <w:t>□提供其他残疾人福利性单位制造的货物（承诺人在□处打√）。</w:t>
      </w:r>
      <w:r>
        <w:rPr>
          <w:rFonts w:ascii="宋体" w:hAnsi="宋体" w:hint="eastAsia"/>
          <w:szCs w:val="21"/>
        </w:rPr>
        <w:t>本条所称货物是指单一产品采购项目中的货物，或者非单一产品采购项目中的核心产品（货物），不包括使用非残疾人福利性单位注册商标的货物。本单位对上述声明的真实性负责。如有虚假，将依法承担相应责任。</w:t>
      </w:r>
    </w:p>
    <w:p w:rsidR="00C54C61" w:rsidRDefault="00C54C61">
      <w:pPr>
        <w:spacing w:line="360" w:lineRule="auto"/>
        <w:ind w:firstLineChars="200" w:firstLine="420"/>
        <w:contextualSpacing/>
        <w:rPr>
          <w:rFonts w:ascii="宋体" w:hAnsi="宋体"/>
          <w:szCs w:val="21"/>
        </w:rPr>
      </w:pPr>
    </w:p>
    <w:p w:rsidR="00C54C61" w:rsidRDefault="00BF3A17">
      <w:pPr>
        <w:spacing w:line="360" w:lineRule="auto"/>
        <w:ind w:right="840" w:firstLineChars="200" w:firstLine="420"/>
        <w:contextualSpacing/>
        <w:jc w:val="center"/>
        <w:rPr>
          <w:rFonts w:ascii="宋体" w:hAnsi="宋体"/>
          <w:szCs w:val="21"/>
        </w:rPr>
      </w:pPr>
      <w:r>
        <w:rPr>
          <w:rFonts w:ascii="宋体" w:hAnsi="宋体" w:hint="eastAsia"/>
          <w:szCs w:val="21"/>
        </w:rPr>
        <w:t xml:space="preserve">                                                       </w:t>
      </w:r>
    </w:p>
    <w:p w:rsidR="00C54C61" w:rsidRDefault="00BF3A17">
      <w:pPr>
        <w:spacing w:line="360" w:lineRule="auto"/>
        <w:ind w:right="420" w:firstLineChars="200" w:firstLine="420"/>
        <w:contextualSpacing/>
        <w:jc w:val="center"/>
        <w:rPr>
          <w:rFonts w:ascii="宋体" w:hAnsi="宋体"/>
          <w:szCs w:val="21"/>
        </w:rPr>
      </w:pPr>
      <w:r>
        <w:rPr>
          <w:rFonts w:ascii="宋体" w:hAnsi="宋体" w:hint="eastAsia"/>
          <w:szCs w:val="21"/>
        </w:rPr>
        <w:t xml:space="preserve">                                                     </w:t>
      </w:r>
    </w:p>
    <w:p w:rsidR="00C54C61" w:rsidRDefault="00C54C61">
      <w:pPr>
        <w:spacing w:line="360" w:lineRule="auto"/>
        <w:ind w:firstLineChars="200" w:firstLine="420"/>
        <w:contextualSpacing/>
        <w:jc w:val="right"/>
        <w:rPr>
          <w:rFonts w:ascii="宋体" w:hAnsi="宋体"/>
          <w:szCs w:val="21"/>
        </w:rPr>
      </w:pPr>
    </w:p>
    <w:p w:rsidR="00C54C61" w:rsidRDefault="00BF3A17">
      <w:pPr>
        <w:spacing w:line="360" w:lineRule="auto"/>
        <w:contextualSpacing/>
        <w:jc w:val="center"/>
        <w:outlineLvl w:val="3"/>
        <w:rPr>
          <w:b/>
          <w:sz w:val="24"/>
        </w:rPr>
      </w:pPr>
      <w:r>
        <w:rPr>
          <w:rFonts w:hint="eastAsia"/>
          <w:b/>
          <w:sz w:val="24"/>
        </w:rPr>
        <w:t>3</w:t>
      </w:r>
      <w:r>
        <w:rPr>
          <w:rFonts w:hint="eastAsia"/>
          <w:b/>
          <w:sz w:val="24"/>
        </w:rPr>
        <w:t>、监狱企业声明函【监狱企业或者代理提供监狱企业货物的供应商如需享受优惠政策，还须同时提供省级以上监狱管理局、戒毒管理局（含新疆生产建设兵团）出具的监狱企业证明文件】</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本单位郑重声明，根据《财政部司法部关于政府采购支持监狱企业发展有关问题的通知》（财库〔</w:t>
      </w:r>
      <w:r>
        <w:rPr>
          <w:rFonts w:ascii="宋体" w:hAnsi="宋体"/>
          <w:szCs w:val="21"/>
        </w:rPr>
        <w:t>2014</w:t>
      </w:r>
      <w:r>
        <w:rPr>
          <w:rFonts w:ascii="宋体" w:hAnsi="宋体" w:hint="eastAsia"/>
          <w:szCs w:val="21"/>
        </w:rPr>
        <w:t>〕</w:t>
      </w:r>
      <w:r>
        <w:rPr>
          <w:rFonts w:ascii="宋体" w:hAnsi="宋体"/>
          <w:szCs w:val="21"/>
        </w:rPr>
        <w:t>68</w:t>
      </w:r>
      <w:r>
        <w:rPr>
          <w:rFonts w:ascii="宋体" w:hAnsi="宋体" w:hint="eastAsia"/>
          <w:szCs w:val="21"/>
        </w:rPr>
        <w:t>号）的规定，本单位为符合条件的监狱企业，且本单位参加</w:t>
      </w:r>
      <w:r>
        <w:rPr>
          <w:rFonts w:ascii="宋体" w:hAnsi="宋体"/>
          <w:b/>
          <w:szCs w:val="21"/>
        </w:rPr>
        <w:t>_</w:t>
      </w:r>
      <w:r>
        <w:rPr>
          <w:rFonts w:ascii="宋体" w:hAnsi="宋体" w:hint="eastAsia"/>
          <w:b/>
          <w:szCs w:val="21"/>
        </w:rPr>
        <w:t>（采购单位名称）</w:t>
      </w:r>
      <w:r>
        <w:rPr>
          <w:rFonts w:ascii="宋体" w:hAnsi="宋体"/>
          <w:b/>
          <w:szCs w:val="21"/>
        </w:rPr>
        <w:t>_</w:t>
      </w:r>
      <w:r>
        <w:rPr>
          <w:rFonts w:ascii="宋体" w:hAnsi="宋体" w:hint="eastAsia"/>
          <w:szCs w:val="21"/>
        </w:rPr>
        <w:t>单位的</w:t>
      </w:r>
      <w:r>
        <w:rPr>
          <w:rFonts w:ascii="宋体" w:hAnsi="宋体" w:hint="eastAsia"/>
          <w:b/>
          <w:szCs w:val="21"/>
        </w:rPr>
        <w:t>_（采购项目名称）_</w:t>
      </w:r>
      <w:r>
        <w:rPr>
          <w:rFonts w:ascii="宋体" w:hAnsi="宋体" w:hint="eastAsia"/>
          <w:szCs w:val="21"/>
        </w:rPr>
        <w:t>项目采购活动，并提供</w:t>
      </w:r>
      <w:r>
        <w:rPr>
          <w:rFonts w:ascii="宋体" w:hAnsi="宋体"/>
          <w:szCs w:val="21"/>
        </w:rPr>
        <w:t>:</w:t>
      </w:r>
      <w:r>
        <w:rPr>
          <w:rFonts w:ascii="宋体" w:hAnsi="宋体" w:hint="eastAsia"/>
          <w:b/>
          <w:szCs w:val="21"/>
        </w:rPr>
        <w:t>□本单位制造的货物</w:t>
      </w:r>
      <w:r>
        <w:rPr>
          <w:rFonts w:ascii="宋体" w:hAnsi="宋体"/>
          <w:b/>
          <w:szCs w:val="21"/>
        </w:rPr>
        <w:t>;</w:t>
      </w:r>
      <w:r>
        <w:rPr>
          <w:rFonts w:ascii="宋体" w:hAnsi="宋体" w:hint="eastAsia"/>
          <w:b/>
          <w:szCs w:val="21"/>
        </w:rPr>
        <w:t>□提供其他监狱企业制造的货物（承诺人在□处打√）</w:t>
      </w:r>
      <w:r>
        <w:rPr>
          <w:rFonts w:ascii="宋体" w:hAnsi="宋体" w:hint="eastAsia"/>
          <w:szCs w:val="21"/>
        </w:rPr>
        <w:t>。本条所称货物是指单一产品采购项目中的货物，或者非单一产品采购项目中的核心产品（货物）。</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本单位对上述声明的真实性负责。如有虚假，将依法承担相应责任。</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附：省级以上监狱管理局、戒毒管理局（含新疆生产建设兵团）出具的监狱企业证明文件。</w:t>
      </w:r>
    </w:p>
    <w:p w:rsidR="00C54C61" w:rsidRDefault="00C54C61">
      <w:pPr>
        <w:spacing w:line="360" w:lineRule="auto"/>
        <w:contextualSpacing/>
        <w:rPr>
          <w:sz w:val="24"/>
        </w:rPr>
      </w:pPr>
    </w:p>
    <w:p w:rsidR="00C54C61" w:rsidRDefault="00C54C61">
      <w:pPr>
        <w:spacing w:line="360" w:lineRule="auto"/>
        <w:contextualSpacing/>
        <w:outlineLvl w:val="3"/>
        <w:rPr>
          <w:b/>
          <w:sz w:val="24"/>
        </w:rPr>
      </w:pPr>
    </w:p>
    <w:p w:rsidR="00C54C61" w:rsidRDefault="00BF3A17">
      <w:pPr>
        <w:spacing w:line="360" w:lineRule="auto"/>
        <w:contextualSpacing/>
        <w:outlineLvl w:val="3"/>
        <w:rPr>
          <w:b/>
          <w:sz w:val="24"/>
        </w:rPr>
      </w:pPr>
      <w:r>
        <w:rPr>
          <w:rFonts w:hint="eastAsia"/>
          <w:b/>
          <w:sz w:val="24"/>
        </w:rPr>
        <w:t>（八）投标人认为需提供的其他证明文件</w:t>
      </w:r>
    </w:p>
    <w:p w:rsidR="00C54C61" w:rsidRDefault="00C54C61">
      <w:pPr>
        <w:spacing w:line="360" w:lineRule="auto"/>
        <w:contextualSpacing/>
        <w:rPr>
          <w:b/>
          <w:bCs/>
          <w:color w:val="FF0000"/>
          <w:sz w:val="24"/>
        </w:rPr>
      </w:pPr>
    </w:p>
    <w:p w:rsidR="00C54C61" w:rsidRDefault="00C54C61">
      <w:pPr>
        <w:spacing w:line="360" w:lineRule="auto"/>
        <w:contextualSpacing/>
        <w:rPr>
          <w:b/>
          <w:bCs/>
        </w:rPr>
      </w:pPr>
    </w:p>
    <w:p w:rsidR="00C54C61" w:rsidRDefault="00BF3A17">
      <w:pPr>
        <w:pStyle w:val="30"/>
        <w:spacing w:before="0" w:after="0" w:line="360" w:lineRule="auto"/>
        <w:contextualSpacing/>
        <w:jc w:val="center"/>
        <w:rPr>
          <w:b w:val="0"/>
          <w:sz w:val="24"/>
          <w:szCs w:val="24"/>
        </w:rPr>
      </w:pPr>
      <w:r>
        <w:rPr>
          <w:rFonts w:ascii="黑体" w:eastAsia="黑体" w:hint="eastAsia"/>
          <w:b w:val="0"/>
          <w:sz w:val="24"/>
          <w:szCs w:val="24"/>
        </w:rPr>
        <w:t>五、货物说明一览表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20"/>
        <w:gridCol w:w="1260"/>
        <w:gridCol w:w="1260"/>
        <w:gridCol w:w="1440"/>
        <w:gridCol w:w="1440"/>
      </w:tblGrid>
      <w:tr w:rsidR="00C54C61">
        <w:tc>
          <w:tcPr>
            <w:tcW w:w="900" w:type="dxa"/>
          </w:tcPr>
          <w:p w:rsidR="00C54C61" w:rsidRDefault="00BF3A17">
            <w:pPr>
              <w:spacing w:line="360" w:lineRule="auto"/>
              <w:contextualSpacing/>
              <w:jc w:val="center"/>
              <w:rPr>
                <w:sz w:val="24"/>
              </w:rPr>
            </w:pPr>
            <w:r>
              <w:rPr>
                <w:rFonts w:hint="eastAsia"/>
                <w:sz w:val="24"/>
              </w:rPr>
              <w:t>序号</w:t>
            </w:r>
          </w:p>
        </w:tc>
        <w:tc>
          <w:tcPr>
            <w:tcW w:w="1620" w:type="dxa"/>
          </w:tcPr>
          <w:p w:rsidR="00C54C61" w:rsidRDefault="00BF3A17">
            <w:pPr>
              <w:spacing w:line="360" w:lineRule="auto"/>
              <w:contextualSpacing/>
              <w:jc w:val="center"/>
              <w:rPr>
                <w:sz w:val="24"/>
              </w:rPr>
            </w:pPr>
            <w:r>
              <w:rPr>
                <w:rFonts w:hint="eastAsia"/>
                <w:sz w:val="24"/>
              </w:rPr>
              <w:t>货物名称</w:t>
            </w:r>
          </w:p>
        </w:tc>
        <w:tc>
          <w:tcPr>
            <w:tcW w:w="1260" w:type="dxa"/>
          </w:tcPr>
          <w:p w:rsidR="00C54C61" w:rsidRDefault="00BF3A17">
            <w:pPr>
              <w:spacing w:line="360" w:lineRule="auto"/>
              <w:contextualSpacing/>
              <w:jc w:val="center"/>
              <w:rPr>
                <w:sz w:val="24"/>
              </w:rPr>
            </w:pPr>
            <w:r>
              <w:rPr>
                <w:rFonts w:hint="eastAsia"/>
                <w:sz w:val="24"/>
              </w:rPr>
              <w:t>型号</w:t>
            </w:r>
          </w:p>
        </w:tc>
        <w:tc>
          <w:tcPr>
            <w:tcW w:w="1260" w:type="dxa"/>
          </w:tcPr>
          <w:p w:rsidR="00C54C61" w:rsidRDefault="00BF3A17">
            <w:pPr>
              <w:spacing w:line="360" w:lineRule="auto"/>
              <w:contextualSpacing/>
              <w:jc w:val="center"/>
              <w:rPr>
                <w:sz w:val="24"/>
              </w:rPr>
            </w:pPr>
            <w:r>
              <w:rPr>
                <w:rFonts w:hint="eastAsia"/>
                <w:sz w:val="24"/>
              </w:rPr>
              <w:t>数量</w:t>
            </w:r>
          </w:p>
        </w:tc>
        <w:tc>
          <w:tcPr>
            <w:tcW w:w="1440" w:type="dxa"/>
          </w:tcPr>
          <w:p w:rsidR="00C54C61" w:rsidRDefault="00BF3A17">
            <w:pPr>
              <w:spacing w:line="360" w:lineRule="auto"/>
              <w:contextualSpacing/>
              <w:jc w:val="center"/>
              <w:rPr>
                <w:sz w:val="24"/>
              </w:rPr>
            </w:pPr>
            <w:r>
              <w:rPr>
                <w:rFonts w:hint="eastAsia"/>
                <w:sz w:val="24"/>
              </w:rPr>
              <w:t>单位</w:t>
            </w:r>
          </w:p>
        </w:tc>
        <w:tc>
          <w:tcPr>
            <w:tcW w:w="1440" w:type="dxa"/>
          </w:tcPr>
          <w:p w:rsidR="00C54C61" w:rsidRDefault="00BF3A17">
            <w:pPr>
              <w:spacing w:line="360" w:lineRule="auto"/>
              <w:contextualSpacing/>
              <w:jc w:val="center"/>
              <w:rPr>
                <w:sz w:val="24"/>
              </w:rPr>
            </w:pPr>
            <w:r>
              <w:rPr>
                <w:rFonts w:hint="eastAsia"/>
                <w:sz w:val="24"/>
              </w:rPr>
              <w:t>备注</w:t>
            </w:r>
          </w:p>
        </w:tc>
      </w:tr>
      <w:tr w:rsidR="00C54C61">
        <w:tc>
          <w:tcPr>
            <w:tcW w:w="90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r>
      <w:tr w:rsidR="00C54C61">
        <w:tc>
          <w:tcPr>
            <w:tcW w:w="90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r>
      <w:tr w:rsidR="00C54C61">
        <w:tc>
          <w:tcPr>
            <w:tcW w:w="90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r>
      <w:tr w:rsidR="00C54C61">
        <w:tc>
          <w:tcPr>
            <w:tcW w:w="90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r>
      <w:tr w:rsidR="00C54C61">
        <w:tc>
          <w:tcPr>
            <w:tcW w:w="90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r>
      <w:tr w:rsidR="00C54C61">
        <w:tc>
          <w:tcPr>
            <w:tcW w:w="90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r>
      <w:tr w:rsidR="00C54C61">
        <w:tc>
          <w:tcPr>
            <w:tcW w:w="90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26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r>
    </w:tbl>
    <w:p w:rsidR="00C54C61" w:rsidRDefault="00C54C61">
      <w:pPr>
        <w:spacing w:line="360" w:lineRule="auto"/>
        <w:contextualSpacing/>
        <w:rPr>
          <w:sz w:val="24"/>
        </w:rPr>
      </w:pPr>
    </w:p>
    <w:p w:rsidR="00C54C61" w:rsidRDefault="00C54C61">
      <w:pPr>
        <w:spacing w:line="360" w:lineRule="auto"/>
        <w:contextualSpacing/>
        <w:rPr>
          <w:sz w:val="24"/>
        </w:rPr>
      </w:pPr>
    </w:p>
    <w:p w:rsidR="00C54C61" w:rsidRDefault="00C54C61">
      <w:pPr>
        <w:spacing w:line="360" w:lineRule="auto"/>
        <w:contextualSpacing/>
        <w:rPr>
          <w:sz w:val="24"/>
        </w:rPr>
      </w:pPr>
    </w:p>
    <w:p w:rsidR="00C54C61" w:rsidRDefault="00BF3A17">
      <w:pPr>
        <w:pStyle w:val="30"/>
        <w:spacing w:before="0" w:after="0" w:line="360" w:lineRule="auto"/>
        <w:contextualSpacing/>
        <w:jc w:val="center"/>
        <w:rPr>
          <w:rFonts w:ascii="黑体" w:eastAsia="黑体"/>
          <w:b w:val="0"/>
          <w:sz w:val="24"/>
          <w:szCs w:val="24"/>
        </w:rPr>
      </w:pPr>
      <w:r>
        <w:rPr>
          <w:rFonts w:ascii="黑体" w:eastAsia="黑体" w:hint="eastAsia"/>
          <w:b w:val="0"/>
          <w:sz w:val="24"/>
          <w:szCs w:val="24"/>
        </w:rPr>
        <w:t>六、技术规格偏离表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356"/>
        <w:gridCol w:w="1356"/>
        <w:gridCol w:w="1356"/>
        <w:gridCol w:w="1484"/>
        <w:gridCol w:w="1530"/>
      </w:tblGrid>
      <w:tr w:rsidR="00C54C61">
        <w:trPr>
          <w:jc w:val="center"/>
        </w:trPr>
        <w:tc>
          <w:tcPr>
            <w:tcW w:w="1356" w:type="dxa"/>
          </w:tcPr>
          <w:p w:rsidR="00C54C61" w:rsidRDefault="00BF3A17">
            <w:pPr>
              <w:spacing w:line="360" w:lineRule="auto"/>
              <w:contextualSpacing/>
              <w:rPr>
                <w:sz w:val="24"/>
              </w:rPr>
            </w:pPr>
            <w:r>
              <w:rPr>
                <w:rFonts w:hint="eastAsia"/>
                <w:sz w:val="24"/>
              </w:rPr>
              <w:t>序号</w:t>
            </w:r>
          </w:p>
        </w:tc>
        <w:tc>
          <w:tcPr>
            <w:tcW w:w="1356" w:type="dxa"/>
          </w:tcPr>
          <w:p w:rsidR="00C54C61" w:rsidRDefault="00BF3A17">
            <w:pPr>
              <w:spacing w:line="360" w:lineRule="auto"/>
              <w:contextualSpacing/>
              <w:rPr>
                <w:sz w:val="24"/>
              </w:rPr>
            </w:pPr>
            <w:r>
              <w:rPr>
                <w:rFonts w:hint="eastAsia"/>
                <w:sz w:val="24"/>
              </w:rPr>
              <w:t>货物名称</w:t>
            </w:r>
          </w:p>
        </w:tc>
        <w:tc>
          <w:tcPr>
            <w:tcW w:w="1356" w:type="dxa"/>
          </w:tcPr>
          <w:p w:rsidR="00C54C61" w:rsidRDefault="00BF3A17">
            <w:pPr>
              <w:spacing w:line="360" w:lineRule="auto"/>
              <w:contextualSpacing/>
              <w:rPr>
                <w:sz w:val="24"/>
              </w:rPr>
            </w:pPr>
            <w:r>
              <w:rPr>
                <w:rFonts w:hint="eastAsia"/>
                <w:sz w:val="24"/>
              </w:rPr>
              <w:t>招标技术要求</w:t>
            </w:r>
          </w:p>
        </w:tc>
        <w:tc>
          <w:tcPr>
            <w:tcW w:w="1356" w:type="dxa"/>
          </w:tcPr>
          <w:p w:rsidR="00C54C61" w:rsidRDefault="00BF3A17">
            <w:pPr>
              <w:spacing w:line="360" w:lineRule="auto"/>
              <w:contextualSpacing/>
              <w:rPr>
                <w:sz w:val="24"/>
              </w:rPr>
            </w:pPr>
            <w:r>
              <w:rPr>
                <w:rFonts w:hint="eastAsia"/>
                <w:sz w:val="24"/>
              </w:rPr>
              <w:t>投标技术响应</w:t>
            </w:r>
          </w:p>
        </w:tc>
        <w:tc>
          <w:tcPr>
            <w:tcW w:w="1484" w:type="dxa"/>
          </w:tcPr>
          <w:p w:rsidR="00C54C61" w:rsidRDefault="00BF3A17">
            <w:pPr>
              <w:spacing w:line="360" w:lineRule="auto"/>
              <w:contextualSpacing/>
              <w:rPr>
                <w:sz w:val="24"/>
              </w:rPr>
            </w:pPr>
            <w:r>
              <w:rPr>
                <w:rFonts w:hint="eastAsia"/>
                <w:sz w:val="24"/>
              </w:rPr>
              <w:t>偏离情况</w:t>
            </w:r>
          </w:p>
        </w:tc>
        <w:tc>
          <w:tcPr>
            <w:tcW w:w="1530" w:type="dxa"/>
          </w:tcPr>
          <w:p w:rsidR="00C54C61" w:rsidRDefault="00BF3A17">
            <w:pPr>
              <w:spacing w:line="360" w:lineRule="auto"/>
              <w:contextualSpacing/>
              <w:rPr>
                <w:sz w:val="24"/>
              </w:rPr>
            </w:pPr>
            <w:r>
              <w:rPr>
                <w:rFonts w:hint="eastAsia"/>
                <w:sz w:val="24"/>
              </w:rPr>
              <w:t>说明</w:t>
            </w:r>
          </w:p>
        </w:tc>
      </w:tr>
      <w:tr w:rsidR="00C54C61">
        <w:trPr>
          <w:jc w:val="center"/>
        </w:trPr>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484" w:type="dxa"/>
          </w:tcPr>
          <w:p w:rsidR="00C54C61" w:rsidRDefault="00C54C61">
            <w:pPr>
              <w:spacing w:line="360" w:lineRule="auto"/>
              <w:contextualSpacing/>
              <w:rPr>
                <w:sz w:val="24"/>
              </w:rPr>
            </w:pPr>
          </w:p>
        </w:tc>
        <w:tc>
          <w:tcPr>
            <w:tcW w:w="1530" w:type="dxa"/>
          </w:tcPr>
          <w:p w:rsidR="00C54C61" w:rsidRDefault="00C54C61">
            <w:pPr>
              <w:spacing w:line="360" w:lineRule="auto"/>
              <w:contextualSpacing/>
              <w:rPr>
                <w:sz w:val="24"/>
              </w:rPr>
            </w:pPr>
          </w:p>
        </w:tc>
      </w:tr>
      <w:tr w:rsidR="00C54C61">
        <w:trPr>
          <w:jc w:val="center"/>
        </w:trPr>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484" w:type="dxa"/>
          </w:tcPr>
          <w:p w:rsidR="00C54C61" w:rsidRDefault="00C54C61">
            <w:pPr>
              <w:spacing w:line="360" w:lineRule="auto"/>
              <w:contextualSpacing/>
              <w:rPr>
                <w:sz w:val="24"/>
              </w:rPr>
            </w:pPr>
          </w:p>
        </w:tc>
        <w:tc>
          <w:tcPr>
            <w:tcW w:w="1530" w:type="dxa"/>
          </w:tcPr>
          <w:p w:rsidR="00C54C61" w:rsidRDefault="00C54C61">
            <w:pPr>
              <w:spacing w:line="360" w:lineRule="auto"/>
              <w:contextualSpacing/>
              <w:rPr>
                <w:sz w:val="24"/>
              </w:rPr>
            </w:pPr>
          </w:p>
        </w:tc>
      </w:tr>
      <w:tr w:rsidR="00C54C61">
        <w:trPr>
          <w:jc w:val="center"/>
        </w:trPr>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484" w:type="dxa"/>
          </w:tcPr>
          <w:p w:rsidR="00C54C61" w:rsidRDefault="00C54C61">
            <w:pPr>
              <w:spacing w:line="360" w:lineRule="auto"/>
              <w:contextualSpacing/>
              <w:rPr>
                <w:sz w:val="24"/>
              </w:rPr>
            </w:pPr>
          </w:p>
        </w:tc>
        <w:tc>
          <w:tcPr>
            <w:tcW w:w="1530" w:type="dxa"/>
          </w:tcPr>
          <w:p w:rsidR="00C54C61" w:rsidRDefault="00C54C61">
            <w:pPr>
              <w:spacing w:line="360" w:lineRule="auto"/>
              <w:contextualSpacing/>
              <w:rPr>
                <w:sz w:val="24"/>
              </w:rPr>
            </w:pPr>
          </w:p>
        </w:tc>
      </w:tr>
      <w:tr w:rsidR="00C54C61">
        <w:trPr>
          <w:jc w:val="center"/>
        </w:trPr>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484" w:type="dxa"/>
          </w:tcPr>
          <w:p w:rsidR="00C54C61" w:rsidRDefault="00C54C61">
            <w:pPr>
              <w:spacing w:line="360" w:lineRule="auto"/>
              <w:contextualSpacing/>
              <w:rPr>
                <w:sz w:val="24"/>
              </w:rPr>
            </w:pPr>
          </w:p>
        </w:tc>
        <w:tc>
          <w:tcPr>
            <w:tcW w:w="1530" w:type="dxa"/>
          </w:tcPr>
          <w:p w:rsidR="00C54C61" w:rsidRDefault="00C54C61">
            <w:pPr>
              <w:spacing w:line="360" w:lineRule="auto"/>
              <w:contextualSpacing/>
              <w:rPr>
                <w:sz w:val="24"/>
              </w:rPr>
            </w:pPr>
          </w:p>
        </w:tc>
      </w:tr>
      <w:tr w:rsidR="00C54C61">
        <w:trPr>
          <w:jc w:val="center"/>
        </w:trPr>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484" w:type="dxa"/>
          </w:tcPr>
          <w:p w:rsidR="00C54C61" w:rsidRDefault="00C54C61">
            <w:pPr>
              <w:spacing w:line="360" w:lineRule="auto"/>
              <w:contextualSpacing/>
              <w:rPr>
                <w:sz w:val="24"/>
              </w:rPr>
            </w:pPr>
          </w:p>
        </w:tc>
        <w:tc>
          <w:tcPr>
            <w:tcW w:w="1530" w:type="dxa"/>
          </w:tcPr>
          <w:p w:rsidR="00C54C61" w:rsidRDefault="00C54C61">
            <w:pPr>
              <w:spacing w:line="360" w:lineRule="auto"/>
              <w:contextualSpacing/>
              <w:rPr>
                <w:sz w:val="24"/>
              </w:rPr>
            </w:pPr>
          </w:p>
        </w:tc>
      </w:tr>
      <w:tr w:rsidR="00C54C61">
        <w:trPr>
          <w:jc w:val="center"/>
        </w:trPr>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356" w:type="dxa"/>
          </w:tcPr>
          <w:p w:rsidR="00C54C61" w:rsidRDefault="00C54C61">
            <w:pPr>
              <w:spacing w:line="360" w:lineRule="auto"/>
              <w:contextualSpacing/>
              <w:rPr>
                <w:sz w:val="24"/>
              </w:rPr>
            </w:pPr>
          </w:p>
        </w:tc>
        <w:tc>
          <w:tcPr>
            <w:tcW w:w="1484" w:type="dxa"/>
          </w:tcPr>
          <w:p w:rsidR="00C54C61" w:rsidRDefault="00C54C61">
            <w:pPr>
              <w:spacing w:line="360" w:lineRule="auto"/>
              <w:contextualSpacing/>
              <w:rPr>
                <w:sz w:val="24"/>
              </w:rPr>
            </w:pPr>
          </w:p>
        </w:tc>
        <w:tc>
          <w:tcPr>
            <w:tcW w:w="1530" w:type="dxa"/>
          </w:tcPr>
          <w:p w:rsidR="00C54C61" w:rsidRDefault="00C54C61">
            <w:pPr>
              <w:spacing w:line="360" w:lineRule="auto"/>
              <w:contextualSpacing/>
              <w:rPr>
                <w:sz w:val="24"/>
              </w:rPr>
            </w:pPr>
          </w:p>
        </w:tc>
      </w:tr>
    </w:tbl>
    <w:p w:rsidR="00C54C61" w:rsidRDefault="00BF3A17">
      <w:pPr>
        <w:spacing w:line="360" w:lineRule="auto"/>
        <w:contextualSpacing/>
        <w:rPr>
          <w:sz w:val="24"/>
        </w:rPr>
      </w:pPr>
      <w:r>
        <w:rPr>
          <w:rFonts w:hint="eastAsia"/>
          <w:sz w:val="24"/>
        </w:rPr>
        <w:t>备注：</w:t>
      </w:r>
    </w:p>
    <w:p w:rsidR="00C54C61" w:rsidRDefault="00BF3A17">
      <w:pPr>
        <w:spacing w:line="360" w:lineRule="auto"/>
        <w:contextualSpacing/>
        <w:rPr>
          <w:color w:val="FF0000"/>
          <w:sz w:val="24"/>
        </w:rPr>
      </w:pPr>
      <w:r>
        <w:rPr>
          <w:rFonts w:hint="eastAsia"/>
          <w:color w:val="FF0000"/>
          <w:sz w:val="24"/>
        </w:rPr>
        <w:t>1</w:t>
      </w:r>
      <w:r>
        <w:rPr>
          <w:rFonts w:hint="eastAsia"/>
          <w:color w:val="FF0000"/>
          <w:sz w:val="24"/>
        </w:rPr>
        <w:t>、“招标技术要求”一栏应</w:t>
      </w:r>
      <w:r>
        <w:rPr>
          <w:rFonts w:hint="eastAsia"/>
          <w:b/>
          <w:color w:val="FF0000"/>
          <w:sz w:val="24"/>
        </w:rPr>
        <w:t>填写招标文件第二章</w:t>
      </w:r>
      <w:r>
        <w:rPr>
          <w:rFonts w:hint="eastAsia"/>
          <w:color w:val="FF0000"/>
          <w:sz w:val="24"/>
        </w:rPr>
        <w:t>“具体技术要求”的内容；</w:t>
      </w:r>
    </w:p>
    <w:p w:rsidR="00C54C61" w:rsidRDefault="00BF3A17">
      <w:pPr>
        <w:spacing w:line="360" w:lineRule="auto"/>
        <w:contextualSpacing/>
        <w:rPr>
          <w:color w:val="FF0000"/>
          <w:sz w:val="24"/>
        </w:rPr>
      </w:pPr>
      <w:r>
        <w:rPr>
          <w:rFonts w:hint="eastAsia"/>
          <w:color w:val="FF0000"/>
          <w:sz w:val="24"/>
        </w:rPr>
        <w:t>2</w:t>
      </w:r>
      <w:r>
        <w:rPr>
          <w:rFonts w:hint="eastAsia"/>
          <w:color w:val="FF0000"/>
          <w:sz w:val="24"/>
        </w:rPr>
        <w:t>、“投标技术响应”一栏必须详细填写投标产品的具体参数，并应对照招标技术要求一一对应响应；</w:t>
      </w:r>
    </w:p>
    <w:p w:rsidR="00C54C61" w:rsidRDefault="00BF3A17">
      <w:pPr>
        <w:spacing w:line="360" w:lineRule="auto"/>
        <w:contextualSpacing/>
        <w:rPr>
          <w:color w:val="FF0000"/>
          <w:sz w:val="24"/>
        </w:rPr>
      </w:pPr>
      <w:r>
        <w:rPr>
          <w:rFonts w:hint="eastAsia"/>
          <w:color w:val="FF0000"/>
          <w:sz w:val="24"/>
        </w:rPr>
        <w:t>3</w:t>
      </w:r>
      <w:r>
        <w:rPr>
          <w:rFonts w:hint="eastAsia"/>
          <w:color w:val="FF0000"/>
          <w:sz w:val="24"/>
        </w:rPr>
        <w:t>、“偏离情况”一栏应如实填写“正偏离”、“负偏离”或“无偏离”。</w:t>
      </w:r>
    </w:p>
    <w:p w:rsidR="00C54C61" w:rsidRDefault="00BF3A17">
      <w:pPr>
        <w:spacing w:line="360" w:lineRule="auto"/>
        <w:contextualSpacing/>
        <w:rPr>
          <w:color w:val="FF0000"/>
          <w:sz w:val="24"/>
        </w:rPr>
      </w:pPr>
      <w:r>
        <w:rPr>
          <w:rFonts w:hint="eastAsia"/>
          <w:color w:val="FF0000"/>
          <w:sz w:val="24"/>
        </w:rPr>
        <w:t>4</w:t>
      </w:r>
      <w:r>
        <w:rPr>
          <w:rFonts w:hint="eastAsia"/>
          <w:color w:val="FF0000"/>
          <w:sz w:val="24"/>
        </w:rPr>
        <w:t>、投标人在《技术规格偏离表》填写的“投标技术响应”与《具体技术要求》的“招标技术要求”存在填写不全的情况，将被视为未实质性满足招标文件要求作投标无效处理。示例，“招标技术要求”共有</w:t>
      </w:r>
      <w:r>
        <w:rPr>
          <w:rFonts w:hint="eastAsia"/>
          <w:color w:val="FF0000"/>
          <w:sz w:val="24"/>
        </w:rPr>
        <w:t>10</w:t>
      </w:r>
      <w:r>
        <w:rPr>
          <w:rFonts w:hint="eastAsia"/>
          <w:color w:val="FF0000"/>
          <w:sz w:val="24"/>
        </w:rPr>
        <w:t>项参数，投标人只响应了</w:t>
      </w:r>
      <w:r>
        <w:rPr>
          <w:rFonts w:hint="eastAsia"/>
          <w:color w:val="FF0000"/>
          <w:sz w:val="24"/>
        </w:rPr>
        <w:t>9</w:t>
      </w:r>
      <w:r>
        <w:rPr>
          <w:rFonts w:hint="eastAsia"/>
          <w:color w:val="FF0000"/>
          <w:sz w:val="24"/>
        </w:rPr>
        <w:t>项，填写不全，则视为未实质性满足招标文件要求作投标无效处理。</w:t>
      </w:r>
    </w:p>
    <w:p w:rsidR="00C54C61" w:rsidRDefault="00BF3A17">
      <w:pPr>
        <w:spacing w:line="360" w:lineRule="auto"/>
        <w:contextualSpacing/>
        <w:rPr>
          <w:color w:val="FF0000"/>
          <w:sz w:val="24"/>
        </w:rPr>
      </w:pPr>
      <w:r>
        <w:rPr>
          <w:rFonts w:hint="eastAsia"/>
          <w:color w:val="FF0000"/>
          <w:sz w:val="24"/>
        </w:rPr>
        <w:t>5</w:t>
      </w:r>
      <w:r>
        <w:rPr>
          <w:rFonts w:hint="eastAsia"/>
          <w:color w:val="FF0000"/>
          <w:sz w:val="24"/>
        </w:rPr>
        <w:t>、投标人所填写的“偏离情况”与评审委员会判定不一致时</w:t>
      </w:r>
      <w:r>
        <w:rPr>
          <w:rFonts w:hint="eastAsia"/>
          <w:b/>
          <w:color w:val="FF0000"/>
          <w:sz w:val="24"/>
        </w:rPr>
        <w:t>，以评审委员会意见为主。另，判定结果不一致的参数超过一定数量的，则评分项“技术偏离情况”将不得分（即计为</w:t>
      </w:r>
      <w:r>
        <w:rPr>
          <w:rFonts w:hint="eastAsia"/>
          <w:b/>
          <w:color w:val="FF0000"/>
          <w:sz w:val="24"/>
        </w:rPr>
        <w:t>0</w:t>
      </w:r>
      <w:r>
        <w:rPr>
          <w:rFonts w:hint="eastAsia"/>
          <w:b/>
          <w:color w:val="FF0000"/>
          <w:sz w:val="24"/>
        </w:rPr>
        <w:t>分）。</w:t>
      </w:r>
    </w:p>
    <w:p w:rsidR="00C54C61" w:rsidRDefault="00BF3A17">
      <w:pPr>
        <w:spacing w:line="360" w:lineRule="auto"/>
        <w:contextualSpacing/>
        <w:rPr>
          <w:color w:val="FF0000"/>
          <w:sz w:val="24"/>
        </w:rPr>
      </w:pPr>
      <w:r>
        <w:rPr>
          <w:rFonts w:hint="eastAsia"/>
          <w:b/>
          <w:color w:val="FF0000"/>
          <w:sz w:val="24"/>
        </w:rPr>
        <w:t>一定数量的设置：</w:t>
      </w:r>
      <w:r>
        <w:rPr>
          <w:rFonts w:hint="eastAsia"/>
          <w:color w:val="FF0000"/>
          <w:sz w:val="24"/>
        </w:rPr>
        <w:t>（</w:t>
      </w:r>
      <w:r>
        <w:rPr>
          <w:rFonts w:hint="eastAsia"/>
          <w:color w:val="FF0000"/>
          <w:sz w:val="24"/>
        </w:rPr>
        <w:t>1</w:t>
      </w:r>
      <w:r>
        <w:rPr>
          <w:rFonts w:hint="eastAsia"/>
          <w:color w:val="FF0000"/>
          <w:sz w:val="24"/>
        </w:rPr>
        <w:t>）《具体技术要求》全部参数数量</w:t>
      </w:r>
      <w:r>
        <w:rPr>
          <w:rFonts w:hint="eastAsia"/>
          <w:color w:val="FF0000"/>
          <w:sz w:val="24"/>
        </w:rPr>
        <w:t>10%</w:t>
      </w:r>
      <w:r>
        <w:rPr>
          <w:rFonts w:hint="eastAsia"/>
          <w:color w:val="FF0000"/>
          <w:sz w:val="24"/>
        </w:rPr>
        <w:t>（四舍五入取整数）不足</w:t>
      </w:r>
      <w:r>
        <w:rPr>
          <w:rFonts w:hint="eastAsia"/>
          <w:color w:val="FF0000"/>
          <w:sz w:val="24"/>
        </w:rPr>
        <w:t>3</w:t>
      </w:r>
      <w:r>
        <w:rPr>
          <w:rFonts w:hint="eastAsia"/>
          <w:color w:val="FF0000"/>
          <w:sz w:val="24"/>
        </w:rPr>
        <w:t>条的，以</w:t>
      </w:r>
      <w:r>
        <w:rPr>
          <w:rFonts w:hint="eastAsia"/>
          <w:color w:val="FF0000"/>
          <w:sz w:val="24"/>
        </w:rPr>
        <w:t>3</w:t>
      </w:r>
      <w:r>
        <w:rPr>
          <w:rFonts w:hint="eastAsia"/>
          <w:color w:val="FF0000"/>
          <w:sz w:val="24"/>
        </w:rPr>
        <w:t>条为标准；此种情形下投标人所填写的“偏离情况”与评审委员会判定不一致数量超过</w:t>
      </w:r>
      <w:r>
        <w:rPr>
          <w:rFonts w:hint="eastAsia"/>
          <w:color w:val="FF0000"/>
          <w:sz w:val="24"/>
        </w:rPr>
        <w:t>3</w:t>
      </w:r>
      <w:r>
        <w:rPr>
          <w:rFonts w:hint="eastAsia"/>
          <w:color w:val="FF0000"/>
          <w:sz w:val="24"/>
        </w:rPr>
        <w:t>条的（不含本数</w:t>
      </w:r>
      <w:r>
        <w:rPr>
          <w:rFonts w:hint="eastAsia"/>
          <w:color w:val="FF0000"/>
          <w:sz w:val="24"/>
        </w:rPr>
        <w:t>3</w:t>
      </w:r>
      <w:r>
        <w:rPr>
          <w:rFonts w:hint="eastAsia"/>
          <w:color w:val="FF0000"/>
          <w:sz w:val="24"/>
        </w:rPr>
        <w:t>），则评分项“技术偏离情况”计为</w:t>
      </w:r>
      <w:r>
        <w:rPr>
          <w:rFonts w:hint="eastAsia"/>
          <w:color w:val="FF0000"/>
          <w:sz w:val="24"/>
        </w:rPr>
        <w:t>0</w:t>
      </w:r>
      <w:r>
        <w:rPr>
          <w:rFonts w:hint="eastAsia"/>
          <w:color w:val="FF0000"/>
          <w:sz w:val="24"/>
        </w:rPr>
        <w:t>分，数量在</w:t>
      </w:r>
      <w:r>
        <w:rPr>
          <w:rFonts w:hint="eastAsia"/>
          <w:color w:val="FF0000"/>
          <w:sz w:val="24"/>
        </w:rPr>
        <w:t>3</w:t>
      </w:r>
      <w:r>
        <w:rPr>
          <w:rFonts w:hint="eastAsia"/>
          <w:color w:val="FF0000"/>
          <w:sz w:val="24"/>
        </w:rPr>
        <w:t>条以内（含本数</w:t>
      </w:r>
      <w:r>
        <w:rPr>
          <w:rFonts w:hint="eastAsia"/>
          <w:color w:val="FF0000"/>
          <w:sz w:val="24"/>
        </w:rPr>
        <w:t>3</w:t>
      </w:r>
      <w:r>
        <w:rPr>
          <w:rFonts w:hint="eastAsia"/>
          <w:color w:val="FF0000"/>
          <w:sz w:val="24"/>
        </w:rPr>
        <w:t>）的，则按照扣分处理；（</w:t>
      </w:r>
      <w:r>
        <w:rPr>
          <w:rFonts w:hint="eastAsia"/>
          <w:color w:val="FF0000"/>
          <w:sz w:val="24"/>
        </w:rPr>
        <w:t>2</w:t>
      </w:r>
      <w:r>
        <w:rPr>
          <w:rFonts w:hint="eastAsia"/>
          <w:color w:val="FF0000"/>
          <w:sz w:val="24"/>
        </w:rPr>
        <w:t>）《具体技术要求》全部参数数量</w:t>
      </w:r>
      <w:r>
        <w:rPr>
          <w:rFonts w:hint="eastAsia"/>
          <w:color w:val="FF0000"/>
          <w:sz w:val="24"/>
        </w:rPr>
        <w:t>10%</w:t>
      </w:r>
      <w:r>
        <w:rPr>
          <w:rFonts w:hint="eastAsia"/>
          <w:color w:val="FF0000"/>
          <w:sz w:val="24"/>
        </w:rPr>
        <w:t>（四舍五入取整数）超过</w:t>
      </w:r>
      <w:r>
        <w:rPr>
          <w:rFonts w:hint="eastAsia"/>
          <w:color w:val="FF0000"/>
          <w:sz w:val="24"/>
        </w:rPr>
        <w:t>10</w:t>
      </w:r>
      <w:r>
        <w:rPr>
          <w:rFonts w:hint="eastAsia"/>
          <w:color w:val="FF0000"/>
          <w:sz w:val="24"/>
        </w:rPr>
        <w:t>条的，以</w:t>
      </w:r>
      <w:r>
        <w:rPr>
          <w:rFonts w:hint="eastAsia"/>
          <w:color w:val="FF0000"/>
          <w:sz w:val="24"/>
        </w:rPr>
        <w:t>10</w:t>
      </w:r>
      <w:r>
        <w:rPr>
          <w:rFonts w:hint="eastAsia"/>
          <w:color w:val="FF0000"/>
          <w:sz w:val="24"/>
        </w:rPr>
        <w:t>条为标准；此种情形下投标人所填写的“偏离情况”与评审委员会判定不一致数量超过</w:t>
      </w:r>
      <w:r>
        <w:rPr>
          <w:rFonts w:hint="eastAsia"/>
          <w:color w:val="FF0000"/>
          <w:sz w:val="24"/>
        </w:rPr>
        <w:t>10</w:t>
      </w:r>
      <w:r>
        <w:rPr>
          <w:rFonts w:hint="eastAsia"/>
          <w:color w:val="FF0000"/>
          <w:sz w:val="24"/>
        </w:rPr>
        <w:t>条的（不含本数</w:t>
      </w:r>
      <w:r>
        <w:rPr>
          <w:rFonts w:hint="eastAsia"/>
          <w:color w:val="FF0000"/>
          <w:sz w:val="24"/>
        </w:rPr>
        <w:t>10</w:t>
      </w:r>
      <w:r>
        <w:rPr>
          <w:rFonts w:hint="eastAsia"/>
          <w:color w:val="FF0000"/>
          <w:sz w:val="24"/>
        </w:rPr>
        <w:t>），则评分项“技术偏离情况”计为</w:t>
      </w:r>
      <w:r>
        <w:rPr>
          <w:rFonts w:hint="eastAsia"/>
          <w:color w:val="FF0000"/>
          <w:sz w:val="24"/>
        </w:rPr>
        <w:t>0</w:t>
      </w:r>
      <w:r>
        <w:rPr>
          <w:rFonts w:hint="eastAsia"/>
          <w:color w:val="FF0000"/>
          <w:sz w:val="24"/>
        </w:rPr>
        <w:t>分，数量在</w:t>
      </w:r>
      <w:r>
        <w:rPr>
          <w:rFonts w:hint="eastAsia"/>
          <w:color w:val="FF0000"/>
          <w:sz w:val="24"/>
        </w:rPr>
        <w:t>10</w:t>
      </w:r>
      <w:r>
        <w:rPr>
          <w:rFonts w:hint="eastAsia"/>
          <w:color w:val="FF0000"/>
          <w:sz w:val="24"/>
        </w:rPr>
        <w:t>条以内（含本数</w:t>
      </w:r>
      <w:r>
        <w:rPr>
          <w:rFonts w:hint="eastAsia"/>
          <w:color w:val="FF0000"/>
          <w:sz w:val="24"/>
        </w:rPr>
        <w:t>10</w:t>
      </w:r>
      <w:r>
        <w:rPr>
          <w:rFonts w:hint="eastAsia"/>
          <w:color w:val="FF0000"/>
          <w:sz w:val="24"/>
        </w:rPr>
        <w:t>）的，则按照扣分处理；（</w:t>
      </w:r>
      <w:r>
        <w:rPr>
          <w:rFonts w:hint="eastAsia"/>
          <w:color w:val="FF0000"/>
          <w:sz w:val="24"/>
        </w:rPr>
        <w:t>3</w:t>
      </w:r>
      <w:r>
        <w:rPr>
          <w:rFonts w:hint="eastAsia"/>
          <w:color w:val="FF0000"/>
          <w:sz w:val="24"/>
        </w:rPr>
        <w:t>）其他情况，按《具体技术要求》全部参数数量</w:t>
      </w:r>
      <w:r>
        <w:rPr>
          <w:rFonts w:hint="eastAsia"/>
          <w:color w:val="FF0000"/>
          <w:sz w:val="24"/>
        </w:rPr>
        <w:t>10%</w:t>
      </w:r>
      <w:r>
        <w:rPr>
          <w:rFonts w:hint="eastAsia"/>
          <w:color w:val="FF0000"/>
          <w:sz w:val="24"/>
        </w:rPr>
        <w:t>（四舍五入取整数）为标准。</w:t>
      </w:r>
    </w:p>
    <w:p w:rsidR="00C54C61" w:rsidRDefault="00BF3A17">
      <w:pPr>
        <w:spacing w:line="360" w:lineRule="auto"/>
        <w:contextualSpacing/>
        <w:rPr>
          <w:b/>
          <w:color w:val="FF0000"/>
          <w:sz w:val="24"/>
        </w:rPr>
      </w:pPr>
      <w:r>
        <w:rPr>
          <w:rFonts w:hint="eastAsia"/>
          <w:sz w:val="24"/>
        </w:rPr>
        <w:t>6</w:t>
      </w:r>
      <w:r>
        <w:rPr>
          <w:rFonts w:hint="eastAsia"/>
          <w:sz w:val="24"/>
        </w:rPr>
        <w:t>、投标产品的技术参数应按</w:t>
      </w:r>
      <w:r>
        <w:rPr>
          <w:rFonts w:hint="eastAsia"/>
          <w:color w:val="FF0000"/>
          <w:sz w:val="24"/>
        </w:rPr>
        <w:t>《技术规格偏离表》中的要求</w:t>
      </w:r>
      <w:r>
        <w:rPr>
          <w:rFonts w:hint="eastAsia"/>
          <w:sz w:val="24"/>
        </w:rPr>
        <w:t>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提供的证明资料显示产品参数信息不符合招标文件要求的，如果投标人偏离程度响应为“无偏离或正偏离”的，则应判断为负偏离；提供的证明材料模糊不清，导致评审专家无法判断的，如果投标人偏离程度响应为“无偏离或正偏离”的，则应判断为负偏离。</w:t>
      </w:r>
      <w:r>
        <w:rPr>
          <w:rFonts w:hint="eastAsia"/>
          <w:b/>
          <w:color w:val="FF0000"/>
          <w:sz w:val="24"/>
        </w:rPr>
        <w:t>若《技术规格偏离表》中未要求提供相应证明材料的，投标人可以不提供。</w:t>
      </w:r>
    </w:p>
    <w:p w:rsidR="00C54C61" w:rsidRDefault="00BF3A17">
      <w:pPr>
        <w:spacing w:line="360" w:lineRule="auto"/>
        <w:contextualSpacing/>
        <w:rPr>
          <w:sz w:val="24"/>
        </w:rPr>
      </w:pPr>
      <w:r>
        <w:rPr>
          <w:rFonts w:hint="eastAsia"/>
          <w:sz w:val="24"/>
        </w:rPr>
        <w:t>7</w:t>
      </w:r>
      <w:r>
        <w:rPr>
          <w:rFonts w:hint="eastAsia"/>
          <w:sz w:val="24"/>
        </w:rPr>
        <w:t>、证明资料（均为扫描件）的提供要求：</w:t>
      </w:r>
    </w:p>
    <w:p w:rsidR="00C54C61" w:rsidRDefault="00BF3A17">
      <w:pPr>
        <w:spacing w:line="360" w:lineRule="auto"/>
        <w:contextualSpacing/>
        <w:rPr>
          <w:sz w:val="24"/>
        </w:rPr>
      </w:pPr>
      <w:r>
        <w:rPr>
          <w:rFonts w:hint="eastAsia"/>
          <w:sz w:val="24"/>
        </w:rPr>
        <w:t>（</w:t>
      </w:r>
      <w:r>
        <w:rPr>
          <w:rFonts w:hint="eastAsia"/>
          <w:sz w:val="24"/>
        </w:rPr>
        <w:t>1</w:t>
      </w:r>
      <w:r>
        <w:rPr>
          <w:rFonts w:hint="eastAsia"/>
          <w:sz w:val="24"/>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rsidR="00C54C61" w:rsidRDefault="00BF3A17">
      <w:pPr>
        <w:spacing w:line="360" w:lineRule="auto"/>
        <w:contextualSpacing/>
        <w:rPr>
          <w:sz w:val="24"/>
        </w:rPr>
      </w:pPr>
      <w:r>
        <w:rPr>
          <w:rFonts w:hint="eastAsia"/>
          <w:sz w:val="24"/>
        </w:rPr>
        <w:t>（</w:t>
      </w:r>
      <w:r>
        <w:rPr>
          <w:rFonts w:hint="eastAsia"/>
          <w:sz w:val="24"/>
        </w:rPr>
        <w:t>2</w:t>
      </w:r>
      <w:r>
        <w:rPr>
          <w:rFonts w:hint="eastAsia"/>
          <w:sz w:val="24"/>
        </w:rPr>
        <w:t>）我国政府机构出具的产品检验和核准证件应为证件正面、背面和附件标注的全部具体内容；产品检验和核准证件的尺寸和清晰度应该能够在电脑上被阅读、识别和判断。</w:t>
      </w:r>
    </w:p>
    <w:p w:rsidR="00C54C61" w:rsidRDefault="00C54C61">
      <w:pPr>
        <w:spacing w:line="360" w:lineRule="auto"/>
        <w:contextualSpacing/>
        <w:rPr>
          <w:sz w:val="24"/>
        </w:rPr>
      </w:pPr>
    </w:p>
    <w:p w:rsidR="00C54C61" w:rsidRDefault="00BF3A17">
      <w:pPr>
        <w:pStyle w:val="30"/>
        <w:spacing w:before="0" w:after="0" w:line="360" w:lineRule="auto"/>
        <w:contextualSpacing/>
        <w:jc w:val="center"/>
        <w:rPr>
          <w:rFonts w:ascii="黑体" w:eastAsia="黑体"/>
          <w:b w:val="0"/>
          <w:bCs w:val="0"/>
          <w:sz w:val="24"/>
          <w:szCs w:val="20"/>
        </w:rPr>
      </w:pPr>
      <w:r>
        <w:rPr>
          <w:rFonts w:ascii="黑体" w:eastAsia="黑体" w:hint="eastAsia"/>
          <w:b w:val="0"/>
          <w:bCs w:val="0"/>
          <w:sz w:val="24"/>
          <w:szCs w:val="20"/>
        </w:rPr>
        <w:t>七、商务需求偏离表</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980"/>
        <w:gridCol w:w="1980"/>
        <w:gridCol w:w="1440"/>
        <w:gridCol w:w="1620"/>
      </w:tblGrid>
      <w:tr w:rsidR="00C54C61">
        <w:tc>
          <w:tcPr>
            <w:tcW w:w="828" w:type="dxa"/>
          </w:tcPr>
          <w:p w:rsidR="00C54C61" w:rsidRDefault="00BF3A17">
            <w:pPr>
              <w:spacing w:line="360" w:lineRule="auto"/>
              <w:contextualSpacing/>
              <w:rPr>
                <w:sz w:val="24"/>
              </w:rPr>
            </w:pPr>
            <w:r>
              <w:rPr>
                <w:rFonts w:hint="eastAsia"/>
                <w:sz w:val="24"/>
              </w:rPr>
              <w:t>序号</w:t>
            </w:r>
          </w:p>
        </w:tc>
        <w:tc>
          <w:tcPr>
            <w:tcW w:w="1080" w:type="dxa"/>
          </w:tcPr>
          <w:p w:rsidR="00C54C61" w:rsidRDefault="00BF3A17">
            <w:pPr>
              <w:spacing w:line="360" w:lineRule="auto"/>
              <w:contextualSpacing/>
              <w:rPr>
                <w:sz w:val="24"/>
              </w:rPr>
            </w:pPr>
            <w:r>
              <w:rPr>
                <w:rFonts w:hint="eastAsia"/>
                <w:sz w:val="24"/>
              </w:rPr>
              <w:t>目录</w:t>
            </w:r>
          </w:p>
        </w:tc>
        <w:tc>
          <w:tcPr>
            <w:tcW w:w="1980" w:type="dxa"/>
          </w:tcPr>
          <w:p w:rsidR="00C54C61" w:rsidRDefault="00BF3A17">
            <w:pPr>
              <w:spacing w:line="360" w:lineRule="auto"/>
              <w:contextualSpacing/>
              <w:rPr>
                <w:sz w:val="24"/>
              </w:rPr>
            </w:pPr>
            <w:r>
              <w:rPr>
                <w:rFonts w:hint="eastAsia"/>
                <w:sz w:val="24"/>
              </w:rPr>
              <w:t>招标商务条款</w:t>
            </w:r>
          </w:p>
        </w:tc>
        <w:tc>
          <w:tcPr>
            <w:tcW w:w="1980" w:type="dxa"/>
          </w:tcPr>
          <w:p w:rsidR="00C54C61" w:rsidRDefault="00BF3A17">
            <w:pPr>
              <w:spacing w:line="360" w:lineRule="auto"/>
              <w:contextualSpacing/>
              <w:rPr>
                <w:sz w:val="24"/>
              </w:rPr>
            </w:pPr>
            <w:r>
              <w:rPr>
                <w:rFonts w:hint="eastAsia"/>
                <w:sz w:val="24"/>
              </w:rPr>
              <w:t>投标商务条款</w:t>
            </w:r>
          </w:p>
        </w:tc>
        <w:tc>
          <w:tcPr>
            <w:tcW w:w="1440" w:type="dxa"/>
          </w:tcPr>
          <w:p w:rsidR="00C54C61" w:rsidRDefault="00BF3A17">
            <w:pPr>
              <w:spacing w:line="360" w:lineRule="auto"/>
              <w:contextualSpacing/>
              <w:rPr>
                <w:sz w:val="24"/>
              </w:rPr>
            </w:pPr>
            <w:r>
              <w:rPr>
                <w:rFonts w:hint="eastAsia"/>
              </w:rPr>
              <w:t>偏离情况</w:t>
            </w:r>
          </w:p>
        </w:tc>
        <w:tc>
          <w:tcPr>
            <w:tcW w:w="1620" w:type="dxa"/>
          </w:tcPr>
          <w:p w:rsidR="00C54C61" w:rsidRDefault="00BF3A17">
            <w:pPr>
              <w:spacing w:line="360" w:lineRule="auto"/>
              <w:contextualSpacing/>
              <w:rPr>
                <w:sz w:val="24"/>
              </w:rPr>
            </w:pPr>
            <w:r>
              <w:rPr>
                <w:rFonts w:hint="eastAsia"/>
                <w:sz w:val="24"/>
              </w:rPr>
              <w:t>说明</w:t>
            </w:r>
          </w:p>
        </w:tc>
      </w:tr>
      <w:tr w:rsidR="00C54C61">
        <w:tc>
          <w:tcPr>
            <w:tcW w:w="8928" w:type="dxa"/>
            <w:gridSpan w:val="6"/>
          </w:tcPr>
          <w:p w:rsidR="00C54C61" w:rsidRDefault="00BF3A17">
            <w:pPr>
              <w:spacing w:line="360" w:lineRule="auto"/>
              <w:contextualSpacing/>
              <w:rPr>
                <w:sz w:val="24"/>
              </w:rPr>
            </w:pPr>
            <w:r>
              <w:rPr>
                <w:rFonts w:hint="eastAsia"/>
                <w:sz w:val="24"/>
              </w:rPr>
              <w:t>（一）免费保修期内售后服务条款偏离表</w:t>
            </w:r>
          </w:p>
        </w:tc>
      </w:tr>
      <w:tr w:rsidR="00C54C61">
        <w:tc>
          <w:tcPr>
            <w:tcW w:w="828" w:type="dxa"/>
          </w:tcPr>
          <w:p w:rsidR="00C54C61" w:rsidRDefault="00BF3A17">
            <w:pPr>
              <w:spacing w:line="360" w:lineRule="auto"/>
              <w:contextualSpacing/>
              <w:rPr>
                <w:sz w:val="24"/>
              </w:rPr>
            </w:pPr>
            <w:r>
              <w:rPr>
                <w:rFonts w:hint="eastAsia"/>
                <w:sz w:val="24"/>
              </w:rPr>
              <w:t>1</w:t>
            </w:r>
          </w:p>
        </w:tc>
        <w:tc>
          <w:tcPr>
            <w:tcW w:w="10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r>
      <w:tr w:rsidR="00C54C61">
        <w:tc>
          <w:tcPr>
            <w:tcW w:w="828" w:type="dxa"/>
          </w:tcPr>
          <w:p w:rsidR="00C54C61" w:rsidRDefault="00BF3A17">
            <w:pPr>
              <w:spacing w:line="360" w:lineRule="auto"/>
              <w:contextualSpacing/>
              <w:rPr>
                <w:sz w:val="24"/>
              </w:rPr>
            </w:pPr>
            <w:r>
              <w:rPr>
                <w:rFonts w:hint="eastAsia"/>
                <w:sz w:val="24"/>
              </w:rPr>
              <w:t>2</w:t>
            </w:r>
          </w:p>
        </w:tc>
        <w:tc>
          <w:tcPr>
            <w:tcW w:w="10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r>
      <w:tr w:rsidR="00C54C61">
        <w:tc>
          <w:tcPr>
            <w:tcW w:w="828" w:type="dxa"/>
          </w:tcPr>
          <w:p w:rsidR="00C54C61" w:rsidRDefault="00BF3A17">
            <w:pPr>
              <w:spacing w:line="360" w:lineRule="auto"/>
              <w:contextualSpacing/>
              <w:rPr>
                <w:sz w:val="24"/>
              </w:rPr>
            </w:pPr>
            <w:r>
              <w:rPr>
                <w:rFonts w:hint="eastAsia"/>
                <w:sz w:val="24"/>
              </w:rPr>
              <w:t>……</w:t>
            </w:r>
          </w:p>
        </w:tc>
        <w:tc>
          <w:tcPr>
            <w:tcW w:w="10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r>
      <w:tr w:rsidR="00C54C61">
        <w:tc>
          <w:tcPr>
            <w:tcW w:w="8928" w:type="dxa"/>
            <w:gridSpan w:val="6"/>
          </w:tcPr>
          <w:p w:rsidR="00C54C61" w:rsidRDefault="00BF3A17">
            <w:pPr>
              <w:spacing w:line="360" w:lineRule="auto"/>
              <w:contextualSpacing/>
              <w:rPr>
                <w:sz w:val="24"/>
              </w:rPr>
            </w:pPr>
            <w:r>
              <w:rPr>
                <w:rFonts w:hint="eastAsia"/>
                <w:sz w:val="24"/>
              </w:rPr>
              <w:t>（二）免费保修期外售后服务条款偏离表</w:t>
            </w:r>
          </w:p>
        </w:tc>
      </w:tr>
      <w:tr w:rsidR="00C54C61">
        <w:tc>
          <w:tcPr>
            <w:tcW w:w="828" w:type="dxa"/>
          </w:tcPr>
          <w:p w:rsidR="00C54C61" w:rsidRDefault="00BF3A17">
            <w:pPr>
              <w:spacing w:line="360" w:lineRule="auto"/>
              <w:contextualSpacing/>
              <w:rPr>
                <w:sz w:val="24"/>
              </w:rPr>
            </w:pPr>
            <w:r>
              <w:rPr>
                <w:rFonts w:hint="eastAsia"/>
                <w:sz w:val="24"/>
              </w:rPr>
              <w:t>1</w:t>
            </w:r>
          </w:p>
        </w:tc>
        <w:tc>
          <w:tcPr>
            <w:tcW w:w="10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r>
      <w:tr w:rsidR="00C54C61">
        <w:tc>
          <w:tcPr>
            <w:tcW w:w="828" w:type="dxa"/>
          </w:tcPr>
          <w:p w:rsidR="00C54C61" w:rsidRDefault="00BF3A17">
            <w:pPr>
              <w:spacing w:line="360" w:lineRule="auto"/>
              <w:contextualSpacing/>
              <w:rPr>
                <w:sz w:val="24"/>
              </w:rPr>
            </w:pPr>
            <w:r>
              <w:rPr>
                <w:rFonts w:hint="eastAsia"/>
                <w:sz w:val="24"/>
              </w:rPr>
              <w:t>2</w:t>
            </w:r>
          </w:p>
        </w:tc>
        <w:tc>
          <w:tcPr>
            <w:tcW w:w="10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r>
      <w:tr w:rsidR="00C54C61">
        <w:tc>
          <w:tcPr>
            <w:tcW w:w="828" w:type="dxa"/>
          </w:tcPr>
          <w:p w:rsidR="00C54C61" w:rsidRDefault="00BF3A17">
            <w:pPr>
              <w:spacing w:line="360" w:lineRule="auto"/>
              <w:contextualSpacing/>
              <w:rPr>
                <w:sz w:val="24"/>
              </w:rPr>
            </w:pPr>
            <w:r>
              <w:rPr>
                <w:rFonts w:hint="eastAsia"/>
                <w:sz w:val="24"/>
              </w:rPr>
              <w:t>……</w:t>
            </w:r>
          </w:p>
        </w:tc>
        <w:tc>
          <w:tcPr>
            <w:tcW w:w="10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r>
      <w:tr w:rsidR="00C54C61">
        <w:tc>
          <w:tcPr>
            <w:tcW w:w="8928" w:type="dxa"/>
            <w:gridSpan w:val="6"/>
          </w:tcPr>
          <w:p w:rsidR="00C54C61" w:rsidRDefault="00BF3A17">
            <w:pPr>
              <w:spacing w:line="360" w:lineRule="auto"/>
              <w:contextualSpacing/>
              <w:rPr>
                <w:sz w:val="24"/>
              </w:rPr>
            </w:pPr>
            <w:r>
              <w:rPr>
                <w:rFonts w:hint="eastAsia"/>
                <w:sz w:val="24"/>
              </w:rPr>
              <w:t>（三）其他商务条款偏离表</w:t>
            </w:r>
          </w:p>
        </w:tc>
      </w:tr>
      <w:tr w:rsidR="00C54C61">
        <w:tc>
          <w:tcPr>
            <w:tcW w:w="828" w:type="dxa"/>
          </w:tcPr>
          <w:p w:rsidR="00C54C61" w:rsidRDefault="00BF3A17">
            <w:pPr>
              <w:spacing w:line="360" w:lineRule="auto"/>
              <w:contextualSpacing/>
              <w:rPr>
                <w:sz w:val="24"/>
              </w:rPr>
            </w:pPr>
            <w:r>
              <w:rPr>
                <w:rFonts w:hint="eastAsia"/>
                <w:sz w:val="24"/>
              </w:rPr>
              <w:t>1</w:t>
            </w:r>
          </w:p>
        </w:tc>
        <w:tc>
          <w:tcPr>
            <w:tcW w:w="10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r>
      <w:tr w:rsidR="00C54C61">
        <w:tc>
          <w:tcPr>
            <w:tcW w:w="828" w:type="dxa"/>
          </w:tcPr>
          <w:p w:rsidR="00C54C61" w:rsidRDefault="00BF3A17">
            <w:pPr>
              <w:spacing w:line="360" w:lineRule="auto"/>
              <w:contextualSpacing/>
              <w:rPr>
                <w:sz w:val="24"/>
              </w:rPr>
            </w:pPr>
            <w:r>
              <w:rPr>
                <w:rFonts w:hint="eastAsia"/>
                <w:sz w:val="24"/>
              </w:rPr>
              <w:t>2</w:t>
            </w:r>
          </w:p>
        </w:tc>
        <w:tc>
          <w:tcPr>
            <w:tcW w:w="10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r>
      <w:tr w:rsidR="00C54C61">
        <w:tc>
          <w:tcPr>
            <w:tcW w:w="828" w:type="dxa"/>
          </w:tcPr>
          <w:p w:rsidR="00C54C61" w:rsidRDefault="00BF3A17">
            <w:pPr>
              <w:spacing w:line="360" w:lineRule="auto"/>
              <w:contextualSpacing/>
              <w:rPr>
                <w:sz w:val="24"/>
              </w:rPr>
            </w:pPr>
            <w:r>
              <w:rPr>
                <w:rFonts w:hint="eastAsia"/>
                <w:sz w:val="24"/>
              </w:rPr>
              <w:t>……</w:t>
            </w:r>
          </w:p>
        </w:tc>
        <w:tc>
          <w:tcPr>
            <w:tcW w:w="10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980" w:type="dxa"/>
          </w:tcPr>
          <w:p w:rsidR="00C54C61" w:rsidRDefault="00C54C61">
            <w:pPr>
              <w:spacing w:line="360" w:lineRule="auto"/>
              <w:contextualSpacing/>
              <w:rPr>
                <w:sz w:val="24"/>
              </w:rPr>
            </w:pPr>
          </w:p>
        </w:tc>
        <w:tc>
          <w:tcPr>
            <w:tcW w:w="1440" w:type="dxa"/>
          </w:tcPr>
          <w:p w:rsidR="00C54C61" w:rsidRDefault="00C54C61">
            <w:pPr>
              <w:spacing w:line="360" w:lineRule="auto"/>
              <w:contextualSpacing/>
              <w:rPr>
                <w:sz w:val="24"/>
              </w:rPr>
            </w:pPr>
          </w:p>
        </w:tc>
        <w:tc>
          <w:tcPr>
            <w:tcW w:w="1620" w:type="dxa"/>
          </w:tcPr>
          <w:p w:rsidR="00C54C61" w:rsidRDefault="00C54C61">
            <w:pPr>
              <w:spacing w:line="360" w:lineRule="auto"/>
              <w:contextualSpacing/>
              <w:rPr>
                <w:sz w:val="24"/>
              </w:rPr>
            </w:pPr>
          </w:p>
        </w:tc>
      </w:tr>
    </w:tbl>
    <w:p w:rsidR="00C54C61" w:rsidRDefault="00BF3A17">
      <w:pPr>
        <w:spacing w:line="360" w:lineRule="auto"/>
        <w:contextualSpacing/>
        <w:rPr>
          <w:sz w:val="24"/>
        </w:rPr>
      </w:pPr>
      <w:r>
        <w:rPr>
          <w:rFonts w:hint="eastAsia"/>
          <w:sz w:val="24"/>
        </w:rPr>
        <w:t>备注：</w:t>
      </w:r>
    </w:p>
    <w:p w:rsidR="00C54C61" w:rsidRDefault="00BF3A17">
      <w:pPr>
        <w:spacing w:line="360" w:lineRule="auto"/>
        <w:contextualSpacing/>
        <w:rPr>
          <w:color w:val="FF0000"/>
          <w:sz w:val="24"/>
        </w:rPr>
      </w:pPr>
      <w:r>
        <w:rPr>
          <w:rFonts w:hint="eastAsia"/>
          <w:color w:val="FF0000"/>
          <w:sz w:val="24"/>
        </w:rPr>
        <w:t xml:space="preserve">1. </w:t>
      </w:r>
      <w:r>
        <w:rPr>
          <w:rFonts w:hint="eastAsia"/>
          <w:color w:val="FF0000"/>
          <w:sz w:val="24"/>
        </w:rPr>
        <w:t>“招标商务条款”一栏必须填写招标文件第二章“商务需求”的内容分别对应“（一）免费保修期内售后服务要求、（二）免费保修期外售后服务要求、（三）其他商务要求”的内容进行填写。</w:t>
      </w:r>
    </w:p>
    <w:p w:rsidR="00C54C61" w:rsidRDefault="00BF3A17">
      <w:pPr>
        <w:spacing w:line="360" w:lineRule="auto"/>
        <w:contextualSpacing/>
        <w:rPr>
          <w:color w:val="FF0000"/>
          <w:sz w:val="24"/>
        </w:rPr>
      </w:pPr>
      <w:r>
        <w:rPr>
          <w:rFonts w:hint="eastAsia"/>
          <w:color w:val="FF0000"/>
          <w:sz w:val="24"/>
        </w:rPr>
        <w:t xml:space="preserve">2. </w:t>
      </w:r>
      <w:r>
        <w:rPr>
          <w:rFonts w:hint="eastAsia"/>
          <w:color w:val="FF0000"/>
          <w:sz w:val="24"/>
        </w:rPr>
        <w:t>“投标商务条款”一栏必须详细填写投标商务条款的内容。</w:t>
      </w:r>
    </w:p>
    <w:p w:rsidR="00C54C61" w:rsidRDefault="00BF3A17">
      <w:pPr>
        <w:spacing w:line="360" w:lineRule="auto"/>
        <w:contextualSpacing/>
        <w:rPr>
          <w:color w:val="FF0000"/>
          <w:sz w:val="24"/>
        </w:rPr>
      </w:pPr>
      <w:r>
        <w:rPr>
          <w:rFonts w:hint="eastAsia"/>
          <w:color w:val="FF0000"/>
          <w:sz w:val="24"/>
        </w:rPr>
        <w:t xml:space="preserve">3. </w:t>
      </w:r>
      <w:r>
        <w:rPr>
          <w:rFonts w:hint="eastAsia"/>
          <w:color w:val="FF0000"/>
          <w:sz w:val="24"/>
        </w:rPr>
        <w:t>“偏离情况”栏中应如实填写“正偏离”、“负偏离”或“无偏离”。</w:t>
      </w:r>
    </w:p>
    <w:p w:rsidR="00C54C61" w:rsidRDefault="00BF3A17">
      <w:pPr>
        <w:spacing w:line="360" w:lineRule="auto"/>
        <w:contextualSpacing/>
        <w:rPr>
          <w:color w:val="FF0000"/>
          <w:sz w:val="24"/>
        </w:rPr>
      </w:pPr>
      <w:r>
        <w:rPr>
          <w:rFonts w:hint="eastAsia"/>
          <w:color w:val="FF0000"/>
          <w:sz w:val="24"/>
        </w:rPr>
        <w:t>4</w:t>
      </w:r>
      <w:r>
        <w:rPr>
          <w:rFonts w:hint="eastAsia"/>
          <w:color w:val="FF0000"/>
          <w:sz w:val="24"/>
        </w:rPr>
        <w:t>．投标人在《商务需求偏离表》填写的“投标商务条款”与《商务需求》的“招标商务条款”存在填写不全的，将被视为未实质性满足招标文件要求作投标无效处理。示例，“招标商务条款”共有</w:t>
      </w:r>
      <w:r>
        <w:rPr>
          <w:rFonts w:hint="eastAsia"/>
          <w:color w:val="FF0000"/>
          <w:sz w:val="24"/>
        </w:rPr>
        <w:t>10</w:t>
      </w:r>
      <w:r>
        <w:rPr>
          <w:rFonts w:hint="eastAsia"/>
          <w:color w:val="FF0000"/>
          <w:sz w:val="24"/>
        </w:rPr>
        <w:t>项参数，投标人只响应了</w:t>
      </w:r>
      <w:r>
        <w:rPr>
          <w:rFonts w:hint="eastAsia"/>
          <w:color w:val="FF0000"/>
          <w:sz w:val="24"/>
        </w:rPr>
        <w:t>9</w:t>
      </w:r>
      <w:r>
        <w:rPr>
          <w:rFonts w:hint="eastAsia"/>
          <w:color w:val="FF0000"/>
          <w:sz w:val="24"/>
        </w:rPr>
        <w:t>项，填写不全，则视为未实质性满足招标文件要求作投标无效处理。</w:t>
      </w:r>
    </w:p>
    <w:p w:rsidR="00C54C61" w:rsidRDefault="00BF3A17">
      <w:pPr>
        <w:spacing w:line="360" w:lineRule="auto"/>
        <w:contextualSpacing/>
        <w:rPr>
          <w:color w:val="FF0000"/>
          <w:sz w:val="24"/>
        </w:rPr>
      </w:pPr>
      <w:r>
        <w:rPr>
          <w:rFonts w:hint="eastAsia"/>
          <w:b/>
          <w:color w:val="FF0000"/>
          <w:sz w:val="24"/>
        </w:rPr>
        <w:t>5</w:t>
      </w:r>
      <w:r>
        <w:rPr>
          <w:rFonts w:hint="eastAsia"/>
          <w:b/>
          <w:color w:val="FF0000"/>
          <w:sz w:val="24"/>
        </w:rPr>
        <w:t>．</w:t>
      </w:r>
      <w:r>
        <w:rPr>
          <w:rFonts w:hint="eastAsia"/>
          <w:color w:val="FF0000"/>
          <w:sz w:val="24"/>
        </w:rPr>
        <w:t>投标人所填写的“偏离情况”与评审委员会判定不一致时</w:t>
      </w:r>
      <w:r>
        <w:rPr>
          <w:rFonts w:hint="eastAsia"/>
          <w:b/>
          <w:color w:val="FF0000"/>
          <w:sz w:val="24"/>
        </w:rPr>
        <w:t>，以评审委员会意见为主。另，判定结果不一致的参数超过一定数量的，则评分项“商务偏离情况”将不得分（即计为</w:t>
      </w:r>
      <w:r>
        <w:rPr>
          <w:rFonts w:hint="eastAsia"/>
          <w:b/>
          <w:color w:val="FF0000"/>
          <w:sz w:val="24"/>
        </w:rPr>
        <w:t>0</w:t>
      </w:r>
      <w:r>
        <w:rPr>
          <w:rFonts w:hint="eastAsia"/>
          <w:b/>
          <w:color w:val="FF0000"/>
          <w:sz w:val="24"/>
        </w:rPr>
        <w:t>分）。</w:t>
      </w:r>
    </w:p>
    <w:p w:rsidR="00C54C61" w:rsidRDefault="00BF3A17">
      <w:pPr>
        <w:spacing w:line="360" w:lineRule="auto"/>
        <w:contextualSpacing/>
        <w:rPr>
          <w:color w:val="FF0000"/>
          <w:sz w:val="24"/>
        </w:rPr>
      </w:pPr>
      <w:r>
        <w:rPr>
          <w:rFonts w:hint="eastAsia"/>
          <w:b/>
          <w:color w:val="FF0000"/>
          <w:sz w:val="24"/>
        </w:rPr>
        <w:t>一定数量的设置：</w:t>
      </w:r>
      <w:r>
        <w:rPr>
          <w:rFonts w:hint="eastAsia"/>
          <w:color w:val="FF0000"/>
          <w:sz w:val="24"/>
        </w:rPr>
        <w:t>（</w:t>
      </w:r>
      <w:r>
        <w:rPr>
          <w:rFonts w:hint="eastAsia"/>
          <w:color w:val="FF0000"/>
          <w:sz w:val="24"/>
        </w:rPr>
        <w:t>1</w:t>
      </w:r>
      <w:r>
        <w:rPr>
          <w:rFonts w:hint="eastAsia"/>
          <w:color w:val="FF0000"/>
          <w:sz w:val="24"/>
        </w:rPr>
        <w:t>）《商务需求》全部参数数量</w:t>
      </w:r>
      <w:r>
        <w:rPr>
          <w:rFonts w:hint="eastAsia"/>
          <w:color w:val="FF0000"/>
          <w:sz w:val="24"/>
        </w:rPr>
        <w:t>10%</w:t>
      </w:r>
      <w:r>
        <w:rPr>
          <w:rFonts w:hint="eastAsia"/>
          <w:color w:val="FF0000"/>
          <w:sz w:val="24"/>
        </w:rPr>
        <w:t>（四舍五入取整数）不足</w:t>
      </w:r>
      <w:r>
        <w:rPr>
          <w:rFonts w:hint="eastAsia"/>
          <w:color w:val="FF0000"/>
          <w:sz w:val="24"/>
        </w:rPr>
        <w:t>3</w:t>
      </w:r>
      <w:r>
        <w:rPr>
          <w:rFonts w:hint="eastAsia"/>
          <w:color w:val="FF0000"/>
          <w:sz w:val="24"/>
        </w:rPr>
        <w:t>条的，以</w:t>
      </w:r>
      <w:r>
        <w:rPr>
          <w:rFonts w:hint="eastAsia"/>
          <w:color w:val="FF0000"/>
          <w:sz w:val="24"/>
        </w:rPr>
        <w:t>3</w:t>
      </w:r>
      <w:r>
        <w:rPr>
          <w:rFonts w:hint="eastAsia"/>
          <w:color w:val="FF0000"/>
          <w:sz w:val="24"/>
        </w:rPr>
        <w:t>条为标准；此种情形下投标人所填写的“偏离情况”与评审委员会判定不一致数量超过</w:t>
      </w:r>
      <w:r>
        <w:rPr>
          <w:rFonts w:hint="eastAsia"/>
          <w:color w:val="FF0000"/>
          <w:sz w:val="24"/>
        </w:rPr>
        <w:t>3</w:t>
      </w:r>
      <w:r>
        <w:rPr>
          <w:rFonts w:hint="eastAsia"/>
          <w:color w:val="FF0000"/>
          <w:sz w:val="24"/>
        </w:rPr>
        <w:t>条的（不含本数</w:t>
      </w:r>
      <w:r>
        <w:rPr>
          <w:rFonts w:hint="eastAsia"/>
          <w:color w:val="FF0000"/>
          <w:sz w:val="24"/>
        </w:rPr>
        <w:t>3</w:t>
      </w:r>
      <w:r>
        <w:rPr>
          <w:rFonts w:hint="eastAsia"/>
          <w:color w:val="FF0000"/>
          <w:sz w:val="24"/>
        </w:rPr>
        <w:t>），则商务需求分计为</w:t>
      </w:r>
      <w:r>
        <w:rPr>
          <w:rFonts w:hint="eastAsia"/>
          <w:color w:val="FF0000"/>
          <w:sz w:val="24"/>
        </w:rPr>
        <w:t>0</w:t>
      </w:r>
      <w:r>
        <w:rPr>
          <w:rFonts w:hint="eastAsia"/>
          <w:color w:val="FF0000"/>
          <w:sz w:val="24"/>
        </w:rPr>
        <w:t>分，数量在</w:t>
      </w:r>
      <w:r>
        <w:rPr>
          <w:rFonts w:hint="eastAsia"/>
          <w:color w:val="FF0000"/>
          <w:sz w:val="24"/>
        </w:rPr>
        <w:t>3</w:t>
      </w:r>
      <w:r>
        <w:rPr>
          <w:rFonts w:hint="eastAsia"/>
          <w:color w:val="FF0000"/>
          <w:sz w:val="24"/>
        </w:rPr>
        <w:t>条以内（含本数</w:t>
      </w:r>
      <w:r>
        <w:rPr>
          <w:rFonts w:hint="eastAsia"/>
          <w:color w:val="FF0000"/>
          <w:sz w:val="24"/>
        </w:rPr>
        <w:t>3</w:t>
      </w:r>
      <w:r>
        <w:rPr>
          <w:rFonts w:hint="eastAsia"/>
          <w:color w:val="FF0000"/>
          <w:sz w:val="24"/>
        </w:rPr>
        <w:t>）的，则按照扣分处理；（</w:t>
      </w:r>
      <w:r>
        <w:rPr>
          <w:rFonts w:hint="eastAsia"/>
          <w:color w:val="FF0000"/>
          <w:sz w:val="24"/>
        </w:rPr>
        <w:t>2</w:t>
      </w:r>
      <w:r>
        <w:rPr>
          <w:rFonts w:hint="eastAsia"/>
          <w:color w:val="FF0000"/>
          <w:sz w:val="24"/>
        </w:rPr>
        <w:t>）《商务需求》全部参数数量</w:t>
      </w:r>
      <w:r>
        <w:rPr>
          <w:rFonts w:hint="eastAsia"/>
          <w:color w:val="FF0000"/>
          <w:sz w:val="24"/>
        </w:rPr>
        <w:t>10%</w:t>
      </w:r>
      <w:r>
        <w:rPr>
          <w:rFonts w:hint="eastAsia"/>
          <w:color w:val="FF0000"/>
          <w:sz w:val="24"/>
        </w:rPr>
        <w:t>（四舍五入取整数）超过</w:t>
      </w:r>
      <w:r>
        <w:rPr>
          <w:rFonts w:hint="eastAsia"/>
          <w:color w:val="FF0000"/>
          <w:sz w:val="24"/>
        </w:rPr>
        <w:t>10</w:t>
      </w:r>
      <w:r>
        <w:rPr>
          <w:rFonts w:hint="eastAsia"/>
          <w:color w:val="FF0000"/>
          <w:sz w:val="24"/>
        </w:rPr>
        <w:t>条的，以</w:t>
      </w:r>
      <w:r>
        <w:rPr>
          <w:rFonts w:hint="eastAsia"/>
          <w:color w:val="FF0000"/>
          <w:sz w:val="24"/>
        </w:rPr>
        <w:t>10</w:t>
      </w:r>
      <w:r>
        <w:rPr>
          <w:rFonts w:hint="eastAsia"/>
          <w:color w:val="FF0000"/>
          <w:sz w:val="24"/>
        </w:rPr>
        <w:t>条为标准；此种情形下投标人所填写的“偏离情况”与评审委员会判定不一致数量超过</w:t>
      </w:r>
      <w:r>
        <w:rPr>
          <w:rFonts w:hint="eastAsia"/>
          <w:color w:val="FF0000"/>
          <w:sz w:val="24"/>
        </w:rPr>
        <w:t>10</w:t>
      </w:r>
      <w:r>
        <w:rPr>
          <w:rFonts w:hint="eastAsia"/>
          <w:color w:val="FF0000"/>
          <w:sz w:val="24"/>
        </w:rPr>
        <w:t>条的（不含本数</w:t>
      </w:r>
      <w:r>
        <w:rPr>
          <w:rFonts w:hint="eastAsia"/>
          <w:color w:val="FF0000"/>
          <w:sz w:val="24"/>
        </w:rPr>
        <w:t>10</w:t>
      </w:r>
      <w:r>
        <w:rPr>
          <w:rFonts w:hint="eastAsia"/>
          <w:color w:val="FF0000"/>
          <w:sz w:val="24"/>
        </w:rPr>
        <w:t>），则商务需求分计为</w:t>
      </w:r>
      <w:r>
        <w:rPr>
          <w:rFonts w:hint="eastAsia"/>
          <w:color w:val="FF0000"/>
          <w:sz w:val="24"/>
        </w:rPr>
        <w:t>0</w:t>
      </w:r>
      <w:r>
        <w:rPr>
          <w:rFonts w:hint="eastAsia"/>
          <w:color w:val="FF0000"/>
          <w:sz w:val="24"/>
        </w:rPr>
        <w:t>分，数量在</w:t>
      </w:r>
      <w:r>
        <w:rPr>
          <w:rFonts w:hint="eastAsia"/>
          <w:color w:val="FF0000"/>
          <w:sz w:val="24"/>
        </w:rPr>
        <w:t>10</w:t>
      </w:r>
      <w:r>
        <w:rPr>
          <w:rFonts w:hint="eastAsia"/>
          <w:color w:val="FF0000"/>
          <w:sz w:val="24"/>
        </w:rPr>
        <w:t>条以内（含本数</w:t>
      </w:r>
      <w:r>
        <w:rPr>
          <w:rFonts w:hint="eastAsia"/>
          <w:color w:val="FF0000"/>
          <w:sz w:val="24"/>
        </w:rPr>
        <w:t>10</w:t>
      </w:r>
      <w:r>
        <w:rPr>
          <w:rFonts w:hint="eastAsia"/>
          <w:color w:val="FF0000"/>
          <w:sz w:val="24"/>
        </w:rPr>
        <w:t>）的，则按照扣分处理；（</w:t>
      </w:r>
      <w:r>
        <w:rPr>
          <w:rFonts w:hint="eastAsia"/>
          <w:color w:val="FF0000"/>
          <w:sz w:val="24"/>
        </w:rPr>
        <w:t>3</w:t>
      </w:r>
      <w:r>
        <w:rPr>
          <w:rFonts w:hint="eastAsia"/>
          <w:color w:val="FF0000"/>
          <w:sz w:val="24"/>
        </w:rPr>
        <w:t>）其他情况，按《商务需求》全部参数数量</w:t>
      </w:r>
      <w:r>
        <w:rPr>
          <w:rFonts w:hint="eastAsia"/>
          <w:color w:val="FF0000"/>
          <w:sz w:val="24"/>
        </w:rPr>
        <w:t>10%</w:t>
      </w:r>
      <w:r>
        <w:rPr>
          <w:rFonts w:hint="eastAsia"/>
          <w:color w:val="FF0000"/>
          <w:sz w:val="24"/>
        </w:rPr>
        <w:t>（四舍五入取整数）为标准。</w:t>
      </w:r>
    </w:p>
    <w:p w:rsidR="00C54C61" w:rsidRDefault="00BF3A17">
      <w:pPr>
        <w:spacing w:line="360" w:lineRule="auto"/>
        <w:contextualSpacing/>
        <w:rPr>
          <w:color w:val="FF0000"/>
          <w:sz w:val="24"/>
        </w:rPr>
      </w:pPr>
      <w:r>
        <w:rPr>
          <w:rFonts w:hint="eastAsia"/>
          <w:color w:val="FF0000"/>
          <w:sz w:val="24"/>
        </w:rPr>
        <w:t>6.</w:t>
      </w:r>
      <w:r>
        <w:rPr>
          <w:rFonts w:hint="eastAsia"/>
          <w:color w:val="FF0000"/>
          <w:sz w:val="24"/>
        </w:rPr>
        <w:t>交货期条款为不可负偏离条款，投标文件响应为“负偏离”的，投标文件将按无效投标处理。</w:t>
      </w:r>
    </w:p>
    <w:p w:rsidR="00C54C61" w:rsidRDefault="00BF3A17">
      <w:pPr>
        <w:spacing w:line="360" w:lineRule="auto"/>
        <w:contextualSpacing/>
        <w:rPr>
          <w:color w:val="FF0000"/>
          <w:sz w:val="24"/>
        </w:rPr>
      </w:pPr>
      <w:r>
        <w:rPr>
          <w:rFonts w:hint="eastAsia"/>
          <w:color w:val="FF0000"/>
          <w:sz w:val="24"/>
        </w:rPr>
        <w:t>7.</w:t>
      </w:r>
      <w:r>
        <w:rPr>
          <w:rFonts w:hint="eastAsia"/>
          <w:color w:val="FF0000"/>
          <w:sz w:val="24"/>
        </w:rPr>
        <w:t>开标一览表中填写的“交货期”应当与本表填写的“交货期”一致。如填写不一致，以本表填写的“交货期”为准。</w:t>
      </w:r>
    </w:p>
    <w:p w:rsidR="00C54C61" w:rsidRDefault="00C54C61">
      <w:pPr>
        <w:spacing w:line="360" w:lineRule="auto"/>
        <w:contextualSpacing/>
        <w:rPr>
          <w:sz w:val="24"/>
        </w:rPr>
      </w:pPr>
    </w:p>
    <w:p w:rsidR="00C54C61" w:rsidRDefault="00BF3A17">
      <w:pPr>
        <w:pStyle w:val="30"/>
        <w:spacing w:before="0" w:after="0" w:line="360" w:lineRule="auto"/>
        <w:contextualSpacing/>
        <w:jc w:val="center"/>
        <w:rPr>
          <w:rFonts w:ascii="黑体" w:eastAsia="黑体"/>
          <w:b w:val="0"/>
          <w:bCs w:val="0"/>
          <w:sz w:val="24"/>
          <w:szCs w:val="20"/>
        </w:rPr>
      </w:pPr>
      <w:r>
        <w:rPr>
          <w:rFonts w:ascii="黑体" w:eastAsia="黑体" w:hint="eastAsia"/>
          <w:b w:val="0"/>
          <w:bCs w:val="0"/>
          <w:sz w:val="24"/>
          <w:szCs w:val="20"/>
        </w:rPr>
        <w:t>八、投标人认为需要加以说明的其他内容</w:t>
      </w: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BF3A17">
      <w:pPr>
        <w:spacing w:line="360" w:lineRule="auto"/>
        <w:contextualSpacing/>
        <w:rPr>
          <w:b/>
          <w:color w:val="FF0000"/>
          <w:sz w:val="24"/>
        </w:rPr>
      </w:pPr>
      <w:r>
        <w:rPr>
          <w:rFonts w:hint="eastAsia"/>
          <w:b/>
          <w:color w:val="FF0000"/>
          <w:sz w:val="24"/>
        </w:rPr>
        <w:t>（信息公开部分的内容到此为止！往下为信息不公开部分。）</w:t>
      </w:r>
    </w:p>
    <w:p w:rsidR="00C54C61" w:rsidRDefault="00BF3A17">
      <w:pPr>
        <w:spacing w:line="360" w:lineRule="auto"/>
        <w:contextualSpacing/>
      </w:pPr>
      <w:r>
        <w:br w:type="page"/>
      </w:r>
    </w:p>
    <w:p w:rsidR="00C54C61" w:rsidRDefault="00BF3A17">
      <w:pPr>
        <w:spacing w:line="360" w:lineRule="auto"/>
        <w:contextualSpacing/>
        <w:outlineLvl w:val="1"/>
        <w:rPr>
          <w:rFonts w:ascii="宋体" w:hAnsi="宋体"/>
          <w:b/>
          <w:color w:val="FF0000"/>
          <w:sz w:val="28"/>
          <w:szCs w:val="28"/>
        </w:rPr>
      </w:pPr>
      <w:r>
        <w:rPr>
          <w:rFonts w:ascii="宋体" w:hAnsi="宋体" w:hint="eastAsia"/>
          <w:b/>
          <w:color w:val="FF0000"/>
          <w:sz w:val="28"/>
          <w:szCs w:val="28"/>
        </w:rPr>
        <w:t>投标文件附件（信息不公开部分）</w:t>
      </w:r>
    </w:p>
    <w:p w:rsidR="00C54C61" w:rsidRDefault="00BF3A17">
      <w:pPr>
        <w:pStyle w:val="30"/>
        <w:spacing w:before="0" w:after="0" w:line="360" w:lineRule="auto"/>
        <w:contextualSpacing/>
        <w:jc w:val="center"/>
        <w:rPr>
          <w:rFonts w:ascii="黑体" w:eastAsia="黑体"/>
          <w:b w:val="0"/>
          <w:sz w:val="24"/>
        </w:rPr>
      </w:pPr>
      <w:r>
        <w:rPr>
          <w:rFonts w:ascii="黑体" w:eastAsia="黑体" w:hint="eastAsia"/>
          <w:b w:val="0"/>
          <w:sz w:val="24"/>
        </w:rPr>
        <w:t>一、法定代表人证明书</w:t>
      </w:r>
    </w:p>
    <w:p w:rsidR="00C54C61" w:rsidRDefault="00C54C61">
      <w:pPr>
        <w:spacing w:line="360" w:lineRule="auto"/>
        <w:contextualSpacing/>
        <w:rPr>
          <w:sz w:val="24"/>
        </w:rPr>
      </w:pPr>
    </w:p>
    <w:p w:rsidR="00C54C61" w:rsidRDefault="00BF3A17">
      <w:pPr>
        <w:spacing w:line="360" w:lineRule="auto"/>
        <w:contextualSpacing/>
        <w:rPr>
          <w:szCs w:val="21"/>
        </w:rPr>
      </w:pPr>
      <w:r>
        <w:rPr>
          <w:rFonts w:hint="eastAsia"/>
          <w:szCs w:val="21"/>
        </w:rPr>
        <w:t xml:space="preserve">  </w:t>
      </w:r>
      <w:r>
        <w:rPr>
          <w:rFonts w:hint="eastAsia"/>
          <w:color w:val="FF0000"/>
          <w:szCs w:val="21"/>
        </w:rPr>
        <w:t xml:space="preserve"> </w:t>
      </w:r>
      <w:r>
        <w:rPr>
          <w:rFonts w:hint="eastAsia"/>
          <w:color w:val="FF0000"/>
          <w:szCs w:val="21"/>
          <w:u w:val="single"/>
        </w:rPr>
        <w:t xml:space="preserve">         </w:t>
      </w:r>
      <w:r>
        <w:rPr>
          <w:rFonts w:hint="eastAsia"/>
          <w:color w:val="FF0000"/>
          <w:szCs w:val="21"/>
        </w:rPr>
        <w:t>同志，现任我单位</w:t>
      </w:r>
      <w:r>
        <w:rPr>
          <w:rFonts w:hint="eastAsia"/>
          <w:color w:val="FF0000"/>
          <w:szCs w:val="21"/>
          <w:u w:val="single"/>
        </w:rPr>
        <w:t xml:space="preserve">         </w:t>
      </w:r>
      <w:r>
        <w:rPr>
          <w:rFonts w:hint="eastAsia"/>
          <w:color w:val="FF0000"/>
          <w:szCs w:val="21"/>
        </w:rPr>
        <w:t>职务</w:t>
      </w:r>
      <w:r>
        <w:rPr>
          <w:rFonts w:hint="eastAsia"/>
          <w:szCs w:val="21"/>
        </w:rPr>
        <w:t>，为法定代表人，特此证明。</w:t>
      </w:r>
    </w:p>
    <w:p w:rsidR="00C54C61" w:rsidRDefault="00BF3A17">
      <w:pPr>
        <w:spacing w:line="360" w:lineRule="auto"/>
        <w:contextualSpacing/>
        <w:rPr>
          <w:szCs w:val="21"/>
        </w:rPr>
      </w:pPr>
      <w:r>
        <w:rPr>
          <w:rFonts w:hint="eastAsia"/>
          <w:szCs w:val="21"/>
        </w:rPr>
        <w:t xml:space="preserve">         </w:t>
      </w:r>
    </w:p>
    <w:p w:rsidR="00C54C61" w:rsidRDefault="00BF3A17">
      <w:pPr>
        <w:spacing w:line="360" w:lineRule="auto"/>
        <w:contextualSpacing/>
        <w:rPr>
          <w:szCs w:val="21"/>
        </w:rPr>
      </w:pPr>
      <w:r>
        <w:rPr>
          <w:rFonts w:hint="eastAsia"/>
          <w:szCs w:val="21"/>
        </w:rPr>
        <w:t>说明：</w:t>
      </w:r>
      <w:r>
        <w:rPr>
          <w:rFonts w:hint="eastAsia"/>
          <w:szCs w:val="21"/>
        </w:rPr>
        <w:t>1</w:t>
      </w:r>
      <w:r>
        <w:rPr>
          <w:rFonts w:hint="eastAsia"/>
          <w:szCs w:val="21"/>
        </w:rPr>
        <w:t>、法定代表人为企业事业单位、国家机关、社会团体的主要行政负责人。</w:t>
      </w:r>
    </w:p>
    <w:p w:rsidR="00C54C61" w:rsidRDefault="00BF3A17">
      <w:pPr>
        <w:spacing w:line="360" w:lineRule="auto"/>
        <w:contextualSpacing/>
        <w:rPr>
          <w:szCs w:val="21"/>
        </w:rPr>
      </w:pPr>
      <w:r>
        <w:rPr>
          <w:rFonts w:hint="eastAsia"/>
          <w:szCs w:val="21"/>
        </w:rPr>
        <w:t xml:space="preserve">      2</w:t>
      </w:r>
      <w:r>
        <w:rPr>
          <w:rFonts w:hint="eastAsia"/>
          <w:szCs w:val="21"/>
        </w:rPr>
        <w:t>、内容必须填写真实、清楚，涂改无效，不得转让、买卖。</w:t>
      </w:r>
    </w:p>
    <w:p w:rsidR="00C54C61" w:rsidRDefault="00C54C61">
      <w:pPr>
        <w:spacing w:line="360" w:lineRule="auto"/>
        <w:contextualSpacing/>
        <w:rPr>
          <w:sz w:val="24"/>
        </w:rPr>
      </w:pPr>
    </w:p>
    <w:p w:rsidR="00C54C61" w:rsidRDefault="00BF3A17">
      <w:pPr>
        <w:spacing w:line="360" w:lineRule="auto"/>
        <w:contextualSpacing/>
        <w:rPr>
          <w:b/>
          <w:color w:val="FF0000"/>
          <w:szCs w:val="21"/>
        </w:rPr>
      </w:pPr>
      <w:r>
        <w:rPr>
          <w:rFonts w:hint="eastAsia"/>
          <w:b/>
          <w:color w:val="FF0000"/>
          <w:szCs w:val="21"/>
        </w:rPr>
        <w:t>附：</w:t>
      </w:r>
      <w:r>
        <w:rPr>
          <w:rFonts w:hint="eastAsia"/>
          <w:b/>
          <w:color w:val="FF0000"/>
          <w:szCs w:val="21"/>
        </w:rPr>
        <w:t xml:space="preserve"> </w:t>
      </w:r>
      <w:r>
        <w:rPr>
          <w:rFonts w:hint="eastAsia"/>
          <w:b/>
          <w:color w:val="FF0000"/>
          <w:szCs w:val="21"/>
        </w:rPr>
        <w:t>请提供法定代表人身份证扫描件（正反两面）。</w:t>
      </w:r>
    </w:p>
    <w:p w:rsidR="00C54C61" w:rsidRDefault="00C54C61">
      <w:pPr>
        <w:spacing w:line="360" w:lineRule="auto"/>
        <w:contextualSpacing/>
        <w:rPr>
          <w:b/>
          <w:bCs/>
          <w:sz w:val="24"/>
        </w:rPr>
      </w:pPr>
    </w:p>
    <w:p w:rsidR="00C54C61" w:rsidRDefault="00BF3A17">
      <w:pPr>
        <w:pStyle w:val="30"/>
        <w:spacing w:before="0" w:after="0" w:line="360" w:lineRule="auto"/>
        <w:contextualSpacing/>
        <w:jc w:val="center"/>
        <w:rPr>
          <w:rFonts w:ascii="黑体" w:eastAsia="黑体"/>
          <w:b w:val="0"/>
          <w:sz w:val="24"/>
        </w:rPr>
      </w:pPr>
      <w:r>
        <w:rPr>
          <w:rFonts w:ascii="黑体" w:eastAsia="黑体" w:hint="eastAsia"/>
          <w:b w:val="0"/>
          <w:sz w:val="24"/>
        </w:rPr>
        <w:t>二、投标文件签署授权委托书</w:t>
      </w:r>
    </w:p>
    <w:p w:rsidR="00C54C61" w:rsidRDefault="00BF3A17">
      <w:pPr>
        <w:spacing w:line="360" w:lineRule="auto"/>
        <w:ind w:firstLineChars="200" w:firstLine="420"/>
        <w:contextualSpacing/>
        <w:rPr>
          <w:szCs w:val="21"/>
        </w:rPr>
      </w:pPr>
      <w:r>
        <w:rPr>
          <w:rFonts w:hint="eastAsia"/>
          <w:szCs w:val="21"/>
        </w:rPr>
        <w:t>本授权委托书声明</w:t>
      </w:r>
      <w:r>
        <w:rPr>
          <w:rFonts w:hint="eastAsia"/>
          <w:color w:val="FF0000"/>
          <w:szCs w:val="21"/>
        </w:rPr>
        <w:t>：我</w:t>
      </w:r>
      <w:r>
        <w:rPr>
          <w:rFonts w:hint="eastAsia"/>
          <w:color w:val="FF0000"/>
          <w:szCs w:val="21"/>
          <w:u w:val="single"/>
        </w:rPr>
        <w:t xml:space="preserve">           </w:t>
      </w:r>
      <w:r>
        <w:rPr>
          <w:rFonts w:hint="eastAsia"/>
          <w:color w:val="FF0000"/>
          <w:szCs w:val="21"/>
        </w:rPr>
        <w:t>（姓名）系</w:t>
      </w:r>
      <w:r>
        <w:rPr>
          <w:rFonts w:hint="eastAsia"/>
          <w:color w:val="FF0000"/>
          <w:szCs w:val="21"/>
          <w:u w:val="single"/>
        </w:rPr>
        <w:t xml:space="preserve">             </w:t>
      </w:r>
      <w:r>
        <w:rPr>
          <w:rFonts w:hint="eastAsia"/>
          <w:color w:val="FF0000"/>
          <w:szCs w:val="21"/>
        </w:rPr>
        <w:t>（投标人名称）</w:t>
      </w:r>
      <w:r>
        <w:rPr>
          <w:rFonts w:hint="eastAsia"/>
          <w:szCs w:val="21"/>
        </w:rPr>
        <w:t>的法定代表人，现授权委托</w:t>
      </w:r>
      <w:r>
        <w:rPr>
          <w:rFonts w:hint="eastAsia"/>
          <w:color w:val="FF0000"/>
          <w:szCs w:val="21"/>
          <w:u w:val="single"/>
        </w:rPr>
        <w:t xml:space="preserve">            </w:t>
      </w:r>
      <w:r>
        <w:rPr>
          <w:rFonts w:hint="eastAsia"/>
          <w:color w:val="FF0000"/>
          <w:szCs w:val="21"/>
        </w:rPr>
        <w:t>（姓名）</w:t>
      </w:r>
      <w:r>
        <w:rPr>
          <w:rFonts w:hint="eastAsia"/>
          <w:szCs w:val="21"/>
        </w:rPr>
        <w:t>为我公司签署本项目已递交的投标文件的法定代表人的授权委托代理人，代理人全权代表我所签署的本项目已递交的投标文件内容我均承认。</w:t>
      </w:r>
    </w:p>
    <w:p w:rsidR="00C54C61" w:rsidRDefault="00BF3A17">
      <w:pPr>
        <w:pStyle w:val="a5"/>
        <w:spacing w:line="360" w:lineRule="auto"/>
        <w:contextualSpacing/>
        <w:rPr>
          <w:szCs w:val="21"/>
        </w:rPr>
      </w:pPr>
      <w:r>
        <w:rPr>
          <w:rFonts w:hint="eastAsia"/>
          <w:szCs w:val="21"/>
        </w:rPr>
        <w:t>代理人无转委托权，特此委托。</w:t>
      </w:r>
    </w:p>
    <w:p w:rsidR="00C54C61" w:rsidRDefault="00C54C61">
      <w:pPr>
        <w:pStyle w:val="a5"/>
        <w:spacing w:line="360" w:lineRule="auto"/>
        <w:contextualSpacing/>
        <w:rPr>
          <w:szCs w:val="21"/>
        </w:rPr>
      </w:pPr>
    </w:p>
    <w:p w:rsidR="00C54C61" w:rsidRDefault="00BF3A17">
      <w:pPr>
        <w:spacing w:line="360" w:lineRule="auto"/>
        <w:ind w:leftChars="257" w:left="540"/>
        <w:contextualSpacing/>
        <w:rPr>
          <w:color w:val="FF0000"/>
          <w:szCs w:val="21"/>
          <w:u w:val="single"/>
        </w:rPr>
      </w:pPr>
      <w:r>
        <w:rPr>
          <w:rFonts w:hint="eastAsia"/>
          <w:color w:val="FF0000"/>
          <w:szCs w:val="21"/>
        </w:rPr>
        <w:t>代理人：</w:t>
      </w:r>
      <w:r>
        <w:rPr>
          <w:rFonts w:hint="eastAsia"/>
          <w:color w:val="FF0000"/>
          <w:szCs w:val="21"/>
          <w:u w:val="single"/>
        </w:rPr>
        <w:t xml:space="preserve">             </w:t>
      </w:r>
    </w:p>
    <w:p w:rsidR="00C54C61" w:rsidRDefault="00BF3A17">
      <w:pPr>
        <w:spacing w:line="360" w:lineRule="auto"/>
        <w:ind w:leftChars="257" w:left="540"/>
        <w:contextualSpacing/>
        <w:rPr>
          <w:color w:val="FF0000"/>
          <w:szCs w:val="21"/>
        </w:rPr>
      </w:pPr>
      <w:r>
        <w:rPr>
          <w:rFonts w:hint="eastAsia"/>
          <w:color w:val="FF0000"/>
          <w:szCs w:val="21"/>
        </w:rPr>
        <w:t>联系电话：</w:t>
      </w:r>
      <w:r>
        <w:rPr>
          <w:rFonts w:hint="eastAsia"/>
          <w:color w:val="FF0000"/>
          <w:szCs w:val="21"/>
          <w:u w:val="single"/>
        </w:rPr>
        <w:t xml:space="preserve">            </w:t>
      </w:r>
      <w:r>
        <w:rPr>
          <w:rFonts w:hint="eastAsia"/>
          <w:color w:val="FF0000"/>
          <w:szCs w:val="21"/>
        </w:rPr>
        <w:t xml:space="preserve">  </w:t>
      </w:r>
      <w:r>
        <w:rPr>
          <w:rFonts w:hint="eastAsia"/>
          <w:color w:val="FF0000"/>
          <w:szCs w:val="21"/>
        </w:rPr>
        <w:t>手机：</w:t>
      </w:r>
      <w:r>
        <w:rPr>
          <w:rFonts w:hint="eastAsia"/>
          <w:color w:val="FF0000"/>
          <w:szCs w:val="21"/>
          <w:u w:val="single"/>
        </w:rPr>
        <w:t xml:space="preserve">                   </w:t>
      </w:r>
    </w:p>
    <w:p w:rsidR="00C54C61" w:rsidRDefault="00BF3A17">
      <w:pPr>
        <w:spacing w:line="360" w:lineRule="auto"/>
        <w:ind w:leftChars="257" w:left="540"/>
        <w:contextualSpacing/>
        <w:rPr>
          <w:color w:val="FF0000"/>
          <w:szCs w:val="21"/>
          <w:u w:val="single"/>
        </w:rPr>
      </w:pPr>
      <w:r>
        <w:rPr>
          <w:rFonts w:hint="eastAsia"/>
          <w:color w:val="FF0000"/>
          <w:szCs w:val="21"/>
        </w:rPr>
        <w:t>身份证号码：</w:t>
      </w:r>
      <w:r>
        <w:rPr>
          <w:rFonts w:hint="eastAsia"/>
          <w:color w:val="FF0000"/>
          <w:szCs w:val="21"/>
          <w:u w:val="single"/>
        </w:rPr>
        <w:t xml:space="preserve">                        </w:t>
      </w:r>
      <w:r>
        <w:rPr>
          <w:rFonts w:hint="eastAsia"/>
          <w:color w:val="FF0000"/>
          <w:szCs w:val="21"/>
        </w:rPr>
        <w:t>职务：</w:t>
      </w:r>
      <w:r>
        <w:rPr>
          <w:rFonts w:hint="eastAsia"/>
          <w:color w:val="FF0000"/>
          <w:szCs w:val="21"/>
          <w:u w:val="single"/>
        </w:rPr>
        <w:t xml:space="preserve">       </w:t>
      </w:r>
    </w:p>
    <w:p w:rsidR="00C54C61" w:rsidRDefault="00BF3A17">
      <w:pPr>
        <w:spacing w:line="360" w:lineRule="auto"/>
        <w:ind w:leftChars="257" w:left="540"/>
        <w:contextualSpacing/>
        <w:rPr>
          <w:szCs w:val="21"/>
        </w:rPr>
      </w:pPr>
      <w:r>
        <w:rPr>
          <w:rFonts w:hint="eastAsia"/>
          <w:color w:val="FF0000"/>
          <w:szCs w:val="21"/>
        </w:rPr>
        <w:t>授权委托日期：</w:t>
      </w:r>
      <w:r>
        <w:rPr>
          <w:rFonts w:hint="eastAsia"/>
          <w:color w:val="FF0000"/>
          <w:szCs w:val="21"/>
          <w:u w:val="single"/>
        </w:rPr>
        <w:t xml:space="preserve">         </w:t>
      </w:r>
      <w:r>
        <w:rPr>
          <w:rFonts w:hint="eastAsia"/>
          <w:color w:val="FF0000"/>
          <w:szCs w:val="21"/>
        </w:rPr>
        <w:t>年</w:t>
      </w:r>
      <w:r>
        <w:rPr>
          <w:rFonts w:hint="eastAsia"/>
          <w:color w:val="FF0000"/>
          <w:szCs w:val="21"/>
          <w:u w:val="single"/>
        </w:rPr>
        <w:t xml:space="preserve">     </w:t>
      </w:r>
      <w:r>
        <w:rPr>
          <w:rFonts w:hint="eastAsia"/>
          <w:color w:val="FF0000"/>
          <w:szCs w:val="21"/>
        </w:rPr>
        <w:t>月</w:t>
      </w:r>
      <w:r>
        <w:rPr>
          <w:rFonts w:hint="eastAsia"/>
          <w:color w:val="FF0000"/>
          <w:szCs w:val="21"/>
        </w:rPr>
        <w:t xml:space="preserve"> </w:t>
      </w:r>
      <w:r>
        <w:rPr>
          <w:rFonts w:hint="eastAsia"/>
          <w:color w:val="FF0000"/>
          <w:szCs w:val="21"/>
          <w:u w:val="single"/>
        </w:rPr>
        <w:t xml:space="preserve">      </w:t>
      </w:r>
      <w:r>
        <w:rPr>
          <w:rFonts w:hint="eastAsia"/>
          <w:color w:val="FF0000"/>
          <w:szCs w:val="21"/>
        </w:rPr>
        <w:t>日</w:t>
      </w:r>
    </w:p>
    <w:p w:rsidR="00C54C61" w:rsidRDefault="00C54C61">
      <w:pPr>
        <w:spacing w:line="360" w:lineRule="auto"/>
        <w:contextualSpacing/>
      </w:pPr>
    </w:p>
    <w:p w:rsidR="00C54C61" w:rsidRDefault="00BF3A17">
      <w:pPr>
        <w:spacing w:line="360" w:lineRule="auto"/>
        <w:contextualSpacing/>
        <w:rPr>
          <w:b/>
          <w:color w:val="FF0000"/>
          <w:szCs w:val="21"/>
        </w:rPr>
      </w:pPr>
      <w:r>
        <w:rPr>
          <w:rFonts w:hint="eastAsia"/>
          <w:b/>
          <w:color w:val="FF0000"/>
          <w:szCs w:val="21"/>
        </w:rPr>
        <w:t>附：</w:t>
      </w:r>
      <w:r>
        <w:rPr>
          <w:rFonts w:hint="eastAsia"/>
          <w:b/>
          <w:color w:val="FF0000"/>
          <w:szCs w:val="21"/>
        </w:rPr>
        <w:t xml:space="preserve"> </w:t>
      </w:r>
      <w:r>
        <w:rPr>
          <w:rFonts w:hint="eastAsia"/>
          <w:b/>
          <w:color w:val="FF0000"/>
          <w:szCs w:val="21"/>
        </w:rPr>
        <w:t>请提供授权委托代理人身份证扫描件（正反两面）。</w:t>
      </w:r>
    </w:p>
    <w:p w:rsidR="00C54C61" w:rsidRDefault="00C54C61">
      <w:pPr>
        <w:spacing w:line="360" w:lineRule="auto"/>
        <w:contextualSpacing/>
        <w:rPr>
          <w:b/>
          <w:szCs w:val="21"/>
        </w:rPr>
      </w:pPr>
    </w:p>
    <w:p w:rsidR="00C54C61" w:rsidRDefault="00BF3A17">
      <w:pPr>
        <w:pStyle w:val="30"/>
        <w:spacing w:before="0" w:after="0" w:line="360" w:lineRule="auto"/>
        <w:contextualSpacing/>
        <w:jc w:val="center"/>
        <w:rPr>
          <w:rFonts w:ascii="黑体" w:eastAsia="黑体"/>
          <w:b w:val="0"/>
          <w:kern w:val="0"/>
          <w:sz w:val="24"/>
          <w:szCs w:val="24"/>
        </w:rPr>
      </w:pPr>
      <w:r>
        <w:rPr>
          <w:rFonts w:ascii="黑体" w:eastAsia="黑体" w:hint="eastAsia"/>
          <w:b w:val="0"/>
          <w:kern w:val="0"/>
          <w:sz w:val="24"/>
          <w:szCs w:val="24"/>
        </w:rPr>
        <w:t>三、实质性条款响应情况表</w:t>
      </w:r>
    </w:p>
    <w:tbl>
      <w:tblPr>
        <w:tblW w:w="7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664"/>
        <w:gridCol w:w="3827"/>
      </w:tblGrid>
      <w:tr w:rsidR="00C54C61">
        <w:tc>
          <w:tcPr>
            <w:tcW w:w="705" w:type="dxa"/>
          </w:tcPr>
          <w:p w:rsidR="00C54C61" w:rsidRDefault="00BF3A17">
            <w:pPr>
              <w:adjustRightInd w:val="0"/>
              <w:spacing w:line="360" w:lineRule="auto"/>
              <w:contextualSpacing/>
              <w:jc w:val="center"/>
              <w:rPr>
                <w:rFonts w:ascii="宋体" w:hAnsi="宋体"/>
                <w:kern w:val="0"/>
                <w:szCs w:val="21"/>
              </w:rPr>
            </w:pPr>
            <w:r>
              <w:rPr>
                <w:rFonts w:ascii="宋体" w:hAnsi="宋体" w:hint="eastAsia"/>
                <w:kern w:val="0"/>
                <w:szCs w:val="21"/>
              </w:rPr>
              <w:t>序号</w:t>
            </w:r>
          </w:p>
        </w:tc>
        <w:tc>
          <w:tcPr>
            <w:tcW w:w="2664" w:type="dxa"/>
          </w:tcPr>
          <w:p w:rsidR="00C54C61" w:rsidRDefault="00BF3A17">
            <w:pPr>
              <w:adjustRightInd w:val="0"/>
              <w:spacing w:line="360" w:lineRule="auto"/>
              <w:contextualSpacing/>
              <w:jc w:val="center"/>
              <w:rPr>
                <w:rFonts w:ascii="宋体" w:hAnsi="宋体"/>
                <w:kern w:val="0"/>
                <w:szCs w:val="21"/>
              </w:rPr>
            </w:pPr>
            <w:r>
              <w:rPr>
                <w:rFonts w:ascii="宋体" w:hAnsi="宋体" w:hint="eastAsia"/>
                <w:kern w:val="0"/>
                <w:szCs w:val="21"/>
              </w:rPr>
              <w:t>采购人要求内容</w:t>
            </w:r>
          </w:p>
        </w:tc>
        <w:tc>
          <w:tcPr>
            <w:tcW w:w="3827" w:type="dxa"/>
          </w:tcPr>
          <w:p w:rsidR="00C54C61" w:rsidRDefault="00BF3A17">
            <w:pPr>
              <w:adjustRightInd w:val="0"/>
              <w:spacing w:line="360" w:lineRule="auto"/>
              <w:contextualSpacing/>
              <w:jc w:val="center"/>
              <w:rPr>
                <w:rFonts w:ascii="宋体" w:hAnsi="宋体"/>
                <w:kern w:val="0"/>
                <w:szCs w:val="21"/>
              </w:rPr>
            </w:pPr>
            <w:r>
              <w:rPr>
                <w:rFonts w:ascii="宋体" w:hAnsi="宋体" w:hint="eastAsia"/>
                <w:kern w:val="0"/>
                <w:szCs w:val="21"/>
              </w:rPr>
              <w:t>投标人响应情况</w:t>
            </w:r>
          </w:p>
        </w:tc>
      </w:tr>
      <w:tr w:rsidR="00C54C61">
        <w:tc>
          <w:tcPr>
            <w:tcW w:w="705" w:type="dxa"/>
          </w:tcPr>
          <w:p w:rsidR="00C54C61" w:rsidRDefault="00BF3A17">
            <w:pPr>
              <w:adjustRightInd w:val="0"/>
              <w:spacing w:line="360" w:lineRule="auto"/>
              <w:contextualSpacing/>
              <w:rPr>
                <w:rFonts w:ascii="宋体" w:hAnsi="宋体"/>
                <w:kern w:val="0"/>
                <w:szCs w:val="21"/>
              </w:rPr>
            </w:pPr>
            <w:r>
              <w:rPr>
                <w:rFonts w:ascii="宋体" w:hAnsi="宋体" w:hint="eastAsia"/>
                <w:kern w:val="0"/>
                <w:szCs w:val="21"/>
              </w:rPr>
              <w:t>1</w:t>
            </w:r>
          </w:p>
        </w:tc>
        <w:tc>
          <w:tcPr>
            <w:tcW w:w="2664" w:type="dxa"/>
          </w:tcPr>
          <w:p w:rsidR="00C54C61" w:rsidRDefault="00C54C61">
            <w:pPr>
              <w:adjustRightInd w:val="0"/>
              <w:spacing w:line="360" w:lineRule="auto"/>
              <w:contextualSpacing/>
              <w:rPr>
                <w:rFonts w:hAnsi="宋体"/>
                <w:kern w:val="0"/>
                <w:szCs w:val="21"/>
              </w:rPr>
            </w:pPr>
          </w:p>
        </w:tc>
        <w:tc>
          <w:tcPr>
            <w:tcW w:w="3827" w:type="dxa"/>
          </w:tcPr>
          <w:p w:rsidR="00C54C61" w:rsidRDefault="00C54C61">
            <w:pPr>
              <w:adjustRightInd w:val="0"/>
              <w:spacing w:line="360" w:lineRule="auto"/>
              <w:contextualSpacing/>
              <w:rPr>
                <w:rFonts w:ascii="宋体" w:hAnsi="宋体"/>
                <w:kern w:val="0"/>
                <w:szCs w:val="21"/>
              </w:rPr>
            </w:pPr>
          </w:p>
        </w:tc>
      </w:tr>
      <w:tr w:rsidR="00C54C61">
        <w:tc>
          <w:tcPr>
            <w:tcW w:w="705" w:type="dxa"/>
          </w:tcPr>
          <w:p w:rsidR="00C54C61" w:rsidRDefault="00BF3A17">
            <w:pPr>
              <w:adjustRightInd w:val="0"/>
              <w:spacing w:line="360" w:lineRule="auto"/>
              <w:contextualSpacing/>
              <w:rPr>
                <w:rFonts w:ascii="宋体" w:hAnsi="宋体"/>
                <w:kern w:val="0"/>
                <w:szCs w:val="21"/>
              </w:rPr>
            </w:pPr>
            <w:r>
              <w:rPr>
                <w:rFonts w:ascii="宋体" w:hAnsi="宋体" w:hint="eastAsia"/>
                <w:kern w:val="0"/>
                <w:szCs w:val="21"/>
              </w:rPr>
              <w:t>2</w:t>
            </w:r>
          </w:p>
        </w:tc>
        <w:tc>
          <w:tcPr>
            <w:tcW w:w="2664" w:type="dxa"/>
          </w:tcPr>
          <w:p w:rsidR="00C54C61" w:rsidRDefault="00C54C61">
            <w:pPr>
              <w:adjustRightInd w:val="0"/>
              <w:spacing w:line="360" w:lineRule="auto"/>
              <w:contextualSpacing/>
              <w:rPr>
                <w:rFonts w:hAnsi="宋体"/>
                <w:kern w:val="0"/>
                <w:szCs w:val="21"/>
              </w:rPr>
            </w:pPr>
          </w:p>
        </w:tc>
        <w:tc>
          <w:tcPr>
            <w:tcW w:w="3827" w:type="dxa"/>
          </w:tcPr>
          <w:p w:rsidR="00C54C61" w:rsidRDefault="00C54C61">
            <w:pPr>
              <w:adjustRightInd w:val="0"/>
              <w:spacing w:line="360" w:lineRule="auto"/>
              <w:contextualSpacing/>
              <w:rPr>
                <w:rFonts w:ascii="宋体" w:hAnsi="宋体"/>
                <w:kern w:val="0"/>
                <w:szCs w:val="21"/>
              </w:rPr>
            </w:pPr>
          </w:p>
        </w:tc>
      </w:tr>
      <w:tr w:rsidR="00C54C61">
        <w:tc>
          <w:tcPr>
            <w:tcW w:w="705" w:type="dxa"/>
          </w:tcPr>
          <w:p w:rsidR="00C54C61" w:rsidRDefault="00BF3A17">
            <w:pPr>
              <w:adjustRightInd w:val="0"/>
              <w:spacing w:line="360" w:lineRule="auto"/>
              <w:contextualSpacing/>
              <w:rPr>
                <w:rFonts w:ascii="宋体" w:hAnsi="宋体"/>
                <w:kern w:val="0"/>
                <w:szCs w:val="21"/>
              </w:rPr>
            </w:pPr>
            <w:r>
              <w:rPr>
                <w:rFonts w:ascii="宋体" w:hAnsi="宋体" w:hint="eastAsia"/>
                <w:kern w:val="0"/>
                <w:szCs w:val="21"/>
              </w:rPr>
              <w:t>……</w:t>
            </w:r>
          </w:p>
        </w:tc>
        <w:tc>
          <w:tcPr>
            <w:tcW w:w="2664" w:type="dxa"/>
          </w:tcPr>
          <w:p w:rsidR="00C54C61" w:rsidRDefault="00C54C61">
            <w:pPr>
              <w:adjustRightInd w:val="0"/>
              <w:spacing w:line="360" w:lineRule="auto"/>
              <w:contextualSpacing/>
              <w:rPr>
                <w:rFonts w:ascii="宋体" w:hAnsi="宋体"/>
                <w:kern w:val="0"/>
                <w:szCs w:val="21"/>
              </w:rPr>
            </w:pPr>
          </w:p>
        </w:tc>
        <w:tc>
          <w:tcPr>
            <w:tcW w:w="3827" w:type="dxa"/>
          </w:tcPr>
          <w:p w:rsidR="00C54C61" w:rsidRDefault="00C54C61">
            <w:pPr>
              <w:adjustRightInd w:val="0"/>
              <w:spacing w:line="360" w:lineRule="auto"/>
              <w:contextualSpacing/>
              <w:rPr>
                <w:rFonts w:ascii="宋体" w:hAnsi="宋体"/>
                <w:kern w:val="0"/>
                <w:szCs w:val="21"/>
              </w:rPr>
            </w:pPr>
          </w:p>
        </w:tc>
      </w:tr>
    </w:tbl>
    <w:p w:rsidR="00C54C61" w:rsidRDefault="00C54C61">
      <w:pPr>
        <w:spacing w:line="360" w:lineRule="auto"/>
        <w:contextualSpacing/>
        <w:rPr>
          <w:b/>
        </w:rPr>
      </w:pPr>
    </w:p>
    <w:p w:rsidR="00C54C61" w:rsidRDefault="00BF3A17">
      <w:pPr>
        <w:spacing w:line="360" w:lineRule="auto"/>
        <w:contextualSpacing/>
        <w:rPr>
          <w:b/>
        </w:rPr>
      </w:pPr>
      <w:r>
        <w:rPr>
          <w:rFonts w:hint="eastAsia"/>
          <w:b/>
        </w:rPr>
        <w:t>注：</w:t>
      </w:r>
      <w:r>
        <w:rPr>
          <w:rFonts w:hint="eastAsia"/>
          <w:b/>
        </w:rPr>
        <w:t xml:space="preserve">1. </w:t>
      </w:r>
      <w:r>
        <w:rPr>
          <w:rFonts w:hint="eastAsia"/>
          <w:b/>
        </w:rPr>
        <w:t>上表所列内容为不可负偏离条款。</w:t>
      </w:r>
    </w:p>
    <w:p w:rsidR="00C54C61" w:rsidRDefault="00BF3A17">
      <w:pPr>
        <w:spacing w:line="360" w:lineRule="auto"/>
        <w:ind w:firstLineChars="200" w:firstLine="422"/>
        <w:contextualSpacing/>
        <w:rPr>
          <w:b/>
        </w:rPr>
      </w:pPr>
      <w:r>
        <w:rPr>
          <w:rFonts w:hint="eastAsia"/>
          <w:b/>
        </w:rPr>
        <w:t>2.</w:t>
      </w:r>
      <w:r>
        <w:rPr>
          <w:rFonts w:hint="eastAsia"/>
          <w:b/>
        </w:rPr>
        <w:t>“投标人响应情况”一栏应如实填写“响应”或“不响应”。</w:t>
      </w:r>
    </w:p>
    <w:p w:rsidR="00C54C61" w:rsidRDefault="00BF3A17">
      <w:pPr>
        <w:spacing w:line="360" w:lineRule="auto"/>
        <w:ind w:firstLineChars="200" w:firstLine="422"/>
        <w:contextualSpacing/>
        <w:rPr>
          <w:b/>
        </w:rPr>
      </w:pPr>
      <w:r>
        <w:rPr>
          <w:rFonts w:hint="eastAsia"/>
          <w:b/>
        </w:rPr>
        <w:t xml:space="preserve">3. </w:t>
      </w:r>
      <w:r>
        <w:rPr>
          <w:rFonts w:hint="eastAsia"/>
          <w:b/>
        </w:rPr>
        <w:t>“实质性响应条款响应情况”与投标文件其它内容冲突的，以“实质性响应条款响应情况”为准。</w:t>
      </w:r>
    </w:p>
    <w:p w:rsidR="00C54C61" w:rsidRDefault="00C54C61">
      <w:pPr>
        <w:spacing w:line="360" w:lineRule="auto"/>
        <w:contextualSpacing/>
        <w:rPr>
          <w:b/>
          <w:szCs w:val="21"/>
        </w:rPr>
      </w:pPr>
    </w:p>
    <w:p w:rsidR="00C54C61" w:rsidRDefault="00BF3A17">
      <w:pPr>
        <w:pStyle w:val="30"/>
        <w:spacing w:before="0" w:after="0" w:line="360" w:lineRule="auto"/>
        <w:contextualSpacing/>
        <w:jc w:val="center"/>
        <w:rPr>
          <w:rFonts w:ascii="黑体" w:eastAsia="黑体"/>
          <w:b w:val="0"/>
          <w:sz w:val="24"/>
          <w:szCs w:val="24"/>
        </w:rPr>
      </w:pPr>
      <w:r>
        <w:rPr>
          <w:rFonts w:ascii="黑体" w:eastAsia="黑体" w:hint="eastAsia"/>
          <w:b w:val="0"/>
          <w:sz w:val="24"/>
          <w:szCs w:val="24"/>
        </w:rPr>
        <w:t>四、</w:t>
      </w:r>
      <w:r>
        <w:rPr>
          <w:rFonts w:cs="宋体" w:hint="eastAsia"/>
          <w:bCs w:val="0"/>
          <w:szCs w:val="21"/>
        </w:rPr>
        <w:t>项目实施方案</w:t>
      </w:r>
    </w:p>
    <w:p w:rsidR="00C54C61" w:rsidRDefault="00BF3A17">
      <w:pPr>
        <w:spacing w:line="360" w:lineRule="auto"/>
        <w:contextualSpacing/>
        <w:rPr>
          <w:sz w:val="24"/>
        </w:rPr>
      </w:pPr>
      <w:r>
        <w:rPr>
          <w:rFonts w:hint="eastAsia"/>
          <w:sz w:val="24"/>
        </w:rPr>
        <w:t>主要内容应包括</w:t>
      </w:r>
      <w:r>
        <w:rPr>
          <w:rFonts w:hint="eastAsia"/>
          <w:sz w:val="24"/>
        </w:rPr>
        <w:t>(</w:t>
      </w:r>
      <w:r>
        <w:rPr>
          <w:rFonts w:hint="eastAsia"/>
          <w:sz w:val="24"/>
        </w:rPr>
        <w:t>根据项目实际情况适当调整内容</w:t>
      </w:r>
      <w:r>
        <w:rPr>
          <w:rFonts w:hint="eastAsia"/>
          <w:sz w:val="24"/>
        </w:rPr>
        <w:t>)</w:t>
      </w:r>
      <w:r>
        <w:rPr>
          <w:rFonts w:hint="eastAsia"/>
          <w:sz w:val="24"/>
        </w:rPr>
        <w:t>：</w:t>
      </w:r>
    </w:p>
    <w:p w:rsidR="00C54C61" w:rsidRDefault="00C54C61">
      <w:pPr>
        <w:spacing w:line="360" w:lineRule="auto"/>
        <w:contextualSpacing/>
        <w:rPr>
          <w:sz w:val="24"/>
        </w:rPr>
      </w:pPr>
    </w:p>
    <w:p w:rsidR="00C54C61" w:rsidRDefault="00BF3A17">
      <w:pPr>
        <w:spacing w:line="360" w:lineRule="auto"/>
        <w:contextualSpacing/>
        <w:rPr>
          <w:sz w:val="24"/>
        </w:rPr>
      </w:pPr>
      <w:r>
        <w:rPr>
          <w:rFonts w:hint="eastAsia"/>
          <w:sz w:val="24"/>
        </w:rPr>
        <w:t>1</w:t>
      </w:r>
      <w:r>
        <w:rPr>
          <w:rFonts w:hint="eastAsia"/>
          <w:sz w:val="24"/>
        </w:rPr>
        <w:t>、项目交货期、实施进度表</w:t>
      </w:r>
    </w:p>
    <w:p w:rsidR="00C54C61" w:rsidRDefault="00BF3A17">
      <w:pPr>
        <w:spacing w:line="360" w:lineRule="auto"/>
        <w:contextualSpacing/>
        <w:rPr>
          <w:sz w:val="24"/>
        </w:rPr>
      </w:pPr>
      <w:r>
        <w:rPr>
          <w:rFonts w:hint="eastAsia"/>
          <w:sz w:val="24"/>
        </w:rPr>
        <w:t>2</w:t>
      </w:r>
      <w:r>
        <w:rPr>
          <w:rFonts w:hint="eastAsia"/>
          <w:sz w:val="24"/>
        </w:rPr>
        <w:t>、相关配套措施</w:t>
      </w:r>
    </w:p>
    <w:p w:rsidR="00C54C61" w:rsidRDefault="00BF3A17">
      <w:pPr>
        <w:spacing w:line="360" w:lineRule="auto"/>
        <w:contextualSpacing/>
        <w:rPr>
          <w:b/>
          <w:bCs/>
          <w:color w:val="FF0000"/>
          <w:sz w:val="24"/>
        </w:rPr>
      </w:pPr>
      <w:r>
        <w:rPr>
          <w:rFonts w:hint="eastAsia"/>
          <w:b/>
          <w:bCs/>
          <w:color w:val="FF0000"/>
          <w:sz w:val="24"/>
        </w:rPr>
        <w:t>（备注：该部分须与“项目实施方案”、</w:t>
      </w:r>
      <w:r>
        <w:rPr>
          <w:rFonts w:hint="eastAsia"/>
          <w:b/>
          <w:bCs/>
          <w:color w:val="FF0000"/>
          <w:sz w:val="24"/>
        </w:rPr>
        <w:t xml:space="preserve"> </w:t>
      </w:r>
      <w:r>
        <w:rPr>
          <w:rFonts w:hint="eastAsia"/>
          <w:b/>
          <w:bCs/>
          <w:color w:val="FF0000"/>
          <w:sz w:val="24"/>
        </w:rPr>
        <w:t>“商务需求”等部分承诺的内容相呼应，不得前后矛盾。）</w:t>
      </w:r>
    </w:p>
    <w:p w:rsidR="00C54C61" w:rsidRDefault="00C54C61">
      <w:pPr>
        <w:spacing w:line="360" w:lineRule="auto"/>
        <w:contextualSpacing/>
        <w:rPr>
          <w:b/>
          <w:bCs/>
          <w:sz w:val="24"/>
        </w:rPr>
      </w:pPr>
    </w:p>
    <w:p w:rsidR="00C54C61" w:rsidRDefault="00BF3A17">
      <w:pPr>
        <w:pStyle w:val="30"/>
        <w:spacing w:before="0" w:after="0" w:line="360" w:lineRule="auto"/>
        <w:contextualSpacing/>
        <w:jc w:val="center"/>
        <w:rPr>
          <w:rFonts w:ascii="黑体" w:eastAsia="黑体"/>
          <w:b w:val="0"/>
          <w:sz w:val="24"/>
          <w:szCs w:val="24"/>
        </w:rPr>
      </w:pPr>
      <w:r>
        <w:rPr>
          <w:rFonts w:ascii="黑体" w:eastAsia="黑体" w:hint="eastAsia"/>
          <w:b w:val="0"/>
          <w:sz w:val="24"/>
          <w:szCs w:val="24"/>
        </w:rPr>
        <w:t>五、售后服务方案</w:t>
      </w:r>
    </w:p>
    <w:p w:rsidR="00C54C61" w:rsidRDefault="00C54C61">
      <w:pPr>
        <w:spacing w:line="360" w:lineRule="auto"/>
        <w:contextualSpacing/>
        <w:rPr>
          <w:sz w:val="24"/>
        </w:rPr>
      </w:pPr>
    </w:p>
    <w:p w:rsidR="00C54C61" w:rsidRDefault="00BF3A17">
      <w:pPr>
        <w:spacing w:line="360" w:lineRule="auto"/>
        <w:contextualSpacing/>
        <w:rPr>
          <w:sz w:val="24"/>
        </w:rPr>
      </w:pPr>
      <w:r>
        <w:rPr>
          <w:rFonts w:hint="eastAsia"/>
          <w:sz w:val="24"/>
        </w:rPr>
        <w:t>主要内容应包括</w:t>
      </w:r>
      <w:r>
        <w:rPr>
          <w:rFonts w:hint="eastAsia"/>
          <w:sz w:val="24"/>
        </w:rPr>
        <w:t>(</w:t>
      </w:r>
      <w:r>
        <w:rPr>
          <w:rFonts w:hint="eastAsia"/>
          <w:sz w:val="24"/>
        </w:rPr>
        <w:t>根据项目实际情况适当调整内容</w:t>
      </w:r>
      <w:r>
        <w:rPr>
          <w:rFonts w:hint="eastAsia"/>
          <w:sz w:val="24"/>
        </w:rPr>
        <w:t>)</w:t>
      </w:r>
      <w:r>
        <w:rPr>
          <w:rFonts w:hint="eastAsia"/>
          <w:sz w:val="24"/>
        </w:rPr>
        <w:t>：</w:t>
      </w:r>
    </w:p>
    <w:p w:rsidR="00C54C61" w:rsidRDefault="00BF3A17">
      <w:pPr>
        <w:spacing w:line="360" w:lineRule="auto"/>
        <w:contextualSpacing/>
        <w:rPr>
          <w:sz w:val="24"/>
        </w:rPr>
      </w:pPr>
      <w:r>
        <w:rPr>
          <w:sz w:val="24"/>
        </w:rPr>
        <w:t>1</w:t>
      </w:r>
      <w:r>
        <w:rPr>
          <w:rFonts w:hint="eastAsia"/>
          <w:sz w:val="24"/>
        </w:rPr>
        <w:t>、免费保修期；</w:t>
      </w:r>
    </w:p>
    <w:p w:rsidR="00C54C61" w:rsidRDefault="00BF3A17">
      <w:pPr>
        <w:spacing w:line="360" w:lineRule="auto"/>
        <w:contextualSpacing/>
        <w:rPr>
          <w:sz w:val="24"/>
        </w:rPr>
      </w:pPr>
      <w:r>
        <w:rPr>
          <w:sz w:val="24"/>
        </w:rPr>
        <w:t>2</w:t>
      </w:r>
      <w:r>
        <w:rPr>
          <w:rFonts w:hint="eastAsia"/>
          <w:sz w:val="24"/>
        </w:rPr>
        <w:t>、故障或技术支持响应时间；</w:t>
      </w:r>
    </w:p>
    <w:p w:rsidR="00C54C61" w:rsidRDefault="00BF3A17">
      <w:pPr>
        <w:spacing w:line="360" w:lineRule="auto"/>
        <w:contextualSpacing/>
        <w:rPr>
          <w:sz w:val="24"/>
        </w:rPr>
      </w:pPr>
      <w:r>
        <w:rPr>
          <w:sz w:val="24"/>
        </w:rPr>
        <w:t>3</w:t>
      </w:r>
      <w:r>
        <w:rPr>
          <w:rFonts w:hint="eastAsia"/>
          <w:sz w:val="24"/>
        </w:rPr>
        <w:t>、投标人承诺的其他维修维护方案、措施</w:t>
      </w:r>
    </w:p>
    <w:p w:rsidR="00C54C61" w:rsidRDefault="00BF3A17">
      <w:pPr>
        <w:spacing w:line="360" w:lineRule="auto"/>
        <w:contextualSpacing/>
        <w:rPr>
          <w:sz w:val="24"/>
        </w:rPr>
      </w:pPr>
      <w:r>
        <w:rPr>
          <w:sz w:val="24"/>
        </w:rPr>
        <w:t>4</w:t>
      </w:r>
      <w:r>
        <w:rPr>
          <w:rFonts w:hint="eastAsia"/>
          <w:sz w:val="24"/>
        </w:rPr>
        <w:t>、质量保证及违约承诺。</w:t>
      </w:r>
    </w:p>
    <w:p w:rsidR="00C54C61" w:rsidRDefault="00BF3A17">
      <w:pPr>
        <w:spacing w:line="360" w:lineRule="auto"/>
        <w:contextualSpacing/>
        <w:rPr>
          <w:b/>
          <w:color w:val="FF0000"/>
          <w:sz w:val="24"/>
        </w:rPr>
      </w:pPr>
      <w:r>
        <w:rPr>
          <w:rFonts w:hint="eastAsia"/>
          <w:b/>
          <w:color w:val="FF0000"/>
          <w:sz w:val="24"/>
        </w:rPr>
        <w:t>（备注：该部分须与“商务需求”承诺的内容相呼应，不得前后矛盾。）</w:t>
      </w: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C54C61">
      <w:pPr>
        <w:spacing w:line="360" w:lineRule="auto"/>
        <w:contextualSpacing/>
      </w:pPr>
    </w:p>
    <w:p w:rsidR="00C54C61" w:rsidRDefault="00BF3A17">
      <w:pPr>
        <w:pStyle w:val="2"/>
        <w:spacing w:before="0" w:after="0" w:line="360" w:lineRule="auto"/>
        <w:contextualSpacing/>
      </w:pPr>
      <w:r>
        <w:rPr>
          <w:rFonts w:hint="eastAsia"/>
        </w:rPr>
        <w:t>第四章  合同及履约情况反馈格式</w:t>
      </w:r>
    </w:p>
    <w:p w:rsidR="00C54C61" w:rsidRDefault="00C54C61" w:rsidP="00EE5467">
      <w:pPr>
        <w:spacing w:line="360" w:lineRule="auto"/>
        <w:ind w:firstLineChars="196" w:firstLine="412"/>
        <w:contextualSpacing/>
      </w:pPr>
    </w:p>
    <w:p w:rsidR="00C54C61" w:rsidRDefault="00BF3A17">
      <w:pPr>
        <w:pStyle w:val="30"/>
        <w:spacing w:before="0" w:after="0" w:line="360" w:lineRule="auto"/>
        <w:contextualSpacing/>
        <w:jc w:val="center"/>
        <w:rPr>
          <w:rFonts w:ascii="黑体" w:eastAsia="黑体"/>
          <w:b w:val="0"/>
          <w:kern w:val="0"/>
          <w:sz w:val="24"/>
          <w:szCs w:val="24"/>
        </w:rPr>
      </w:pPr>
      <w:r>
        <w:rPr>
          <w:rFonts w:ascii="黑体" w:eastAsia="黑体" w:hint="eastAsia"/>
          <w:b w:val="0"/>
          <w:kern w:val="0"/>
          <w:sz w:val="24"/>
          <w:szCs w:val="24"/>
        </w:rPr>
        <w:t>一、合同条款及格式（仅供参考）</w:t>
      </w:r>
    </w:p>
    <w:p w:rsidR="00C54C61" w:rsidRDefault="00C54C61">
      <w:pPr>
        <w:spacing w:line="360" w:lineRule="auto"/>
        <w:ind w:firstLineChars="196" w:firstLine="470"/>
        <w:contextualSpacing/>
        <w:jc w:val="center"/>
        <w:rPr>
          <w:sz w:val="24"/>
        </w:rPr>
      </w:pPr>
      <w:bookmarkStart w:id="27" w:name="_Toc100052414"/>
      <w:bookmarkStart w:id="28" w:name="_Toc73521680"/>
      <w:bookmarkStart w:id="29" w:name="_Toc84303603"/>
      <w:bookmarkStart w:id="30" w:name="_Toc101074886"/>
      <w:bookmarkStart w:id="31" w:name="_Toc73518163"/>
      <w:bookmarkStart w:id="32" w:name="_Toc73517685"/>
      <w:bookmarkStart w:id="33" w:name="_Toc73521592"/>
    </w:p>
    <w:p w:rsidR="00C54C61" w:rsidRDefault="00C54C61">
      <w:pPr>
        <w:spacing w:line="360" w:lineRule="auto"/>
        <w:ind w:firstLineChars="196" w:firstLine="470"/>
        <w:contextualSpacing/>
        <w:jc w:val="center"/>
        <w:rPr>
          <w:sz w:val="24"/>
        </w:rPr>
      </w:pPr>
    </w:p>
    <w:p w:rsidR="00C54C61" w:rsidRDefault="00BF3A17">
      <w:pPr>
        <w:spacing w:line="360" w:lineRule="auto"/>
        <w:contextualSpacing/>
        <w:jc w:val="center"/>
        <w:rPr>
          <w:b/>
          <w:sz w:val="24"/>
        </w:rPr>
      </w:pPr>
      <w:r>
        <w:rPr>
          <w:rFonts w:hint="eastAsia"/>
          <w:b/>
          <w:sz w:val="24"/>
        </w:rPr>
        <w:t>合同条款</w:t>
      </w:r>
      <w:bookmarkEnd w:id="27"/>
      <w:bookmarkEnd w:id="28"/>
      <w:bookmarkEnd w:id="29"/>
      <w:bookmarkEnd w:id="30"/>
      <w:bookmarkEnd w:id="31"/>
      <w:bookmarkEnd w:id="32"/>
      <w:bookmarkEnd w:id="33"/>
    </w:p>
    <w:p w:rsidR="00C54C61" w:rsidRDefault="00BF3A17">
      <w:pPr>
        <w:spacing w:line="360" w:lineRule="auto"/>
        <w:contextualSpacing/>
        <w:jc w:val="center"/>
      </w:pPr>
      <w:r>
        <w:rPr>
          <w:rFonts w:hint="eastAsia"/>
          <w:b/>
          <w:sz w:val="24"/>
        </w:rPr>
        <w:t>（仅供参考，项目具体要求以招标项目需求为准）</w:t>
      </w:r>
    </w:p>
    <w:p w:rsidR="00C54C61" w:rsidRDefault="00BF3A17">
      <w:pPr>
        <w:spacing w:line="360" w:lineRule="auto"/>
        <w:contextualSpacing/>
        <w:rPr>
          <w:rFonts w:ascii="宋体" w:hAnsi="宋体"/>
          <w:b/>
          <w:bCs/>
          <w:szCs w:val="21"/>
        </w:rPr>
      </w:pPr>
      <w:r>
        <w:rPr>
          <w:rFonts w:ascii="宋体" w:hAnsi="宋体" w:hint="eastAsia"/>
          <w:b/>
          <w:bCs/>
          <w:szCs w:val="21"/>
        </w:rPr>
        <w:t>甲方：</w:t>
      </w:r>
      <w:r>
        <w:rPr>
          <w:rFonts w:ascii="宋体" w:hAnsi="宋体"/>
          <w:b/>
          <w:bCs/>
          <w:szCs w:val="21"/>
        </w:rPr>
        <w:t xml:space="preserve"> </w:t>
      </w:r>
      <w:r>
        <w:rPr>
          <w:rFonts w:ascii="宋体" w:hAnsi="宋体" w:hint="eastAsia"/>
          <w:b/>
          <w:bCs/>
          <w:szCs w:val="21"/>
        </w:rPr>
        <w:t xml:space="preserve"> </w:t>
      </w:r>
      <w:r>
        <w:rPr>
          <w:rFonts w:ascii="宋体" w:hAnsi="宋体"/>
          <w:b/>
          <w:bCs/>
          <w:szCs w:val="21"/>
        </w:rPr>
        <w:t xml:space="preserve"> </w:t>
      </w:r>
    </w:p>
    <w:p w:rsidR="00C54C61" w:rsidRDefault="00BF3A17">
      <w:pPr>
        <w:spacing w:line="360" w:lineRule="auto"/>
        <w:contextualSpacing/>
        <w:rPr>
          <w:rFonts w:ascii="宋体" w:hAnsi="宋体"/>
          <w:b/>
          <w:bCs/>
          <w:szCs w:val="21"/>
        </w:rPr>
      </w:pPr>
      <w:r>
        <w:rPr>
          <w:rFonts w:ascii="宋体" w:hAnsi="宋体" w:hint="eastAsia"/>
          <w:b/>
          <w:bCs/>
          <w:szCs w:val="21"/>
        </w:rPr>
        <w:t>乙方：</w:t>
      </w:r>
      <w:r>
        <w:rPr>
          <w:rFonts w:ascii="宋体" w:hAnsi="宋体"/>
          <w:b/>
          <w:bCs/>
          <w:szCs w:val="21"/>
        </w:rPr>
        <w:t xml:space="preserve">            </w:t>
      </w:r>
      <w:r>
        <w:rPr>
          <w:rFonts w:ascii="宋体" w:hAnsi="宋体" w:hint="eastAsia"/>
          <w:b/>
          <w:bCs/>
          <w:szCs w:val="21"/>
        </w:rPr>
        <w:t xml:space="preserve">                            </w:t>
      </w:r>
      <w:r>
        <w:rPr>
          <w:rFonts w:ascii="宋体" w:hAnsi="宋体"/>
          <w:b/>
          <w:bCs/>
          <w:szCs w:val="21"/>
        </w:rPr>
        <w:t xml:space="preserve">  </w:t>
      </w: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BF3A17">
      <w:pPr>
        <w:spacing w:line="360" w:lineRule="auto"/>
        <w:ind w:firstLine="560"/>
        <w:contextualSpacing/>
        <w:jc w:val="left"/>
        <w:rPr>
          <w:szCs w:val="21"/>
        </w:rPr>
      </w:pPr>
      <w:r>
        <w:rPr>
          <w:rFonts w:hint="eastAsia"/>
          <w:szCs w:val="21"/>
        </w:rPr>
        <w:t>根据深圳市国信招标有限公司</w:t>
      </w:r>
      <w:r>
        <w:rPr>
          <w:rFonts w:hint="eastAsia"/>
          <w:szCs w:val="21"/>
          <w:u w:val="single"/>
        </w:rPr>
        <w:t xml:space="preserve">        </w:t>
      </w:r>
      <w:r>
        <w:rPr>
          <w:rFonts w:hint="eastAsia"/>
          <w:szCs w:val="21"/>
        </w:rPr>
        <w:t>号招标项目的投标结果，由</w:t>
      </w:r>
      <w:r>
        <w:rPr>
          <w:rFonts w:hint="eastAsia"/>
          <w:szCs w:val="21"/>
          <w:u w:val="single"/>
        </w:rPr>
        <w:t xml:space="preserve">       </w:t>
      </w:r>
      <w:r>
        <w:rPr>
          <w:rFonts w:hint="eastAsia"/>
          <w:szCs w:val="21"/>
        </w:rPr>
        <w:t>单位为中标方。按照《中华人民共和国民法典》（第三编</w:t>
      </w:r>
      <w:r>
        <w:rPr>
          <w:rFonts w:hint="eastAsia"/>
          <w:szCs w:val="21"/>
        </w:rPr>
        <w:t xml:space="preserve"> </w:t>
      </w:r>
      <w:r>
        <w:rPr>
          <w:rFonts w:hint="eastAsia"/>
          <w:szCs w:val="21"/>
        </w:rPr>
        <w:t>合同）和《深圳经济特区政府采购条例》，经深圳市</w:t>
      </w:r>
      <w:r>
        <w:rPr>
          <w:rFonts w:hint="eastAsia"/>
          <w:szCs w:val="21"/>
          <w:u w:val="single"/>
        </w:rPr>
        <w:t xml:space="preserve">           </w:t>
      </w:r>
      <w:r>
        <w:rPr>
          <w:rFonts w:hint="eastAsia"/>
          <w:szCs w:val="21"/>
        </w:rPr>
        <w:t>（以下简称甲方）和</w:t>
      </w:r>
      <w:r>
        <w:rPr>
          <w:rFonts w:hint="eastAsia"/>
          <w:szCs w:val="21"/>
          <w:u w:val="single"/>
        </w:rPr>
        <w:t xml:space="preserve">           </w:t>
      </w:r>
      <w:r>
        <w:rPr>
          <w:rFonts w:hint="eastAsia"/>
          <w:szCs w:val="21"/>
        </w:rPr>
        <w:t>单位（以下简称乙方）协商，达成以下合同条款：</w:t>
      </w:r>
    </w:p>
    <w:p w:rsidR="00C54C61" w:rsidRDefault="00BF3A17">
      <w:pPr>
        <w:spacing w:line="360" w:lineRule="auto"/>
        <w:ind w:firstLine="560"/>
        <w:contextualSpacing/>
        <w:jc w:val="left"/>
        <w:rPr>
          <w:b/>
          <w:szCs w:val="21"/>
        </w:rPr>
      </w:pPr>
      <w:r>
        <w:rPr>
          <w:rFonts w:hint="eastAsia"/>
          <w:b/>
          <w:szCs w:val="21"/>
        </w:rPr>
        <w:t>第一条</w:t>
      </w:r>
      <w:r>
        <w:rPr>
          <w:rFonts w:hint="eastAsia"/>
          <w:b/>
          <w:szCs w:val="21"/>
        </w:rPr>
        <w:t xml:space="preserve">  </w:t>
      </w:r>
      <w:r>
        <w:rPr>
          <w:rFonts w:hint="eastAsia"/>
          <w:b/>
          <w:szCs w:val="21"/>
        </w:rPr>
        <w:t>合同标的</w:t>
      </w:r>
    </w:p>
    <w:p w:rsidR="00C54C61" w:rsidRDefault="00BF3A17">
      <w:pPr>
        <w:spacing w:line="360" w:lineRule="auto"/>
        <w:ind w:firstLine="560"/>
        <w:contextualSpacing/>
        <w:jc w:val="left"/>
        <w:rPr>
          <w:szCs w:val="21"/>
        </w:rPr>
      </w:pPr>
      <w:r>
        <w:rPr>
          <w:rFonts w:hint="eastAsia"/>
          <w:szCs w:val="21"/>
        </w:rPr>
        <w:t>乙方根据甲方需求提供下列货物：</w:t>
      </w:r>
    </w:p>
    <w:p w:rsidR="00C54C61" w:rsidRDefault="00BF3A17">
      <w:pPr>
        <w:spacing w:line="360" w:lineRule="auto"/>
        <w:ind w:firstLine="560"/>
        <w:contextualSpacing/>
        <w:jc w:val="left"/>
        <w:rPr>
          <w:szCs w:val="21"/>
        </w:rPr>
      </w:pPr>
      <w:r>
        <w:rPr>
          <w:rFonts w:hint="eastAsia"/>
          <w:szCs w:val="21"/>
        </w:rPr>
        <w:t>货物名称、规格及数量详见</w:t>
      </w:r>
      <w:r>
        <w:rPr>
          <w:rFonts w:hint="eastAsia"/>
          <w:b/>
          <w:szCs w:val="21"/>
          <w:u w:val="single"/>
        </w:rPr>
        <w:t xml:space="preserve">                  </w:t>
      </w:r>
      <w:r>
        <w:rPr>
          <w:rFonts w:hint="eastAsia"/>
          <w:szCs w:val="21"/>
        </w:rPr>
        <w:t>。</w:t>
      </w:r>
    </w:p>
    <w:p w:rsidR="00C54C61" w:rsidRDefault="00BF3A17">
      <w:pPr>
        <w:spacing w:line="360" w:lineRule="auto"/>
        <w:ind w:firstLine="560"/>
        <w:contextualSpacing/>
        <w:jc w:val="left"/>
        <w:rPr>
          <w:b/>
          <w:szCs w:val="21"/>
        </w:rPr>
      </w:pPr>
      <w:r>
        <w:rPr>
          <w:rFonts w:hint="eastAsia"/>
          <w:b/>
          <w:szCs w:val="21"/>
        </w:rPr>
        <w:t>第二条</w:t>
      </w:r>
      <w:r>
        <w:rPr>
          <w:rFonts w:hint="eastAsia"/>
          <w:b/>
          <w:szCs w:val="21"/>
        </w:rPr>
        <w:t xml:space="preserve">  </w:t>
      </w:r>
      <w:r>
        <w:rPr>
          <w:rFonts w:hint="eastAsia"/>
          <w:b/>
          <w:szCs w:val="21"/>
        </w:rPr>
        <w:t>合同价款</w:t>
      </w:r>
    </w:p>
    <w:p w:rsidR="00C54C61" w:rsidRDefault="00BF3A17">
      <w:pPr>
        <w:spacing w:line="360" w:lineRule="auto"/>
        <w:ind w:firstLine="560"/>
        <w:contextualSpacing/>
        <w:jc w:val="left"/>
        <w:rPr>
          <w:szCs w:val="21"/>
        </w:rPr>
      </w:pPr>
      <w:r>
        <w:rPr>
          <w:rFonts w:hint="eastAsia"/>
          <w:szCs w:val="21"/>
        </w:rPr>
        <w:t>本合同项下总价款为</w:t>
      </w:r>
      <w:r>
        <w:rPr>
          <w:rFonts w:hint="eastAsia"/>
          <w:szCs w:val="21"/>
          <w:u w:val="single"/>
        </w:rPr>
        <w:t xml:space="preserve">              </w:t>
      </w:r>
      <w:r>
        <w:rPr>
          <w:rFonts w:hint="eastAsia"/>
          <w:szCs w:val="21"/>
        </w:rPr>
        <w:t>（大写）人民币，分项价款详见</w:t>
      </w:r>
      <w:r>
        <w:rPr>
          <w:rFonts w:hint="eastAsia"/>
          <w:b/>
          <w:szCs w:val="21"/>
          <w:u w:val="single"/>
        </w:rPr>
        <w:t xml:space="preserve">          </w:t>
      </w:r>
      <w:r>
        <w:rPr>
          <w:rFonts w:hint="eastAsia"/>
          <w:szCs w:val="21"/>
        </w:rPr>
        <w:t>。本合同总价款已包括乙方为履行本合同义务所发生的一切费用，系固定不变价格，且不随通货膨胀的影响而波动。</w:t>
      </w:r>
    </w:p>
    <w:p w:rsidR="00C54C61" w:rsidRDefault="00BF3A17">
      <w:pPr>
        <w:spacing w:line="360" w:lineRule="auto"/>
        <w:ind w:firstLine="560"/>
        <w:contextualSpacing/>
        <w:jc w:val="left"/>
        <w:rPr>
          <w:b/>
          <w:szCs w:val="21"/>
        </w:rPr>
      </w:pPr>
      <w:r>
        <w:rPr>
          <w:rFonts w:hint="eastAsia"/>
          <w:b/>
          <w:szCs w:val="21"/>
        </w:rPr>
        <w:t>第三条</w:t>
      </w:r>
      <w:r>
        <w:rPr>
          <w:rFonts w:hint="eastAsia"/>
          <w:b/>
          <w:szCs w:val="21"/>
        </w:rPr>
        <w:t xml:space="preserve">  </w:t>
      </w:r>
      <w:r>
        <w:rPr>
          <w:rFonts w:hint="eastAsia"/>
          <w:b/>
          <w:szCs w:val="21"/>
        </w:rPr>
        <w:t>权利保证</w:t>
      </w:r>
    </w:p>
    <w:p w:rsidR="00C54C61" w:rsidRDefault="00BF3A17">
      <w:pPr>
        <w:spacing w:line="360" w:lineRule="auto"/>
        <w:ind w:firstLine="560"/>
        <w:contextualSpacing/>
        <w:jc w:val="left"/>
        <w:rPr>
          <w:rFonts w:ascii="宋体" w:hAnsi="宋体"/>
          <w:szCs w:val="21"/>
        </w:rPr>
      </w:pPr>
      <w:r>
        <w:rPr>
          <w:rFonts w:ascii="宋体" w:hAnsi="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rsidR="00C54C61" w:rsidRDefault="00BF3A17">
      <w:pPr>
        <w:spacing w:line="360" w:lineRule="auto"/>
        <w:ind w:firstLine="560"/>
        <w:contextualSpacing/>
        <w:jc w:val="left"/>
        <w:rPr>
          <w:b/>
          <w:szCs w:val="21"/>
        </w:rPr>
      </w:pPr>
      <w:r>
        <w:rPr>
          <w:rFonts w:hint="eastAsia"/>
          <w:b/>
          <w:szCs w:val="21"/>
        </w:rPr>
        <w:t>第四条</w:t>
      </w:r>
      <w:r>
        <w:rPr>
          <w:rFonts w:hint="eastAsia"/>
          <w:b/>
          <w:szCs w:val="21"/>
        </w:rPr>
        <w:t xml:space="preserve">  </w:t>
      </w:r>
      <w:r>
        <w:rPr>
          <w:rFonts w:hint="eastAsia"/>
          <w:b/>
          <w:szCs w:val="21"/>
        </w:rPr>
        <w:t>质量保证</w:t>
      </w:r>
    </w:p>
    <w:p w:rsidR="00C54C61" w:rsidRDefault="00BF3A17">
      <w:pPr>
        <w:spacing w:line="360" w:lineRule="auto"/>
        <w:ind w:firstLine="560"/>
        <w:contextualSpacing/>
        <w:jc w:val="left"/>
        <w:rPr>
          <w:rFonts w:ascii="宋体" w:hAnsi="宋体"/>
          <w:szCs w:val="21"/>
        </w:rPr>
      </w:pPr>
      <w:r>
        <w:rPr>
          <w:rFonts w:ascii="宋体" w:hAnsi="宋体" w:hint="eastAsia"/>
          <w:szCs w:val="21"/>
        </w:rPr>
        <w:t>1、乙方所提供的货物的技术规格符合招标文件规定的技术规格，货物符合中华人民共和国的设计和制造生产标准或行业标准。</w:t>
      </w:r>
    </w:p>
    <w:p w:rsidR="00C54C61" w:rsidRDefault="00BF3A17">
      <w:pPr>
        <w:spacing w:line="360" w:lineRule="auto"/>
        <w:ind w:firstLine="560"/>
        <w:contextualSpacing/>
        <w:jc w:val="left"/>
        <w:rPr>
          <w:rFonts w:ascii="宋体" w:hAnsi="宋体"/>
          <w:szCs w:val="21"/>
        </w:rPr>
      </w:pPr>
      <w:r>
        <w:rPr>
          <w:rFonts w:ascii="宋体" w:hAnsi="宋体" w:hint="eastAsia"/>
          <w:szCs w:val="21"/>
        </w:rPr>
        <w:t>2、乙方应保证货物是全新、未使用过的原装合格正品（包括零部件），并完全符合甲方要求的质量、规格和性能的要求。如货物安装或配置了软件的，乙方保证相关软件均为正版软件。</w:t>
      </w:r>
    </w:p>
    <w:p w:rsidR="00C54C61" w:rsidRDefault="00BF3A17">
      <w:pPr>
        <w:spacing w:line="360" w:lineRule="auto"/>
        <w:ind w:firstLine="560"/>
        <w:contextualSpacing/>
        <w:jc w:val="left"/>
        <w:rPr>
          <w:rFonts w:ascii="宋体" w:hAnsi="宋体"/>
          <w:szCs w:val="21"/>
        </w:rPr>
      </w:pPr>
      <w:r>
        <w:rPr>
          <w:rFonts w:ascii="宋体" w:hAnsi="宋体" w:hint="eastAsia"/>
          <w:szCs w:val="21"/>
        </w:rPr>
        <w:t>3、乙方保证交货时一并提供货物的质量合格凭证或文件。</w:t>
      </w:r>
    </w:p>
    <w:p w:rsidR="00C54C61" w:rsidRDefault="00C54C61">
      <w:pPr>
        <w:spacing w:line="360" w:lineRule="auto"/>
        <w:ind w:firstLine="560"/>
        <w:contextualSpacing/>
        <w:jc w:val="left"/>
        <w:rPr>
          <w:rFonts w:ascii="宋体" w:hAnsi="宋体"/>
          <w:szCs w:val="21"/>
        </w:rPr>
      </w:pPr>
    </w:p>
    <w:p w:rsidR="00C54C61" w:rsidRDefault="00C54C61">
      <w:pPr>
        <w:spacing w:line="360" w:lineRule="auto"/>
        <w:ind w:firstLine="560"/>
        <w:contextualSpacing/>
        <w:jc w:val="left"/>
        <w:rPr>
          <w:rFonts w:ascii="宋体" w:hAnsi="宋体"/>
          <w:szCs w:val="21"/>
        </w:rPr>
      </w:pPr>
    </w:p>
    <w:p w:rsidR="00C54C61" w:rsidRDefault="00BF3A17">
      <w:pPr>
        <w:spacing w:line="360" w:lineRule="auto"/>
        <w:ind w:firstLine="560"/>
        <w:contextualSpacing/>
        <w:jc w:val="left"/>
        <w:rPr>
          <w:b/>
          <w:szCs w:val="21"/>
        </w:rPr>
      </w:pPr>
      <w:r>
        <w:rPr>
          <w:rFonts w:hint="eastAsia"/>
          <w:b/>
          <w:szCs w:val="21"/>
        </w:rPr>
        <w:t>第五条</w:t>
      </w:r>
      <w:r>
        <w:rPr>
          <w:rFonts w:hint="eastAsia"/>
          <w:b/>
          <w:szCs w:val="21"/>
        </w:rPr>
        <w:t xml:space="preserve">  </w:t>
      </w:r>
      <w:r>
        <w:rPr>
          <w:rFonts w:hint="eastAsia"/>
          <w:b/>
          <w:szCs w:val="21"/>
        </w:rPr>
        <w:t>交货和验收</w:t>
      </w:r>
    </w:p>
    <w:p w:rsidR="00C54C61" w:rsidRDefault="00BF3A17">
      <w:pPr>
        <w:spacing w:line="360" w:lineRule="auto"/>
        <w:ind w:firstLine="560"/>
        <w:contextualSpacing/>
        <w:jc w:val="left"/>
        <w:rPr>
          <w:rFonts w:ascii="宋体" w:hAnsi="宋体"/>
          <w:szCs w:val="21"/>
        </w:rPr>
      </w:pPr>
      <w:r>
        <w:rPr>
          <w:rFonts w:ascii="宋体" w:hAnsi="宋体" w:hint="eastAsia"/>
          <w:szCs w:val="21"/>
        </w:rPr>
        <w:t>1、乙方应按照本合同或招投标文件规定的时间和方式向甲方交付货物，交货地点由甲方指定。因交货产生的费用由乙方自行承担。</w:t>
      </w:r>
    </w:p>
    <w:p w:rsidR="00C54C61" w:rsidRDefault="00BF3A17">
      <w:pPr>
        <w:spacing w:line="360" w:lineRule="auto"/>
        <w:ind w:firstLine="560"/>
        <w:contextualSpacing/>
        <w:jc w:val="left"/>
        <w:rPr>
          <w:rFonts w:ascii="宋体" w:hAnsi="宋体"/>
          <w:szCs w:val="21"/>
        </w:rPr>
      </w:pPr>
      <w:r>
        <w:rPr>
          <w:rFonts w:ascii="宋体" w:hAnsi="宋体" w:hint="eastAsia"/>
          <w:szCs w:val="21"/>
        </w:rPr>
        <w:t>2、乙方交付的货物应当完全符合招投标文件所规定的货物、数量、质量和规格要求。乙方提供的货物不符合招投标文件和合同规定的，甲方有权拒收货物，由此引起的风险，由乙方承担。</w:t>
      </w:r>
    </w:p>
    <w:p w:rsidR="00C54C61" w:rsidRDefault="00BF3A17">
      <w:pPr>
        <w:spacing w:line="360" w:lineRule="auto"/>
        <w:ind w:firstLine="560"/>
        <w:contextualSpacing/>
        <w:jc w:val="left"/>
        <w:rPr>
          <w:rFonts w:ascii="宋体" w:hAnsi="宋体"/>
          <w:szCs w:val="21"/>
        </w:rPr>
      </w:pPr>
      <w:r>
        <w:rPr>
          <w:rFonts w:ascii="宋体" w:hAnsi="宋体"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rsidR="00C54C61" w:rsidRDefault="00BF3A17">
      <w:pPr>
        <w:spacing w:line="360" w:lineRule="auto"/>
        <w:ind w:firstLine="560"/>
        <w:contextualSpacing/>
        <w:jc w:val="left"/>
        <w:rPr>
          <w:rFonts w:ascii="宋体" w:hAnsi="宋体"/>
          <w:szCs w:val="21"/>
        </w:rPr>
      </w:pPr>
      <w:r>
        <w:rPr>
          <w:rFonts w:ascii="宋体" w:hAnsi="宋体" w:hint="eastAsia"/>
          <w:szCs w:val="21"/>
        </w:rPr>
        <w:t>4、甲方应当在到货后的</w:t>
      </w:r>
      <w:r>
        <w:rPr>
          <w:rFonts w:ascii="宋体" w:hAnsi="宋体" w:hint="eastAsia"/>
          <w:szCs w:val="21"/>
          <w:u w:val="single"/>
        </w:rPr>
        <w:t xml:space="preserve">       </w:t>
      </w:r>
      <w:r>
        <w:rPr>
          <w:rFonts w:ascii="宋体" w:hAnsi="宋体" w:hint="eastAsia"/>
          <w:szCs w:val="21"/>
        </w:rPr>
        <w:t>个工作日内对货物进行验收；需要乙方对货物或系统进行安装调试的，甲方应在货物安装调试完毕后的</w:t>
      </w:r>
      <w:r>
        <w:rPr>
          <w:rFonts w:ascii="宋体" w:hAnsi="宋体" w:hint="eastAsia"/>
          <w:szCs w:val="21"/>
          <w:u w:val="single"/>
        </w:rPr>
        <w:t xml:space="preserve">       </w:t>
      </w:r>
      <w:r>
        <w:rPr>
          <w:rFonts w:ascii="宋体" w:hAnsi="宋体" w:hint="eastAsia"/>
          <w:szCs w:val="21"/>
        </w:rPr>
        <w:t>个工作日内进行质量验收。</w:t>
      </w:r>
    </w:p>
    <w:p w:rsidR="00C54C61" w:rsidRDefault="00BF3A17">
      <w:pPr>
        <w:spacing w:line="360" w:lineRule="auto"/>
        <w:ind w:firstLine="560"/>
        <w:contextualSpacing/>
        <w:jc w:val="left"/>
        <w:rPr>
          <w:b/>
          <w:szCs w:val="21"/>
        </w:rPr>
      </w:pPr>
      <w:r>
        <w:rPr>
          <w:rFonts w:hint="eastAsia"/>
          <w:b/>
          <w:szCs w:val="21"/>
        </w:rPr>
        <w:t>第六条</w:t>
      </w:r>
      <w:r>
        <w:rPr>
          <w:rFonts w:hint="eastAsia"/>
          <w:b/>
          <w:szCs w:val="21"/>
        </w:rPr>
        <w:t xml:space="preserve">  </w:t>
      </w:r>
      <w:r>
        <w:rPr>
          <w:rFonts w:hint="eastAsia"/>
          <w:b/>
          <w:szCs w:val="21"/>
        </w:rPr>
        <w:t>保修及其他服务</w:t>
      </w:r>
    </w:p>
    <w:p w:rsidR="00C54C61" w:rsidRDefault="00BF3A17">
      <w:pPr>
        <w:spacing w:line="360" w:lineRule="auto"/>
        <w:ind w:firstLine="560"/>
        <w:contextualSpacing/>
        <w:jc w:val="left"/>
        <w:rPr>
          <w:rFonts w:ascii="宋体" w:hAnsi="宋体"/>
          <w:szCs w:val="21"/>
        </w:rPr>
      </w:pPr>
      <w:r>
        <w:rPr>
          <w:rFonts w:ascii="宋体" w:hAnsi="宋体" w:hint="eastAsia"/>
          <w:szCs w:val="21"/>
        </w:rPr>
        <w:t>1、乙方应按照国家有关法律法规规章和“三包”规定和招标文件的要求及乙方在投标文件的相关承诺提供保修及其他服务。</w:t>
      </w:r>
    </w:p>
    <w:p w:rsidR="00C54C61" w:rsidRDefault="00BF3A17">
      <w:pPr>
        <w:spacing w:line="360" w:lineRule="auto"/>
        <w:ind w:firstLine="560"/>
        <w:contextualSpacing/>
        <w:jc w:val="left"/>
        <w:rPr>
          <w:rFonts w:ascii="宋体" w:hAnsi="宋体"/>
          <w:szCs w:val="21"/>
        </w:rPr>
      </w:pPr>
      <w:r>
        <w:rPr>
          <w:rFonts w:ascii="宋体" w:hAnsi="宋体" w:hint="eastAsia"/>
          <w:szCs w:val="21"/>
        </w:rPr>
        <w:t>2、</w:t>
      </w:r>
      <w:r>
        <w:rPr>
          <w:rFonts w:ascii="宋体" w:hAnsi="宋体"/>
          <w:szCs w:val="21"/>
        </w:rPr>
        <w:t>保修期内，乙方负责对其提供的货物进行维修和系统维护，不再收取任何费用。</w:t>
      </w:r>
      <w:r>
        <w:rPr>
          <w:rFonts w:ascii="宋体" w:hAnsi="宋体" w:hint="eastAsia"/>
          <w:szCs w:val="21"/>
        </w:rPr>
        <w:t>所有货物保修服务方式均为乙方上门保修，即由乙方派员到货物使用现场维修，由此产生的一切费用均由乙方承担。保修期后的货物维护另行协商。</w:t>
      </w:r>
    </w:p>
    <w:p w:rsidR="00C54C61" w:rsidRDefault="00BF3A17">
      <w:pPr>
        <w:spacing w:line="360" w:lineRule="auto"/>
        <w:ind w:firstLine="560"/>
        <w:contextualSpacing/>
        <w:jc w:val="left"/>
        <w:rPr>
          <w:b/>
          <w:szCs w:val="21"/>
        </w:rPr>
      </w:pPr>
      <w:r>
        <w:rPr>
          <w:rFonts w:hint="eastAsia"/>
          <w:b/>
          <w:szCs w:val="21"/>
        </w:rPr>
        <w:t>第七条</w:t>
      </w:r>
      <w:r>
        <w:rPr>
          <w:rFonts w:hint="eastAsia"/>
          <w:b/>
          <w:szCs w:val="21"/>
        </w:rPr>
        <w:t xml:space="preserve">  </w:t>
      </w:r>
      <w:r>
        <w:rPr>
          <w:rFonts w:hint="eastAsia"/>
          <w:b/>
          <w:szCs w:val="21"/>
        </w:rPr>
        <w:t>履约保证金</w:t>
      </w:r>
    </w:p>
    <w:p w:rsidR="00C54C61" w:rsidRDefault="00BF3A17">
      <w:pPr>
        <w:spacing w:line="360" w:lineRule="auto"/>
        <w:ind w:firstLine="560"/>
        <w:contextualSpacing/>
        <w:jc w:val="left"/>
        <w:rPr>
          <w:rFonts w:ascii="宋体" w:hAnsi="宋体"/>
          <w:szCs w:val="21"/>
        </w:rPr>
      </w:pPr>
      <w:r>
        <w:rPr>
          <w:rFonts w:ascii="宋体" w:hAnsi="宋体" w:hint="eastAsia"/>
          <w:szCs w:val="21"/>
        </w:rPr>
        <w:t>1、乙方应在签订本合同之日，向甲方或甲方指定的机构提交履约保证金_________元。</w:t>
      </w:r>
    </w:p>
    <w:p w:rsidR="00C54C61" w:rsidRDefault="00BF3A17">
      <w:pPr>
        <w:spacing w:line="360" w:lineRule="auto"/>
        <w:ind w:firstLine="560"/>
        <w:contextualSpacing/>
        <w:jc w:val="left"/>
        <w:rPr>
          <w:rFonts w:ascii="宋体" w:hAnsi="宋体"/>
          <w:szCs w:val="21"/>
        </w:rPr>
      </w:pPr>
      <w:r>
        <w:rPr>
          <w:rFonts w:ascii="宋体" w:hAnsi="宋体" w:hint="eastAsia"/>
          <w:szCs w:val="21"/>
        </w:rPr>
        <w:t>2、如乙方未能履行合同规定的义务，甲方有权从履约保证金中取得补偿。</w:t>
      </w:r>
    </w:p>
    <w:p w:rsidR="00C54C61" w:rsidRDefault="00BF3A17">
      <w:pPr>
        <w:spacing w:line="360" w:lineRule="auto"/>
        <w:ind w:firstLine="560"/>
        <w:contextualSpacing/>
        <w:jc w:val="left"/>
        <w:rPr>
          <w:rFonts w:ascii="宋体" w:hAnsi="宋体"/>
          <w:szCs w:val="21"/>
        </w:rPr>
      </w:pPr>
      <w:r>
        <w:rPr>
          <w:rFonts w:ascii="宋体" w:hAnsi="宋体" w:hint="eastAsia"/>
          <w:szCs w:val="21"/>
        </w:rPr>
        <w:t>3、甲方在乙方履行完毕本合同项下全部义务后______天内无息退还乙方。</w:t>
      </w:r>
    </w:p>
    <w:p w:rsidR="00C54C61" w:rsidRDefault="00C54C61">
      <w:pPr>
        <w:spacing w:line="360" w:lineRule="auto"/>
        <w:ind w:firstLine="560"/>
        <w:contextualSpacing/>
        <w:jc w:val="left"/>
        <w:rPr>
          <w:rFonts w:ascii="宋体" w:hAnsi="宋体"/>
          <w:szCs w:val="21"/>
        </w:rPr>
      </w:pPr>
    </w:p>
    <w:p w:rsidR="00C54C61" w:rsidRDefault="00BF3A17">
      <w:pPr>
        <w:spacing w:line="360" w:lineRule="auto"/>
        <w:ind w:firstLine="560"/>
        <w:contextualSpacing/>
        <w:jc w:val="left"/>
        <w:rPr>
          <w:b/>
          <w:szCs w:val="21"/>
        </w:rPr>
      </w:pPr>
      <w:r>
        <w:rPr>
          <w:rFonts w:hint="eastAsia"/>
          <w:b/>
          <w:szCs w:val="21"/>
        </w:rPr>
        <w:t>第八条</w:t>
      </w:r>
      <w:r>
        <w:rPr>
          <w:rFonts w:hint="eastAsia"/>
          <w:b/>
          <w:szCs w:val="21"/>
        </w:rPr>
        <w:t xml:space="preserve">   </w:t>
      </w:r>
      <w:r>
        <w:rPr>
          <w:rFonts w:hint="eastAsia"/>
          <w:b/>
          <w:szCs w:val="21"/>
        </w:rPr>
        <w:t>货款支付</w:t>
      </w:r>
    </w:p>
    <w:p w:rsidR="00C54C61" w:rsidRDefault="00C54C61">
      <w:pPr>
        <w:spacing w:line="360" w:lineRule="auto"/>
        <w:ind w:firstLine="560"/>
        <w:contextualSpacing/>
        <w:jc w:val="left"/>
        <w:rPr>
          <w:szCs w:val="21"/>
        </w:rPr>
      </w:pPr>
    </w:p>
    <w:p w:rsidR="00C54C61" w:rsidRDefault="00BF3A17">
      <w:pPr>
        <w:spacing w:line="360" w:lineRule="auto"/>
        <w:ind w:firstLine="560"/>
        <w:contextualSpacing/>
        <w:jc w:val="left"/>
        <w:rPr>
          <w:b/>
          <w:szCs w:val="21"/>
        </w:rPr>
      </w:pPr>
      <w:r>
        <w:rPr>
          <w:rFonts w:hint="eastAsia"/>
          <w:b/>
          <w:szCs w:val="21"/>
        </w:rPr>
        <w:t>第九条</w:t>
      </w:r>
      <w:r>
        <w:rPr>
          <w:rFonts w:hint="eastAsia"/>
          <w:b/>
          <w:szCs w:val="21"/>
        </w:rPr>
        <w:t xml:space="preserve">    </w:t>
      </w:r>
      <w:r>
        <w:rPr>
          <w:rFonts w:hint="eastAsia"/>
          <w:b/>
          <w:szCs w:val="21"/>
        </w:rPr>
        <w:t>违约责任</w:t>
      </w:r>
    </w:p>
    <w:p w:rsidR="00C54C61" w:rsidRDefault="00BF3A17">
      <w:pPr>
        <w:spacing w:line="360" w:lineRule="auto"/>
        <w:ind w:firstLine="560"/>
        <w:contextualSpacing/>
        <w:jc w:val="left"/>
        <w:rPr>
          <w:rFonts w:ascii="宋体" w:hAnsi="宋体"/>
          <w:szCs w:val="21"/>
        </w:rPr>
      </w:pPr>
      <w:r>
        <w:rPr>
          <w:rFonts w:ascii="宋体" w:hAnsi="宋体" w:hint="eastAsia"/>
          <w:szCs w:val="21"/>
        </w:rPr>
        <w:t>１、甲方无正当理由拒收货物、拒付货物款的，由甲方向乙方偿付合同总价的【】%违约金。</w:t>
      </w:r>
    </w:p>
    <w:p w:rsidR="00C54C61" w:rsidRDefault="00BF3A17">
      <w:pPr>
        <w:spacing w:line="360" w:lineRule="auto"/>
        <w:ind w:firstLine="560"/>
        <w:contextualSpacing/>
        <w:jc w:val="left"/>
        <w:rPr>
          <w:rFonts w:ascii="宋体" w:hAnsi="宋体"/>
          <w:szCs w:val="21"/>
        </w:rPr>
      </w:pPr>
      <w:r>
        <w:rPr>
          <w:rFonts w:ascii="宋体" w:hAnsi="宋体" w:hint="eastAsia"/>
          <w:szCs w:val="21"/>
        </w:rPr>
        <w:t>２、甲方未按合同规定的期限向乙方支付货款的，每逾期1天甲方向乙方偿付欠款总额的【】‰滞纳金，但累计滞纳金总额不超过欠款总额的【】% 。</w:t>
      </w:r>
    </w:p>
    <w:p w:rsidR="00C54C61" w:rsidRDefault="00BF3A17">
      <w:pPr>
        <w:spacing w:line="360" w:lineRule="auto"/>
        <w:ind w:firstLine="560"/>
        <w:contextualSpacing/>
        <w:jc w:val="left"/>
        <w:rPr>
          <w:rFonts w:ascii="宋体" w:hAnsi="宋体"/>
          <w:szCs w:val="21"/>
        </w:rPr>
      </w:pPr>
      <w:r>
        <w:rPr>
          <w:rFonts w:ascii="宋体" w:hAnsi="宋体" w:hint="eastAsia"/>
          <w:szCs w:val="21"/>
        </w:rPr>
        <w:t>３、</w:t>
      </w:r>
      <w:r>
        <w:rPr>
          <w:rFonts w:ascii="宋体" w:hAnsi="宋体"/>
          <w:szCs w:val="21"/>
        </w:rPr>
        <w:t>乙方逾期交付货物的，每逾期1天，乙方向甲方偿付逾期交货部分货款总额的</w:t>
      </w:r>
      <w:r>
        <w:rPr>
          <w:rFonts w:ascii="宋体" w:hAnsi="宋体" w:hint="eastAsia"/>
          <w:szCs w:val="21"/>
        </w:rPr>
        <w:t>【】</w:t>
      </w:r>
      <w:r>
        <w:rPr>
          <w:rFonts w:ascii="宋体" w:hAnsi="宋体"/>
          <w:szCs w:val="21"/>
        </w:rPr>
        <w:t>‰的滞纳金</w:t>
      </w:r>
      <w:r>
        <w:rPr>
          <w:rFonts w:ascii="宋体" w:hAnsi="宋体" w:hint="eastAsia"/>
          <w:szCs w:val="21"/>
        </w:rPr>
        <w:t>。如乙方逾期交货达</w:t>
      </w:r>
      <w:r>
        <w:rPr>
          <w:rFonts w:ascii="宋体" w:hAnsi="宋体" w:hint="eastAsia"/>
          <w:szCs w:val="21"/>
          <w:u w:val="single"/>
        </w:rPr>
        <w:t xml:space="preserve">    </w:t>
      </w:r>
      <w:r>
        <w:rPr>
          <w:rFonts w:ascii="宋体" w:hAnsi="宋体" w:hint="eastAsia"/>
          <w:szCs w:val="21"/>
        </w:rPr>
        <w:t>天，甲方有权解除合同，履约保证金不予退回，同时乙方应向甲方支付合同总价【】％的违约金。</w:t>
      </w:r>
    </w:p>
    <w:p w:rsidR="00C54C61" w:rsidRDefault="00BF3A17">
      <w:pPr>
        <w:spacing w:line="360" w:lineRule="auto"/>
        <w:ind w:firstLine="560"/>
        <w:contextualSpacing/>
        <w:jc w:val="left"/>
        <w:rPr>
          <w:rFonts w:ascii="宋体" w:hAnsi="宋体"/>
          <w:szCs w:val="21"/>
        </w:rPr>
      </w:pPr>
      <w:r>
        <w:rPr>
          <w:rFonts w:ascii="宋体" w:hAnsi="宋体" w:hint="eastAsia"/>
          <w:szCs w:val="21"/>
        </w:rPr>
        <w:t>4、乙方所交付的货物品种、型号、规格不符合合同规定的，甲方有权拒收。甲方拒收的，乙方应向甲方支付货款总额【】%的违约金。</w:t>
      </w:r>
    </w:p>
    <w:p w:rsidR="00C54C61" w:rsidRDefault="00BF3A17">
      <w:pPr>
        <w:spacing w:line="360" w:lineRule="auto"/>
        <w:ind w:firstLine="560"/>
        <w:contextualSpacing/>
        <w:jc w:val="left"/>
        <w:rPr>
          <w:rFonts w:ascii="宋体" w:hAnsi="宋体"/>
          <w:szCs w:val="21"/>
        </w:rPr>
      </w:pPr>
      <w:r>
        <w:rPr>
          <w:rFonts w:ascii="宋体" w:hAnsi="宋体" w:hint="eastAsia"/>
          <w:szCs w:val="21"/>
        </w:rPr>
        <w:t>5、在乙方承诺的或国家规定的质量保证期内（取两者中最长的期限），</w:t>
      </w:r>
      <w:r>
        <w:rPr>
          <w:rFonts w:ascii="宋体" w:hAnsi="宋体"/>
          <w:szCs w:val="21"/>
        </w:rPr>
        <w:t>如经乙方两次维修</w:t>
      </w:r>
      <w:r>
        <w:rPr>
          <w:rFonts w:ascii="宋体" w:hAnsi="宋体" w:hint="eastAsia"/>
          <w:szCs w:val="21"/>
        </w:rPr>
        <w:t>或更换</w:t>
      </w:r>
      <w:r>
        <w:rPr>
          <w:rFonts w:ascii="宋体" w:hAnsi="宋体"/>
          <w:szCs w:val="21"/>
        </w:rPr>
        <w:t>，货物仍不能达到合同约定</w:t>
      </w:r>
      <w:r>
        <w:rPr>
          <w:rFonts w:ascii="宋体" w:hAnsi="宋体" w:hint="eastAsia"/>
          <w:szCs w:val="21"/>
        </w:rPr>
        <w:t>的</w:t>
      </w:r>
      <w:r>
        <w:rPr>
          <w:rFonts w:ascii="宋体" w:hAnsi="宋体"/>
          <w:szCs w:val="21"/>
        </w:rPr>
        <w:t>质量标准，甲方有权退货，乙方</w:t>
      </w:r>
      <w:r>
        <w:rPr>
          <w:rFonts w:ascii="宋体" w:hAnsi="宋体" w:hint="eastAsia"/>
          <w:szCs w:val="21"/>
        </w:rPr>
        <w:t>应</w:t>
      </w:r>
      <w:r>
        <w:rPr>
          <w:rFonts w:ascii="宋体" w:hAnsi="宋体"/>
          <w:szCs w:val="21"/>
        </w:rPr>
        <w:t>退回全部货款</w:t>
      </w:r>
      <w:r>
        <w:rPr>
          <w:rFonts w:ascii="宋体" w:hAnsi="宋体" w:hint="eastAsia"/>
          <w:szCs w:val="21"/>
        </w:rPr>
        <w:t>并</w:t>
      </w:r>
      <w:r>
        <w:rPr>
          <w:rFonts w:ascii="宋体" w:hAnsi="宋体"/>
          <w:szCs w:val="21"/>
        </w:rPr>
        <w:t>赔偿甲方因此遭受的损失。</w:t>
      </w:r>
    </w:p>
    <w:p w:rsidR="00C54C61" w:rsidRDefault="00BF3A17">
      <w:pPr>
        <w:spacing w:line="360" w:lineRule="auto"/>
        <w:ind w:firstLine="560"/>
        <w:contextualSpacing/>
        <w:jc w:val="left"/>
        <w:rPr>
          <w:rFonts w:ascii="宋体" w:hAnsi="宋体"/>
          <w:szCs w:val="21"/>
        </w:rPr>
      </w:pPr>
      <w:r>
        <w:rPr>
          <w:rFonts w:ascii="宋体" w:hAnsi="宋体" w:hint="eastAsia"/>
          <w:szCs w:val="21"/>
        </w:rPr>
        <w:t>6、乙方未履行本合同项下的其他义务或违反其在投标文件中的相关承诺的，应按合同总价款的【】%向甲方承担违约责任。</w:t>
      </w:r>
    </w:p>
    <w:p w:rsidR="00C54C61" w:rsidRDefault="00BF3A17">
      <w:pPr>
        <w:spacing w:line="360" w:lineRule="auto"/>
        <w:ind w:firstLine="560"/>
        <w:contextualSpacing/>
        <w:jc w:val="left"/>
        <w:rPr>
          <w:rFonts w:ascii="宋体" w:hAnsi="宋体"/>
          <w:szCs w:val="21"/>
        </w:rPr>
      </w:pPr>
      <w:r>
        <w:rPr>
          <w:rFonts w:ascii="宋体" w:hAnsi="宋体"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rsidR="00C54C61" w:rsidRDefault="00BF3A17">
      <w:pPr>
        <w:spacing w:line="360" w:lineRule="auto"/>
        <w:ind w:firstLine="560"/>
        <w:contextualSpacing/>
        <w:jc w:val="left"/>
        <w:rPr>
          <w:b/>
          <w:szCs w:val="21"/>
        </w:rPr>
      </w:pPr>
      <w:r>
        <w:rPr>
          <w:rFonts w:hint="eastAsia"/>
          <w:b/>
          <w:szCs w:val="21"/>
        </w:rPr>
        <w:t>第十条</w:t>
      </w:r>
      <w:r>
        <w:rPr>
          <w:rFonts w:hint="eastAsia"/>
          <w:b/>
          <w:szCs w:val="21"/>
        </w:rPr>
        <w:t xml:space="preserve">    </w:t>
      </w:r>
      <w:r>
        <w:rPr>
          <w:rFonts w:hint="eastAsia"/>
          <w:b/>
          <w:szCs w:val="21"/>
        </w:rPr>
        <w:t>合同的变更和终止</w:t>
      </w:r>
    </w:p>
    <w:p w:rsidR="00C54C61" w:rsidRDefault="00BF3A17">
      <w:pPr>
        <w:spacing w:line="360" w:lineRule="auto"/>
        <w:ind w:firstLine="560"/>
        <w:contextualSpacing/>
        <w:jc w:val="left"/>
        <w:rPr>
          <w:rFonts w:ascii="宋体" w:hAnsi="宋体"/>
          <w:szCs w:val="21"/>
        </w:rPr>
      </w:pPr>
      <w:r>
        <w:rPr>
          <w:rFonts w:ascii="宋体" w:hAnsi="宋体" w:hint="eastAsia"/>
          <w:szCs w:val="21"/>
        </w:rPr>
        <w:t>除《中华人民共和国政府采购法》第４９条、第５０条第二款规定的情形外，本合同一经签订，甲乙双方不得擅自变更、中止或终止合同。</w:t>
      </w:r>
    </w:p>
    <w:p w:rsidR="00C54C61" w:rsidRDefault="00BF3A17">
      <w:pPr>
        <w:spacing w:line="360" w:lineRule="auto"/>
        <w:ind w:firstLine="560"/>
        <w:contextualSpacing/>
        <w:jc w:val="left"/>
        <w:rPr>
          <w:b/>
          <w:szCs w:val="21"/>
        </w:rPr>
      </w:pPr>
      <w:r>
        <w:rPr>
          <w:rFonts w:hint="eastAsia"/>
          <w:b/>
          <w:szCs w:val="21"/>
        </w:rPr>
        <w:t>第十一条</w:t>
      </w:r>
      <w:r>
        <w:rPr>
          <w:rFonts w:hint="eastAsia"/>
          <w:b/>
          <w:szCs w:val="21"/>
        </w:rPr>
        <w:t xml:space="preserve">   </w:t>
      </w:r>
      <w:r>
        <w:rPr>
          <w:rFonts w:hint="eastAsia"/>
          <w:b/>
          <w:szCs w:val="21"/>
        </w:rPr>
        <w:t>争议的解决</w:t>
      </w:r>
    </w:p>
    <w:p w:rsidR="00C54C61" w:rsidRDefault="00BF3A17">
      <w:pPr>
        <w:spacing w:line="360" w:lineRule="auto"/>
        <w:ind w:firstLine="560"/>
        <w:contextualSpacing/>
        <w:jc w:val="left"/>
        <w:rPr>
          <w:rFonts w:ascii="宋体" w:hAnsi="宋体"/>
          <w:szCs w:val="21"/>
        </w:rPr>
      </w:pPr>
      <w:r>
        <w:rPr>
          <w:rFonts w:ascii="宋体" w:hAnsi="宋体" w:hint="eastAsia"/>
          <w:szCs w:val="21"/>
        </w:rPr>
        <w:t>1、因货物的质量问题发生争议的，应当邀请国家认可的质量检测机构对货物质量进行鉴定。货物符合标准的，鉴定费由甲方承担；货物不符合质量标准的，鉴定费由乙方承担。</w:t>
      </w:r>
    </w:p>
    <w:p w:rsidR="00C54C61" w:rsidRDefault="00BF3A17">
      <w:pPr>
        <w:spacing w:line="360" w:lineRule="auto"/>
        <w:ind w:firstLine="560"/>
        <w:contextualSpacing/>
        <w:jc w:val="left"/>
        <w:rPr>
          <w:rFonts w:ascii="宋体" w:hAnsi="宋体"/>
          <w:szCs w:val="21"/>
        </w:rPr>
      </w:pPr>
      <w:r>
        <w:rPr>
          <w:rFonts w:ascii="宋体" w:hAnsi="宋体" w:hint="eastAsia"/>
          <w:szCs w:val="21"/>
        </w:rPr>
        <w:t>2、因履行本合同引起的或与本合同有关的争议，甲、乙双方应首先通过友好协商解决，如果协商不能解决争议，则向甲方所在地有管辖权的人民法院提起诉讼；</w:t>
      </w:r>
    </w:p>
    <w:p w:rsidR="00C54C61" w:rsidRDefault="00BF3A17">
      <w:pPr>
        <w:spacing w:line="360" w:lineRule="auto"/>
        <w:ind w:firstLine="560"/>
        <w:contextualSpacing/>
        <w:jc w:val="left"/>
        <w:rPr>
          <w:b/>
          <w:szCs w:val="21"/>
        </w:rPr>
      </w:pPr>
      <w:r>
        <w:rPr>
          <w:rFonts w:hint="eastAsia"/>
          <w:b/>
          <w:szCs w:val="21"/>
        </w:rPr>
        <w:t>第十二条</w:t>
      </w:r>
      <w:r>
        <w:rPr>
          <w:rFonts w:hint="eastAsia"/>
          <w:b/>
          <w:szCs w:val="21"/>
        </w:rPr>
        <w:t xml:space="preserve">   </w:t>
      </w:r>
      <w:r>
        <w:rPr>
          <w:rFonts w:hint="eastAsia"/>
          <w:b/>
          <w:szCs w:val="21"/>
        </w:rPr>
        <w:t>合同生效及其他</w:t>
      </w:r>
    </w:p>
    <w:p w:rsidR="00C54C61" w:rsidRDefault="00BF3A17">
      <w:pPr>
        <w:spacing w:line="360" w:lineRule="auto"/>
        <w:ind w:firstLine="560"/>
        <w:contextualSpacing/>
        <w:jc w:val="left"/>
        <w:rPr>
          <w:rFonts w:ascii="宋体" w:hAnsi="宋体"/>
          <w:szCs w:val="21"/>
        </w:rPr>
      </w:pPr>
      <w:r>
        <w:rPr>
          <w:rFonts w:ascii="宋体" w:hAnsi="宋体" w:hint="eastAsia"/>
          <w:szCs w:val="21"/>
        </w:rPr>
        <w:t>1、下列文件均为本合同的组成部分：</w:t>
      </w:r>
    </w:p>
    <w:p w:rsidR="00C54C61" w:rsidRDefault="00BF3A17">
      <w:pPr>
        <w:spacing w:line="360" w:lineRule="auto"/>
        <w:ind w:firstLine="560"/>
        <w:contextualSpacing/>
        <w:jc w:val="left"/>
        <w:rPr>
          <w:rFonts w:ascii="宋体" w:hAnsi="宋体"/>
          <w:szCs w:val="21"/>
        </w:rPr>
      </w:pPr>
      <w:r>
        <w:rPr>
          <w:rFonts w:ascii="宋体" w:hAnsi="宋体" w:hint="eastAsia"/>
          <w:szCs w:val="21"/>
        </w:rPr>
        <w:t>（1）</w:t>
      </w:r>
      <w:r>
        <w:rPr>
          <w:rFonts w:ascii="宋体" w:hAnsi="宋体" w:hint="eastAsia"/>
          <w:szCs w:val="21"/>
          <w:u w:val="single"/>
        </w:rPr>
        <w:t xml:space="preserve">         </w:t>
      </w:r>
      <w:r>
        <w:rPr>
          <w:rFonts w:ascii="宋体" w:hAnsi="宋体" w:hint="eastAsia"/>
          <w:szCs w:val="21"/>
        </w:rPr>
        <w:t>号招标文件、答疑及补充通知；</w:t>
      </w:r>
    </w:p>
    <w:p w:rsidR="00C54C61" w:rsidRDefault="00BF3A17">
      <w:pPr>
        <w:spacing w:line="360" w:lineRule="auto"/>
        <w:ind w:firstLine="560"/>
        <w:contextualSpacing/>
        <w:jc w:val="left"/>
        <w:rPr>
          <w:rFonts w:ascii="宋体" w:hAnsi="宋体"/>
          <w:szCs w:val="21"/>
        </w:rPr>
      </w:pPr>
      <w:r>
        <w:rPr>
          <w:rFonts w:ascii="宋体" w:hAnsi="宋体" w:hint="eastAsia"/>
          <w:szCs w:val="21"/>
        </w:rPr>
        <w:t>（2）乙方的投标文件；</w:t>
      </w:r>
    </w:p>
    <w:p w:rsidR="00C54C61" w:rsidRDefault="00BF3A17">
      <w:pPr>
        <w:spacing w:line="360" w:lineRule="auto"/>
        <w:ind w:firstLine="560"/>
        <w:contextualSpacing/>
        <w:jc w:val="left"/>
        <w:rPr>
          <w:rFonts w:ascii="宋体" w:hAnsi="宋体"/>
          <w:szCs w:val="21"/>
        </w:rPr>
      </w:pPr>
      <w:r>
        <w:rPr>
          <w:rFonts w:ascii="宋体" w:hAnsi="宋体" w:hint="eastAsia"/>
          <w:szCs w:val="21"/>
        </w:rPr>
        <w:t>（3）本合同执行中甲乙双方共同签署的补充与修正文件。</w:t>
      </w:r>
    </w:p>
    <w:p w:rsidR="00C54C61" w:rsidRDefault="00BF3A17">
      <w:pPr>
        <w:spacing w:line="360" w:lineRule="auto"/>
        <w:ind w:firstLine="560"/>
        <w:contextualSpacing/>
        <w:jc w:val="left"/>
        <w:rPr>
          <w:rFonts w:ascii="宋体" w:hAnsi="宋体"/>
          <w:szCs w:val="21"/>
        </w:rPr>
      </w:pPr>
      <w:r>
        <w:rPr>
          <w:rFonts w:ascii="宋体" w:hAnsi="宋体" w:hint="eastAsia"/>
          <w:szCs w:val="21"/>
        </w:rPr>
        <w:t>2、本合同一式</w:t>
      </w:r>
      <w:r>
        <w:rPr>
          <w:rFonts w:ascii="宋体" w:hAnsi="宋体" w:hint="eastAsia"/>
          <w:szCs w:val="21"/>
          <w:u w:val="single"/>
        </w:rPr>
        <w:t xml:space="preserve">     </w:t>
      </w:r>
      <w:r>
        <w:rPr>
          <w:rFonts w:ascii="宋体" w:hAnsi="宋体" w:hint="eastAsia"/>
          <w:szCs w:val="21"/>
        </w:rPr>
        <w:t>份，甲、乙方双方各执</w:t>
      </w:r>
      <w:r>
        <w:rPr>
          <w:rFonts w:ascii="宋体" w:hAnsi="宋体" w:hint="eastAsia"/>
          <w:szCs w:val="21"/>
          <w:u w:val="single"/>
        </w:rPr>
        <w:t xml:space="preserve">     </w:t>
      </w:r>
      <w:r>
        <w:rPr>
          <w:rFonts w:ascii="宋体" w:hAnsi="宋体" w:hint="eastAsia"/>
          <w:szCs w:val="21"/>
        </w:rPr>
        <w:t>份，具有同等法律效力。本合同自双方法定代表人（或授权代表）签字并盖章之日起生效。</w:t>
      </w:r>
    </w:p>
    <w:p w:rsidR="00C54C61" w:rsidRDefault="00C54C61">
      <w:pPr>
        <w:spacing w:line="360" w:lineRule="auto"/>
        <w:ind w:firstLine="560"/>
        <w:contextualSpacing/>
        <w:jc w:val="left"/>
        <w:rPr>
          <w:rFonts w:ascii="宋体" w:hAnsi="宋体"/>
          <w:szCs w:val="21"/>
        </w:rPr>
      </w:pPr>
    </w:p>
    <w:p w:rsidR="00C54C61" w:rsidRDefault="00C54C61">
      <w:pPr>
        <w:spacing w:line="360" w:lineRule="auto"/>
        <w:ind w:firstLine="560"/>
        <w:contextualSpacing/>
        <w:jc w:val="left"/>
        <w:rPr>
          <w:rFonts w:ascii="宋体" w:hAnsi="宋体"/>
          <w:szCs w:val="21"/>
        </w:rPr>
      </w:pPr>
    </w:p>
    <w:p w:rsidR="00C54C61" w:rsidRDefault="00BF3A17">
      <w:pPr>
        <w:spacing w:line="360" w:lineRule="auto"/>
        <w:ind w:firstLine="560"/>
        <w:contextualSpacing/>
        <w:jc w:val="left"/>
        <w:rPr>
          <w:rFonts w:ascii="宋体" w:hAnsi="宋体"/>
          <w:szCs w:val="21"/>
        </w:rPr>
      </w:pPr>
      <w:r>
        <w:rPr>
          <w:rFonts w:ascii="宋体" w:hAnsi="宋体" w:hint="eastAsia"/>
          <w:szCs w:val="21"/>
        </w:rPr>
        <w:t>甲方（采购人）：   （盖章）       乙方（供应商）：    （盖章）</w:t>
      </w:r>
    </w:p>
    <w:p w:rsidR="00C54C61" w:rsidRDefault="00BF3A17">
      <w:pPr>
        <w:spacing w:line="360" w:lineRule="auto"/>
        <w:ind w:firstLine="560"/>
        <w:contextualSpacing/>
        <w:jc w:val="left"/>
        <w:rPr>
          <w:rFonts w:ascii="宋体" w:hAnsi="宋体"/>
          <w:szCs w:val="21"/>
        </w:rPr>
      </w:pPr>
      <w:r>
        <w:rPr>
          <w:rFonts w:ascii="宋体" w:hAnsi="宋体" w:hint="eastAsia"/>
          <w:szCs w:val="21"/>
        </w:rPr>
        <w:t xml:space="preserve">法定代表人：                     法定代表人： </w:t>
      </w:r>
    </w:p>
    <w:p w:rsidR="00C54C61" w:rsidRDefault="00BF3A17">
      <w:pPr>
        <w:spacing w:line="360" w:lineRule="auto"/>
        <w:ind w:firstLine="560"/>
        <w:contextualSpacing/>
        <w:jc w:val="left"/>
        <w:rPr>
          <w:rFonts w:ascii="宋体" w:hAnsi="宋体"/>
          <w:szCs w:val="21"/>
        </w:rPr>
      </w:pPr>
      <w:r>
        <w:rPr>
          <w:rFonts w:ascii="宋体" w:hAnsi="宋体" w:hint="eastAsia"/>
          <w:szCs w:val="21"/>
        </w:rPr>
        <w:t>委托代理人：                     委托代理人：</w:t>
      </w:r>
    </w:p>
    <w:p w:rsidR="00C54C61" w:rsidRDefault="00BF3A17">
      <w:pPr>
        <w:spacing w:line="360" w:lineRule="auto"/>
        <w:ind w:firstLineChars="250" w:firstLine="525"/>
        <w:contextualSpacing/>
        <w:rPr>
          <w:rFonts w:ascii="宋体" w:hAnsi="宋体"/>
          <w:b/>
          <w:szCs w:val="21"/>
        </w:rPr>
      </w:pPr>
      <w:r>
        <w:rPr>
          <w:rFonts w:ascii="宋体" w:hAnsi="宋体" w:hint="eastAsia"/>
          <w:szCs w:val="21"/>
        </w:rPr>
        <w:t>日期：   年     月    日         日期：   年     月    日</w:t>
      </w:r>
    </w:p>
    <w:p w:rsidR="00C54C61" w:rsidRDefault="00C54C61">
      <w:pPr>
        <w:spacing w:line="360" w:lineRule="auto"/>
        <w:contextualSpacing/>
      </w:pPr>
    </w:p>
    <w:p w:rsidR="00C54C61" w:rsidRDefault="00C54C61">
      <w:pPr>
        <w:spacing w:line="360" w:lineRule="auto"/>
        <w:contextualSpacing/>
        <w:rPr>
          <w:rFonts w:ascii="宋体" w:hAnsi="宋体"/>
          <w:szCs w:val="21"/>
        </w:rPr>
      </w:pPr>
    </w:p>
    <w:p w:rsidR="00C54C61" w:rsidRDefault="00BF3A17">
      <w:pPr>
        <w:pStyle w:val="30"/>
        <w:spacing w:before="0" w:after="0" w:line="360" w:lineRule="auto"/>
        <w:contextualSpacing/>
        <w:jc w:val="center"/>
        <w:rPr>
          <w:rFonts w:ascii="黑体" w:eastAsia="黑体"/>
          <w:b w:val="0"/>
          <w:kern w:val="0"/>
          <w:sz w:val="24"/>
          <w:szCs w:val="24"/>
        </w:rPr>
      </w:pPr>
      <w:r>
        <w:rPr>
          <w:rFonts w:ascii="黑体" w:eastAsia="黑体" w:hint="eastAsia"/>
          <w:b w:val="0"/>
          <w:kern w:val="0"/>
          <w:sz w:val="24"/>
          <w:szCs w:val="24"/>
        </w:rPr>
        <w:t>三、政府采购履约情况反馈表</w:t>
      </w:r>
    </w:p>
    <w:p w:rsidR="00C54C61" w:rsidRDefault="00BF3A17">
      <w:pPr>
        <w:spacing w:line="360" w:lineRule="auto"/>
        <w:contextualSpacing/>
        <w:rPr>
          <w:rFonts w:ascii="宋体" w:hAnsi="宋体"/>
          <w:b/>
          <w:szCs w:val="21"/>
        </w:rPr>
      </w:pPr>
      <w:r>
        <w:rPr>
          <w:rFonts w:ascii="宋体" w:hAnsi="宋体" w:hint="eastAsia"/>
          <w:b/>
          <w:szCs w:val="21"/>
        </w:rPr>
        <w:t>采购人名称：                       联系人及电话：</w:t>
      </w:r>
    </w:p>
    <w:p w:rsidR="00C54C61" w:rsidRDefault="00C54C61">
      <w:pPr>
        <w:spacing w:line="360" w:lineRule="auto"/>
        <w:contextualSpacing/>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C54C61">
        <w:trPr>
          <w:trHeight w:val="450"/>
          <w:jc w:val="center"/>
        </w:trPr>
        <w:tc>
          <w:tcPr>
            <w:tcW w:w="2282" w:type="dxa"/>
            <w:gridSpan w:val="3"/>
            <w:vAlign w:val="center"/>
          </w:tcPr>
          <w:p w:rsidR="00C54C61" w:rsidRDefault="00BF3A17">
            <w:pPr>
              <w:spacing w:line="360" w:lineRule="auto"/>
              <w:contextualSpacing/>
              <w:jc w:val="center"/>
              <w:rPr>
                <w:rFonts w:ascii="宋体" w:hAnsi="宋体"/>
                <w:szCs w:val="21"/>
              </w:rPr>
            </w:pPr>
            <w:r>
              <w:rPr>
                <w:rFonts w:ascii="宋体" w:hAnsi="宋体" w:hint="eastAsia"/>
                <w:szCs w:val="21"/>
              </w:rPr>
              <w:t>采购项目名称</w:t>
            </w:r>
          </w:p>
        </w:tc>
        <w:tc>
          <w:tcPr>
            <w:tcW w:w="2520" w:type="dxa"/>
            <w:vAlign w:val="center"/>
          </w:tcPr>
          <w:p w:rsidR="00C54C61" w:rsidRDefault="00C54C61">
            <w:pPr>
              <w:spacing w:line="360" w:lineRule="auto"/>
              <w:contextualSpacing/>
              <w:jc w:val="center"/>
              <w:rPr>
                <w:rFonts w:ascii="宋体" w:hAnsi="宋体"/>
                <w:szCs w:val="21"/>
              </w:rPr>
            </w:pPr>
          </w:p>
        </w:tc>
        <w:tc>
          <w:tcPr>
            <w:tcW w:w="1980" w:type="dxa"/>
            <w:vAlign w:val="center"/>
          </w:tcPr>
          <w:p w:rsidR="00C54C61" w:rsidRDefault="00BF3A17">
            <w:pPr>
              <w:spacing w:line="360" w:lineRule="auto"/>
              <w:contextualSpacing/>
              <w:jc w:val="center"/>
              <w:rPr>
                <w:rFonts w:ascii="宋体" w:hAnsi="宋体"/>
                <w:szCs w:val="21"/>
              </w:rPr>
            </w:pPr>
            <w:r>
              <w:rPr>
                <w:rFonts w:ascii="宋体" w:hAnsi="宋体" w:hint="eastAsia"/>
                <w:szCs w:val="21"/>
              </w:rPr>
              <w:t>项目编号</w:t>
            </w:r>
          </w:p>
        </w:tc>
        <w:tc>
          <w:tcPr>
            <w:tcW w:w="2135" w:type="dxa"/>
            <w:vAlign w:val="center"/>
          </w:tcPr>
          <w:p w:rsidR="00C54C61" w:rsidRDefault="00C54C61">
            <w:pPr>
              <w:spacing w:line="360" w:lineRule="auto"/>
              <w:contextualSpacing/>
              <w:jc w:val="center"/>
              <w:rPr>
                <w:rFonts w:ascii="宋体" w:hAnsi="宋体"/>
                <w:szCs w:val="21"/>
              </w:rPr>
            </w:pPr>
          </w:p>
        </w:tc>
      </w:tr>
      <w:tr w:rsidR="00C54C61">
        <w:trPr>
          <w:trHeight w:val="461"/>
          <w:jc w:val="center"/>
        </w:trPr>
        <w:tc>
          <w:tcPr>
            <w:tcW w:w="2282" w:type="dxa"/>
            <w:gridSpan w:val="3"/>
            <w:vAlign w:val="center"/>
          </w:tcPr>
          <w:p w:rsidR="00C54C61" w:rsidRDefault="00BF3A17">
            <w:pPr>
              <w:spacing w:line="360" w:lineRule="auto"/>
              <w:contextualSpacing/>
              <w:jc w:val="center"/>
              <w:rPr>
                <w:rFonts w:ascii="宋体" w:hAnsi="宋体"/>
                <w:szCs w:val="21"/>
              </w:rPr>
            </w:pPr>
            <w:r>
              <w:rPr>
                <w:rFonts w:ascii="宋体" w:hAnsi="宋体" w:hint="eastAsia"/>
                <w:szCs w:val="21"/>
              </w:rPr>
              <w:t>中标供应商名称</w:t>
            </w:r>
          </w:p>
        </w:tc>
        <w:tc>
          <w:tcPr>
            <w:tcW w:w="2520" w:type="dxa"/>
            <w:vAlign w:val="center"/>
          </w:tcPr>
          <w:p w:rsidR="00C54C61" w:rsidRDefault="00C54C61">
            <w:pPr>
              <w:spacing w:line="360" w:lineRule="auto"/>
              <w:contextualSpacing/>
              <w:jc w:val="center"/>
              <w:rPr>
                <w:rFonts w:ascii="宋体" w:hAnsi="宋体"/>
                <w:szCs w:val="21"/>
              </w:rPr>
            </w:pPr>
          </w:p>
        </w:tc>
        <w:tc>
          <w:tcPr>
            <w:tcW w:w="1980" w:type="dxa"/>
            <w:vAlign w:val="center"/>
          </w:tcPr>
          <w:p w:rsidR="00C54C61" w:rsidRDefault="00BF3A17">
            <w:pPr>
              <w:spacing w:line="360" w:lineRule="auto"/>
              <w:contextualSpacing/>
              <w:jc w:val="center"/>
              <w:rPr>
                <w:rFonts w:ascii="宋体" w:hAnsi="宋体"/>
                <w:szCs w:val="21"/>
              </w:rPr>
            </w:pPr>
            <w:r>
              <w:rPr>
                <w:rFonts w:ascii="宋体" w:hAnsi="宋体" w:hint="eastAsia"/>
                <w:szCs w:val="21"/>
              </w:rPr>
              <w:t>供应商</w:t>
            </w:r>
          </w:p>
          <w:p w:rsidR="00C54C61" w:rsidRDefault="00BF3A17">
            <w:pPr>
              <w:spacing w:line="360" w:lineRule="auto"/>
              <w:contextualSpacing/>
              <w:jc w:val="center"/>
              <w:rPr>
                <w:rFonts w:ascii="宋体" w:hAnsi="宋体"/>
                <w:szCs w:val="21"/>
              </w:rPr>
            </w:pPr>
            <w:r>
              <w:rPr>
                <w:rFonts w:ascii="宋体" w:hAnsi="宋体" w:hint="eastAsia"/>
                <w:szCs w:val="21"/>
              </w:rPr>
              <w:t>联系人及电话</w:t>
            </w:r>
          </w:p>
        </w:tc>
        <w:tc>
          <w:tcPr>
            <w:tcW w:w="2135" w:type="dxa"/>
            <w:vAlign w:val="center"/>
          </w:tcPr>
          <w:p w:rsidR="00C54C61" w:rsidRDefault="00C54C61">
            <w:pPr>
              <w:spacing w:line="360" w:lineRule="auto"/>
              <w:contextualSpacing/>
              <w:jc w:val="center"/>
              <w:rPr>
                <w:rFonts w:ascii="宋体" w:hAnsi="宋体"/>
                <w:szCs w:val="21"/>
              </w:rPr>
            </w:pPr>
          </w:p>
        </w:tc>
      </w:tr>
      <w:tr w:rsidR="00C54C61">
        <w:trPr>
          <w:trHeight w:val="438"/>
          <w:jc w:val="center"/>
        </w:trPr>
        <w:tc>
          <w:tcPr>
            <w:tcW w:w="2282" w:type="dxa"/>
            <w:gridSpan w:val="3"/>
            <w:vAlign w:val="center"/>
          </w:tcPr>
          <w:p w:rsidR="00C54C61" w:rsidRDefault="00BF3A17">
            <w:pPr>
              <w:spacing w:line="360" w:lineRule="auto"/>
              <w:contextualSpacing/>
              <w:jc w:val="center"/>
              <w:rPr>
                <w:rFonts w:ascii="宋体" w:hAnsi="宋体"/>
                <w:szCs w:val="21"/>
              </w:rPr>
            </w:pPr>
            <w:r>
              <w:rPr>
                <w:rFonts w:ascii="宋体" w:hAnsi="宋体" w:hint="eastAsia"/>
                <w:szCs w:val="21"/>
              </w:rPr>
              <w:t>中标金额</w:t>
            </w:r>
          </w:p>
        </w:tc>
        <w:tc>
          <w:tcPr>
            <w:tcW w:w="2520" w:type="dxa"/>
            <w:vAlign w:val="center"/>
          </w:tcPr>
          <w:p w:rsidR="00C54C61" w:rsidRDefault="00C54C61">
            <w:pPr>
              <w:spacing w:line="360" w:lineRule="auto"/>
              <w:contextualSpacing/>
              <w:jc w:val="center"/>
              <w:rPr>
                <w:rFonts w:ascii="宋体" w:hAnsi="宋体"/>
                <w:szCs w:val="21"/>
              </w:rPr>
            </w:pPr>
          </w:p>
        </w:tc>
        <w:tc>
          <w:tcPr>
            <w:tcW w:w="1980" w:type="dxa"/>
            <w:vAlign w:val="center"/>
          </w:tcPr>
          <w:p w:rsidR="00C54C61" w:rsidRDefault="00BF3A17">
            <w:pPr>
              <w:spacing w:line="360" w:lineRule="auto"/>
              <w:contextualSpacing/>
              <w:jc w:val="center"/>
              <w:rPr>
                <w:rFonts w:ascii="宋体" w:hAnsi="宋体"/>
                <w:szCs w:val="21"/>
              </w:rPr>
            </w:pPr>
            <w:r>
              <w:rPr>
                <w:rFonts w:ascii="宋体" w:hAnsi="宋体" w:hint="eastAsia"/>
                <w:szCs w:val="21"/>
              </w:rPr>
              <w:t>合同履约时间</w:t>
            </w:r>
          </w:p>
        </w:tc>
        <w:tc>
          <w:tcPr>
            <w:tcW w:w="2135" w:type="dxa"/>
            <w:vAlign w:val="center"/>
          </w:tcPr>
          <w:p w:rsidR="00C54C61" w:rsidRDefault="00BF3A17">
            <w:pPr>
              <w:spacing w:line="360" w:lineRule="auto"/>
              <w:contextualSpacing/>
              <w:rPr>
                <w:rFonts w:ascii="宋体" w:hAnsi="宋体"/>
                <w:szCs w:val="21"/>
              </w:rPr>
            </w:pPr>
            <w:r>
              <w:rPr>
                <w:rFonts w:ascii="宋体" w:hAnsi="宋体" w:hint="eastAsia"/>
                <w:szCs w:val="21"/>
              </w:rPr>
              <w:t>自       至</w:t>
            </w:r>
          </w:p>
        </w:tc>
      </w:tr>
      <w:tr w:rsidR="00C54C61">
        <w:trPr>
          <w:trHeight w:val="544"/>
          <w:jc w:val="center"/>
        </w:trPr>
        <w:tc>
          <w:tcPr>
            <w:tcW w:w="842" w:type="dxa"/>
            <w:vMerge w:val="restart"/>
            <w:vAlign w:val="center"/>
          </w:tcPr>
          <w:p w:rsidR="00C54C61" w:rsidRDefault="00BF3A17">
            <w:pPr>
              <w:spacing w:line="360" w:lineRule="auto"/>
              <w:contextualSpacing/>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rsidR="00C54C61" w:rsidRDefault="00BF3A17">
            <w:pPr>
              <w:spacing w:line="360" w:lineRule="auto"/>
              <w:ind w:firstLineChars="50" w:firstLine="105"/>
              <w:contextualSpacing/>
              <w:jc w:val="center"/>
              <w:rPr>
                <w:rFonts w:ascii="宋体" w:hAnsi="宋体"/>
                <w:szCs w:val="21"/>
              </w:rPr>
            </w:pPr>
            <w:r>
              <w:rPr>
                <w:rFonts w:ascii="宋体" w:hAnsi="宋体" w:hint="eastAsia"/>
                <w:szCs w:val="21"/>
              </w:rPr>
              <w:t>□ 优          □ 良          □ 中           □ 差</w:t>
            </w:r>
          </w:p>
        </w:tc>
      </w:tr>
      <w:tr w:rsidR="00C54C61">
        <w:trPr>
          <w:trHeight w:val="458"/>
          <w:jc w:val="center"/>
        </w:trPr>
        <w:tc>
          <w:tcPr>
            <w:tcW w:w="842" w:type="dxa"/>
            <w:vMerge/>
            <w:vAlign w:val="center"/>
          </w:tcPr>
          <w:p w:rsidR="00C54C61" w:rsidRDefault="00C54C61">
            <w:pPr>
              <w:spacing w:line="360" w:lineRule="auto"/>
              <w:contextualSpacing/>
              <w:jc w:val="center"/>
              <w:rPr>
                <w:rFonts w:ascii="宋体" w:hAnsi="宋体"/>
                <w:szCs w:val="21"/>
              </w:rPr>
            </w:pPr>
          </w:p>
        </w:tc>
        <w:tc>
          <w:tcPr>
            <w:tcW w:w="720" w:type="dxa"/>
            <w:vMerge w:val="restart"/>
            <w:tcBorders>
              <w:righ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 xml:space="preserve"> □ 优          □ 良          □ 中           □ 差</w:t>
            </w:r>
          </w:p>
        </w:tc>
      </w:tr>
      <w:tr w:rsidR="00C54C61">
        <w:trPr>
          <w:trHeight w:val="458"/>
          <w:jc w:val="center"/>
        </w:trPr>
        <w:tc>
          <w:tcPr>
            <w:tcW w:w="842" w:type="dxa"/>
            <w:vMerge/>
            <w:vAlign w:val="center"/>
          </w:tcPr>
          <w:p w:rsidR="00C54C61" w:rsidRDefault="00C54C61">
            <w:pPr>
              <w:spacing w:line="360" w:lineRule="auto"/>
              <w:contextualSpacing/>
              <w:jc w:val="center"/>
              <w:rPr>
                <w:rFonts w:ascii="宋体" w:hAnsi="宋体"/>
                <w:szCs w:val="21"/>
              </w:rPr>
            </w:pPr>
          </w:p>
        </w:tc>
        <w:tc>
          <w:tcPr>
            <w:tcW w:w="720" w:type="dxa"/>
            <w:vMerge/>
            <w:tcBorders>
              <w:right w:val="single" w:sz="4" w:space="0" w:color="auto"/>
            </w:tcBorders>
            <w:vAlign w:val="center"/>
          </w:tcPr>
          <w:p w:rsidR="00C54C61" w:rsidRDefault="00C54C61">
            <w:pPr>
              <w:spacing w:line="360" w:lineRule="auto"/>
              <w:contextualSpacing/>
              <w:jc w:val="center"/>
              <w:rPr>
                <w:rFonts w:ascii="宋体" w:hAnsi="宋体"/>
                <w:szCs w:val="21"/>
              </w:rPr>
            </w:pPr>
          </w:p>
        </w:tc>
        <w:tc>
          <w:tcPr>
            <w:tcW w:w="720" w:type="dxa"/>
            <w:tcBorders>
              <w:left w:val="single" w:sz="4" w:space="0" w:color="auto"/>
              <w:righ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 xml:space="preserve"> □ 优          □ 良          □ 中           □ 差</w:t>
            </w:r>
          </w:p>
        </w:tc>
      </w:tr>
      <w:tr w:rsidR="00C54C61">
        <w:trPr>
          <w:trHeight w:val="458"/>
          <w:jc w:val="center"/>
        </w:trPr>
        <w:tc>
          <w:tcPr>
            <w:tcW w:w="842" w:type="dxa"/>
            <w:vMerge/>
            <w:vAlign w:val="center"/>
          </w:tcPr>
          <w:p w:rsidR="00C54C61" w:rsidRDefault="00C54C61">
            <w:pPr>
              <w:spacing w:line="360" w:lineRule="auto"/>
              <w:contextualSpacing/>
              <w:jc w:val="center"/>
              <w:rPr>
                <w:rFonts w:ascii="宋体" w:hAnsi="宋体"/>
                <w:szCs w:val="21"/>
              </w:rPr>
            </w:pPr>
          </w:p>
        </w:tc>
        <w:tc>
          <w:tcPr>
            <w:tcW w:w="720" w:type="dxa"/>
            <w:vMerge/>
            <w:tcBorders>
              <w:right w:val="single" w:sz="4" w:space="0" w:color="auto"/>
            </w:tcBorders>
            <w:vAlign w:val="center"/>
          </w:tcPr>
          <w:p w:rsidR="00C54C61" w:rsidRDefault="00C54C61">
            <w:pPr>
              <w:spacing w:line="360" w:lineRule="auto"/>
              <w:contextualSpacing/>
              <w:jc w:val="center"/>
              <w:rPr>
                <w:rFonts w:ascii="宋体" w:hAnsi="宋体"/>
                <w:szCs w:val="21"/>
              </w:rPr>
            </w:pPr>
          </w:p>
        </w:tc>
        <w:tc>
          <w:tcPr>
            <w:tcW w:w="720" w:type="dxa"/>
            <w:tcBorders>
              <w:left w:val="single" w:sz="4" w:space="0" w:color="auto"/>
              <w:righ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 xml:space="preserve"> □ 优          □ 良          □ 中           □ 差</w:t>
            </w:r>
          </w:p>
        </w:tc>
      </w:tr>
      <w:tr w:rsidR="00C54C61">
        <w:trPr>
          <w:trHeight w:val="458"/>
          <w:jc w:val="center"/>
        </w:trPr>
        <w:tc>
          <w:tcPr>
            <w:tcW w:w="842" w:type="dxa"/>
            <w:vMerge/>
            <w:vAlign w:val="center"/>
          </w:tcPr>
          <w:p w:rsidR="00C54C61" w:rsidRDefault="00C54C61">
            <w:pPr>
              <w:spacing w:line="360" w:lineRule="auto"/>
              <w:contextualSpacing/>
              <w:jc w:val="center"/>
              <w:rPr>
                <w:rFonts w:ascii="宋体" w:hAnsi="宋体"/>
                <w:szCs w:val="21"/>
              </w:rPr>
            </w:pPr>
          </w:p>
        </w:tc>
        <w:tc>
          <w:tcPr>
            <w:tcW w:w="720" w:type="dxa"/>
            <w:vMerge/>
            <w:tcBorders>
              <w:right w:val="single" w:sz="4" w:space="0" w:color="auto"/>
            </w:tcBorders>
            <w:vAlign w:val="center"/>
          </w:tcPr>
          <w:p w:rsidR="00C54C61" w:rsidRDefault="00C54C61">
            <w:pPr>
              <w:spacing w:line="360" w:lineRule="auto"/>
              <w:contextualSpacing/>
              <w:jc w:val="center"/>
              <w:rPr>
                <w:rFonts w:ascii="宋体" w:hAnsi="宋体"/>
                <w:szCs w:val="21"/>
              </w:rPr>
            </w:pPr>
          </w:p>
        </w:tc>
        <w:tc>
          <w:tcPr>
            <w:tcW w:w="720" w:type="dxa"/>
            <w:tcBorders>
              <w:left w:val="single" w:sz="4" w:space="0" w:color="auto"/>
              <w:righ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 xml:space="preserve"> □ 优          □ 良          □ 中           □ 差</w:t>
            </w:r>
          </w:p>
        </w:tc>
      </w:tr>
      <w:tr w:rsidR="00C54C61">
        <w:trPr>
          <w:trHeight w:val="458"/>
          <w:jc w:val="center"/>
        </w:trPr>
        <w:tc>
          <w:tcPr>
            <w:tcW w:w="842" w:type="dxa"/>
            <w:vMerge/>
            <w:vAlign w:val="center"/>
          </w:tcPr>
          <w:p w:rsidR="00C54C61" w:rsidRDefault="00C54C61">
            <w:pPr>
              <w:spacing w:line="360" w:lineRule="auto"/>
              <w:contextualSpacing/>
              <w:jc w:val="center"/>
              <w:rPr>
                <w:rFonts w:ascii="宋体" w:hAnsi="宋体"/>
                <w:szCs w:val="21"/>
              </w:rPr>
            </w:pPr>
          </w:p>
        </w:tc>
        <w:tc>
          <w:tcPr>
            <w:tcW w:w="720" w:type="dxa"/>
            <w:vMerge/>
            <w:tcBorders>
              <w:right w:val="single" w:sz="4" w:space="0" w:color="auto"/>
            </w:tcBorders>
            <w:vAlign w:val="center"/>
          </w:tcPr>
          <w:p w:rsidR="00C54C61" w:rsidRDefault="00C54C61">
            <w:pPr>
              <w:spacing w:line="360" w:lineRule="auto"/>
              <w:contextualSpacing/>
              <w:jc w:val="center"/>
              <w:rPr>
                <w:rFonts w:ascii="宋体" w:hAnsi="宋体"/>
                <w:szCs w:val="21"/>
              </w:rPr>
            </w:pPr>
          </w:p>
        </w:tc>
        <w:tc>
          <w:tcPr>
            <w:tcW w:w="720" w:type="dxa"/>
            <w:tcBorders>
              <w:left w:val="single" w:sz="4" w:space="0" w:color="auto"/>
              <w:righ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 xml:space="preserve"> □ 优          □ 良          □ 中           □ 差</w:t>
            </w:r>
          </w:p>
        </w:tc>
      </w:tr>
      <w:tr w:rsidR="00C54C61">
        <w:trPr>
          <w:trHeight w:val="458"/>
          <w:jc w:val="center"/>
        </w:trPr>
        <w:tc>
          <w:tcPr>
            <w:tcW w:w="842" w:type="dxa"/>
            <w:vMerge/>
            <w:vAlign w:val="center"/>
          </w:tcPr>
          <w:p w:rsidR="00C54C61" w:rsidRDefault="00C54C61">
            <w:pPr>
              <w:spacing w:line="360" w:lineRule="auto"/>
              <w:contextualSpacing/>
              <w:jc w:val="center"/>
              <w:rPr>
                <w:rFonts w:ascii="宋体" w:hAnsi="宋体"/>
                <w:szCs w:val="21"/>
              </w:rPr>
            </w:pPr>
          </w:p>
        </w:tc>
        <w:tc>
          <w:tcPr>
            <w:tcW w:w="720" w:type="dxa"/>
            <w:vMerge/>
            <w:tcBorders>
              <w:right w:val="single" w:sz="4" w:space="0" w:color="auto"/>
            </w:tcBorders>
            <w:vAlign w:val="center"/>
          </w:tcPr>
          <w:p w:rsidR="00C54C61" w:rsidRDefault="00C54C61">
            <w:pPr>
              <w:spacing w:line="360" w:lineRule="auto"/>
              <w:contextualSpacing/>
              <w:jc w:val="center"/>
              <w:rPr>
                <w:rFonts w:ascii="宋体" w:hAnsi="宋体"/>
                <w:szCs w:val="21"/>
              </w:rPr>
            </w:pPr>
          </w:p>
        </w:tc>
        <w:tc>
          <w:tcPr>
            <w:tcW w:w="720" w:type="dxa"/>
            <w:tcBorders>
              <w:left w:val="single" w:sz="4" w:space="0" w:color="auto"/>
              <w:right w:val="single" w:sz="4" w:space="0" w:color="auto"/>
            </w:tcBorders>
            <w:vAlign w:val="center"/>
          </w:tcPr>
          <w:p w:rsidR="00C54C61" w:rsidRDefault="00BF3A17">
            <w:pPr>
              <w:spacing w:line="360" w:lineRule="auto"/>
              <w:contextualSpacing/>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rsidR="00C54C61" w:rsidRDefault="00BF3A17">
            <w:pPr>
              <w:spacing w:beforeLines="50" w:before="120" w:afterLines="50" w:after="120" w:line="360" w:lineRule="auto"/>
              <w:contextualSpacing/>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rsidR="00C54C61" w:rsidRDefault="00BF3A17">
            <w:pPr>
              <w:spacing w:beforeLines="50" w:before="120" w:afterLines="50" w:after="120" w:line="360" w:lineRule="auto"/>
              <w:contextualSpacing/>
              <w:rPr>
                <w:rFonts w:ascii="宋体" w:hAnsi="宋体"/>
                <w:szCs w:val="21"/>
              </w:rPr>
            </w:pPr>
            <w:r>
              <w:rPr>
                <w:rFonts w:ascii="宋体" w:hAnsi="宋体" w:hint="eastAsia"/>
                <w:szCs w:val="21"/>
              </w:rPr>
              <w:t>评价等级为：  □ 优       □ 良        □ 中         □ 差</w:t>
            </w:r>
          </w:p>
        </w:tc>
      </w:tr>
      <w:tr w:rsidR="00C54C61">
        <w:trPr>
          <w:trHeight w:val="3261"/>
          <w:jc w:val="center"/>
        </w:trPr>
        <w:tc>
          <w:tcPr>
            <w:tcW w:w="1562" w:type="dxa"/>
            <w:gridSpan w:val="2"/>
            <w:vAlign w:val="center"/>
          </w:tcPr>
          <w:p w:rsidR="00C54C61" w:rsidRDefault="00BF3A17">
            <w:pPr>
              <w:spacing w:line="360" w:lineRule="auto"/>
              <w:contextualSpacing/>
              <w:jc w:val="center"/>
              <w:rPr>
                <w:rFonts w:ascii="宋体" w:hAnsi="宋体"/>
                <w:szCs w:val="21"/>
              </w:rPr>
            </w:pPr>
            <w:r>
              <w:rPr>
                <w:rFonts w:ascii="宋体" w:hAnsi="宋体" w:hint="eastAsia"/>
                <w:szCs w:val="21"/>
              </w:rPr>
              <w:t>具体情况说明</w:t>
            </w:r>
          </w:p>
        </w:tc>
        <w:tc>
          <w:tcPr>
            <w:tcW w:w="7355" w:type="dxa"/>
            <w:gridSpan w:val="4"/>
          </w:tcPr>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tc>
      </w:tr>
      <w:tr w:rsidR="00C54C61">
        <w:trPr>
          <w:trHeight w:val="2510"/>
          <w:jc w:val="center"/>
        </w:trPr>
        <w:tc>
          <w:tcPr>
            <w:tcW w:w="1562" w:type="dxa"/>
            <w:gridSpan w:val="2"/>
            <w:vAlign w:val="center"/>
          </w:tcPr>
          <w:p w:rsidR="00C54C61" w:rsidRDefault="00BF3A17">
            <w:pPr>
              <w:spacing w:line="360" w:lineRule="auto"/>
              <w:contextualSpacing/>
              <w:jc w:val="center"/>
              <w:rPr>
                <w:rFonts w:ascii="宋体" w:hAnsi="宋体"/>
                <w:szCs w:val="21"/>
              </w:rPr>
            </w:pPr>
            <w:r>
              <w:rPr>
                <w:rFonts w:ascii="宋体" w:hAnsi="宋体" w:hint="eastAsia"/>
                <w:szCs w:val="21"/>
              </w:rPr>
              <w:t>采购人意见</w:t>
            </w:r>
          </w:p>
          <w:p w:rsidR="00C54C61" w:rsidRDefault="00BF3A17">
            <w:pPr>
              <w:spacing w:line="360" w:lineRule="auto"/>
              <w:contextualSpacing/>
              <w:jc w:val="center"/>
              <w:rPr>
                <w:rFonts w:ascii="宋体" w:hAnsi="宋体"/>
                <w:szCs w:val="21"/>
              </w:rPr>
            </w:pPr>
            <w:r>
              <w:rPr>
                <w:rFonts w:ascii="宋体" w:hAnsi="宋体" w:hint="eastAsia"/>
                <w:szCs w:val="21"/>
              </w:rPr>
              <w:t>（公章）</w:t>
            </w:r>
          </w:p>
        </w:tc>
        <w:tc>
          <w:tcPr>
            <w:tcW w:w="7355" w:type="dxa"/>
            <w:gridSpan w:val="4"/>
            <w:vAlign w:val="center"/>
          </w:tcPr>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BF3A17">
            <w:pPr>
              <w:spacing w:line="360" w:lineRule="auto"/>
              <w:contextualSpacing/>
              <w:rPr>
                <w:rFonts w:ascii="宋体" w:hAnsi="宋体"/>
                <w:szCs w:val="21"/>
              </w:rPr>
            </w:pPr>
            <w:r>
              <w:rPr>
                <w:rFonts w:ascii="宋体" w:hAnsi="宋体" w:hint="eastAsia"/>
                <w:szCs w:val="21"/>
              </w:rPr>
              <w:t xml:space="preserve">                                        </w:t>
            </w:r>
          </w:p>
          <w:p w:rsidR="00C54C61" w:rsidRDefault="00C54C61">
            <w:pPr>
              <w:spacing w:line="360" w:lineRule="auto"/>
              <w:ind w:firstLineChars="1800" w:firstLine="3780"/>
              <w:contextualSpacing/>
              <w:rPr>
                <w:rFonts w:ascii="宋体" w:hAnsi="宋体"/>
                <w:szCs w:val="21"/>
              </w:rPr>
            </w:pPr>
          </w:p>
          <w:p w:rsidR="00C54C61" w:rsidRDefault="00BF3A17">
            <w:pPr>
              <w:spacing w:line="360" w:lineRule="auto"/>
              <w:ind w:firstLineChars="1800" w:firstLine="3780"/>
              <w:contextualSpacing/>
              <w:rPr>
                <w:rFonts w:ascii="宋体" w:hAnsi="宋体"/>
                <w:szCs w:val="21"/>
              </w:rPr>
            </w:pPr>
            <w:r>
              <w:rPr>
                <w:rFonts w:ascii="宋体" w:hAnsi="宋体" w:hint="eastAsia"/>
                <w:szCs w:val="21"/>
              </w:rPr>
              <w:t>日期：   年   月   日</w:t>
            </w:r>
          </w:p>
        </w:tc>
      </w:tr>
    </w:tbl>
    <w:p w:rsidR="00C54C61" w:rsidRDefault="00BF3A17">
      <w:pPr>
        <w:spacing w:line="360" w:lineRule="auto"/>
        <w:contextualSpacing/>
        <w:rPr>
          <w:rFonts w:ascii="宋体" w:hAnsi="宋体"/>
          <w:szCs w:val="21"/>
        </w:rPr>
      </w:pPr>
      <w:r>
        <w:rPr>
          <w:rFonts w:ascii="宋体" w:hAnsi="宋体" w:hint="eastAsia"/>
          <w:szCs w:val="21"/>
        </w:rPr>
        <w:t>说明：</w:t>
      </w:r>
    </w:p>
    <w:p w:rsidR="00C54C61" w:rsidRDefault="00BF3A17">
      <w:pPr>
        <w:spacing w:line="360" w:lineRule="auto"/>
        <w:contextualSpacing/>
        <w:rPr>
          <w:rFonts w:ascii="宋体" w:hAnsi="宋体"/>
          <w:szCs w:val="21"/>
        </w:rPr>
      </w:pPr>
      <w:r>
        <w:rPr>
          <w:rFonts w:ascii="宋体" w:hAnsi="宋体" w:hint="eastAsia"/>
          <w:szCs w:val="21"/>
        </w:rPr>
        <w:t>1、本表为采购人向履约评价工作实施机构反映政府采购项目履约情况时所用；</w:t>
      </w:r>
    </w:p>
    <w:p w:rsidR="00C54C61" w:rsidRDefault="00BF3A17">
      <w:pPr>
        <w:spacing w:line="360" w:lineRule="auto"/>
        <w:contextualSpacing/>
        <w:rPr>
          <w:rFonts w:ascii="宋体" w:hAnsi="宋体"/>
          <w:szCs w:val="21"/>
        </w:rPr>
      </w:pPr>
      <w:r>
        <w:rPr>
          <w:rFonts w:ascii="宋体" w:hAnsi="宋体" w:hint="eastAsia"/>
          <w:szCs w:val="21"/>
        </w:rPr>
        <w:t>2、履约情况评价分为优、良、中、差四个等级，请在对应的框前打“√”，然后在“具体情况说明”一栏详细说明有关情况。</w:t>
      </w: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C54C61">
      <w:pPr>
        <w:spacing w:line="360" w:lineRule="auto"/>
        <w:contextualSpacing/>
        <w:rPr>
          <w:rFonts w:ascii="宋体" w:hAnsi="宋体"/>
          <w:szCs w:val="21"/>
        </w:rPr>
      </w:pPr>
    </w:p>
    <w:p w:rsidR="00C54C61" w:rsidRDefault="00BF3A17">
      <w:pPr>
        <w:pStyle w:val="2"/>
        <w:spacing w:beforeLines="50" w:before="120" w:afterLines="50" w:after="120" w:line="360" w:lineRule="auto"/>
        <w:ind w:left="562"/>
        <w:contextualSpacing/>
        <w:rPr>
          <w:sz w:val="28"/>
          <w:szCs w:val="28"/>
        </w:rPr>
      </w:pPr>
      <w:r>
        <w:rPr>
          <w:rFonts w:hint="eastAsia"/>
          <w:sz w:val="28"/>
          <w:szCs w:val="28"/>
        </w:rPr>
        <w:t>第二册  通用条款（公开招标）</w:t>
      </w:r>
    </w:p>
    <w:p w:rsidR="00C54C61" w:rsidRDefault="00BF3A17">
      <w:pPr>
        <w:pStyle w:val="2"/>
        <w:numPr>
          <w:ilvl w:val="0"/>
          <w:numId w:val="13"/>
        </w:numPr>
        <w:spacing w:beforeLines="50" w:before="120" w:afterLines="50" w:after="120" w:line="360" w:lineRule="auto"/>
        <w:ind w:left="562" w:hanging="562"/>
        <w:contextualSpacing/>
        <w:rPr>
          <w:sz w:val="28"/>
          <w:szCs w:val="28"/>
        </w:rPr>
      </w:pPr>
      <w:r>
        <w:rPr>
          <w:rFonts w:hint="eastAsia"/>
          <w:sz w:val="28"/>
          <w:szCs w:val="28"/>
        </w:rPr>
        <w:t>总则</w:t>
      </w:r>
    </w:p>
    <w:p w:rsidR="00C54C61" w:rsidRDefault="00BF3A17">
      <w:pPr>
        <w:spacing w:line="360" w:lineRule="auto"/>
        <w:contextualSpacing/>
        <w:rPr>
          <w:rFonts w:ascii="黑体" w:eastAsia="黑体" w:hAnsi="宋体"/>
          <w:sz w:val="24"/>
        </w:rPr>
      </w:pPr>
      <w:r>
        <w:rPr>
          <w:rFonts w:ascii="黑体" w:eastAsia="黑体" w:hAnsi="宋体" w:hint="eastAsia"/>
          <w:sz w:val="24"/>
        </w:rPr>
        <w:t>1. 通用条款说明</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1.1采购实施机构发出招标文件通用条款版本，列出深圳市政府采购项目进行招标采购所适用的通用条款内容。如有需要，采购实施机构可以对通用条款增加附录或补充内容。</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1.2招标文件分为第一册“专用条款”和第二册“通用条款”。</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1.4“通用条款”是适用于政府采购项目的基础性条款，具有普遍性和通用性。</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1.5 “专用条款”和“通用条款”表述不一致或有冲突时，以“专用条款”为准。</w:t>
      </w:r>
    </w:p>
    <w:p w:rsidR="00C54C61" w:rsidRDefault="00BF3A17">
      <w:pPr>
        <w:spacing w:line="360" w:lineRule="auto"/>
        <w:contextualSpacing/>
        <w:rPr>
          <w:rFonts w:ascii="黑体" w:eastAsia="黑体" w:hAnsi="宋体"/>
          <w:sz w:val="24"/>
        </w:rPr>
      </w:pPr>
      <w:r>
        <w:rPr>
          <w:rFonts w:ascii="黑体" w:eastAsia="黑体" w:hAnsi="宋体" w:hint="eastAsia"/>
          <w:sz w:val="24"/>
        </w:rPr>
        <w:t>2</w:t>
      </w:r>
      <w:r>
        <w:rPr>
          <w:rFonts w:ascii="黑体" w:eastAsia="黑体" w:hAnsi="宋体"/>
          <w:sz w:val="24"/>
        </w:rPr>
        <w:t>．</w:t>
      </w:r>
      <w:r>
        <w:rPr>
          <w:rFonts w:ascii="黑体" w:eastAsia="黑体" w:hAnsi="宋体" w:hint="eastAsia"/>
          <w:sz w:val="24"/>
        </w:rPr>
        <w:t>招标说明</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本项目按照《深圳经济特区政府采购条例》、《深圳经济特区政府采购条例实施细则》等规定，并参考有关法规，通过招标方式确定中标供应商。</w:t>
      </w:r>
    </w:p>
    <w:p w:rsidR="00C54C61" w:rsidRDefault="00BF3A17">
      <w:pPr>
        <w:spacing w:line="360" w:lineRule="auto"/>
        <w:contextualSpacing/>
        <w:rPr>
          <w:rFonts w:ascii="黑体" w:eastAsia="黑体" w:hAnsi="宋体"/>
          <w:sz w:val="24"/>
        </w:rPr>
      </w:pPr>
      <w:r>
        <w:rPr>
          <w:rFonts w:ascii="黑体" w:eastAsia="黑体" w:hAnsi="宋体" w:hint="eastAsia"/>
          <w:sz w:val="24"/>
        </w:rPr>
        <w:t>3．定义</w:t>
      </w:r>
    </w:p>
    <w:p w:rsidR="00C54C61" w:rsidRDefault="00BF3A17">
      <w:pPr>
        <w:spacing w:line="360" w:lineRule="auto"/>
        <w:ind w:firstLineChars="200" w:firstLine="420"/>
        <w:contextualSpacing/>
        <w:rPr>
          <w:rFonts w:ascii="宋体" w:hAnsi="宋体"/>
          <w:szCs w:val="21"/>
        </w:rPr>
      </w:pPr>
      <w:r>
        <w:rPr>
          <w:rFonts w:ascii="宋体" w:hAnsi="宋体"/>
          <w:szCs w:val="21"/>
        </w:rPr>
        <w:t>招标文件中下列术语应解释为：</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w:t>
      </w:r>
      <w:r>
        <w:rPr>
          <w:rFonts w:ascii="宋体" w:hAnsi="宋体"/>
          <w:szCs w:val="21"/>
        </w:rPr>
        <w:t>1</w:t>
      </w:r>
      <w:r>
        <w:rPr>
          <w:rFonts w:ascii="宋体" w:hAnsi="宋体" w:hint="eastAsia"/>
          <w:szCs w:val="21"/>
        </w:rPr>
        <w:t>“</w:t>
      </w:r>
      <w:r>
        <w:rPr>
          <w:rFonts w:ascii="宋体" w:hAnsi="宋体" w:hint="eastAsia"/>
        </w:rPr>
        <w:t>采购实施机构</w:t>
      </w:r>
      <w:r>
        <w:rPr>
          <w:rFonts w:ascii="宋体" w:hAnsi="宋体" w:hint="eastAsia"/>
          <w:szCs w:val="21"/>
        </w:rPr>
        <w:t>”</w:t>
      </w:r>
      <w:r>
        <w:rPr>
          <w:rFonts w:ascii="宋体" w:hAnsi="宋体" w:hint="eastAsia"/>
        </w:rPr>
        <w:t>是指依法取得招标资格、从事招标代理业务并提供相关服务的专门机构</w:t>
      </w:r>
      <w:r>
        <w:rPr>
          <w:rFonts w:ascii="宋体" w:hAnsi="宋体" w:hint="eastAsia"/>
          <w:szCs w:val="21"/>
        </w:rPr>
        <w:t>；本文中特指：深圳市国信招标有限公司。</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3.2“采购人”或“招标人”：指利用财政性资金依法进行政府采购的国家机关、事业单位、团体组织；本文中特指：</w:t>
      </w:r>
      <w:r>
        <w:rPr>
          <w:rFonts w:ascii="宋体" w:hAnsi="宋体" w:hint="eastAsia"/>
          <w:color w:val="FF0000"/>
          <w:szCs w:val="21"/>
        </w:rPr>
        <w:t>深圳市南山区青少年业余体育运动学校</w:t>
      </w:r>
      <w:r>
        <w:rPr>
          <w:rFonts w:ascii="宋体" w:hAnsi="宋体" w:hint="eastAsia"/>
          <w:szCs w:val="21"/>
        </w:rPr>
        <w:t>。</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3.3“投标人”或“投标方”，即供应商，指参加投标竞争并愿意按照招标文件要求向采购人提供货物、工程或者服务的依法成立的法人、其他组织或者自然人；</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3.4“评审委员会”和“谈判小组”是依据《深圳经济特区政府采购条例》、《深圳经济特区政府采购条例实施细则》等有关规定组建的专门负责本次招标其评标（谈判）工作的临时性机构；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3.5“日期”</w:t>
      </w:r>
      <w:r>
        <w:rPr>
          <w:rFonts w:ascii="宋体" w:hAnsi="宋体"/>
          <w:szCs w:val="21"/>
        </w:rPr>
        <w:t>指</w:t>
      </w:r>
      <w:r>
        <w:rPr>
          <w:rFonts w:ascii="宋体" w:hAnsi="宋体" w:hint="eastAsia"/>
          <w:szCs w:val="21"/>
        </w:rPr>
        <w:t>公历日；</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3.6“合同”指由本次招标所产生的合同或合约文件；</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3.7“电子投标文件”指利用深圳市政府采购网提供的投标书加密软件加密的投标文件,适用于网上投标；（此投标书加密软件可从</w:t>
      </w:r>
      <w:r>
        <w:t>http://www.szzfcg.cn/</w:t>
      </w:r>
      <w:r>
        <w:rPr>
          <w:rFonts w:ascii="宋体" w:hAnsi="宋体" w:hint="eastAsia"/>
          <w:szCs w:val="21"/>
        </w:rPr>
        <w:t>网站“相关软件”栏目中下载）；</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3.8“网上投标”指通过深圳市政府采购网上传电子投标文件；</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3.9招标文件中的标题或题名仅起引导作用，而不应视为对招标文件内容的理解和解释。</w:t>
      </w:r>
    </w:p>
    <w:p w:rsidR="00C54C61" w:rsidRDefault="00BF3A17">
      <w:pPr>
        <w:spacing w:line="360" w:lineRule="auto"/>
        <w:contextualSpacing/>
        <w:rPr>
          <w:rFonts w:ascii="黑体" w:eastAsia="黑体" w:hAnsi="宋体"/>
          <w:sz w:val="24"/>
        </w:rPr>
      </w:pPr>
      <w:r>
        <w:rPr>
          <w:rFonts w:ascii="黑体" w:eastAsia="黑体" w:hAnsi="宋体" w:hint="eastAsia"/>
          <w:sz w:val="24"/>
        </w:rPr>
        <w:t>4. 政府采购供应商责任</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4.1欢迎诚信、有实力和有社会责任心的供应商参与政府采购事业。</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rsidR="00C54C61" w:rsidRDefault="00BF3A17">
      <w:pPr>
        <w:spacing w:line="360" w:lineRule="auto"/>
        <w:contextualSpacing/>
        <w:rPr>
          <w:rFonts w:ascii="黑体" w:eastAsia="黑体" w:hAnsi="宋体"/>
          <w:sz w:val="24"/>
        </w:rPr>
      </w:pPr>
      <w:r>
        <w:rPr>
          <w:rFonts w:ascii="黑体" w:eastAsia="黑体" w:hAnsi="宋体" w:hint="eastAsia"/>
          <w:sz w:val="24"/>
        </w:rPr>
        <w:t>5．投标人参加政府采购的条件</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5.1投标人应在投标前到政府集中采购机构进行注册。《</w:t>
      </w:r>
      <w:hyperlink r:id="rId14" w:tgtFrame="documentViewer2455258" w:history="1">
        <w:r>
          <w:rPr>
            <w:rFonts w:ascii="宋体" w:hAnsi="宋体"/>
            <w:szCs w:val="21"/>
          </w:rPr>
          <w:t>供应商注册及电子密钥新申请指引</w:t>
        </w:r>
      </w:hyperlink>
      <w:r>
        <w:rPr>
          <w:rFonts w:ascii="宋体" w:hAnsi="宋体" w:hint="eastAsia"/>
          <w:szCs w:val="21"/>
        </w:rPr>
        <w:t>》详见</w:t>
      </w:r>
      <w:r>
        <w:t>http://www.szzfcg.cn/</w:t>
      </w:r>
      <w:r>
        <w:rPr>
          <w:rFonts w:ascii="宋体" w:hAnsi="宋体" w:hint="eastAsia"/>
          <w:szCs w:val="21"/>
        </w:rPr>
        <w:t>。</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5.2投标人的资格要求</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参加本项目的投标人应具备的资格条件详见本项目招标公告中 “投标人资格要求”的内容。</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5.3联合体投标</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5.3.1　以下有关联合体投标的条款仅适用于允许投标人组成联合体投标的项目。</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5.3.2  由两个或两个以上的自然人、法人或者其他组织可以组成一个联合体，以一个供应商的身份共同投标时，应符合以下原则：</w:t>
      </w:r>
    </w:p>
    <w:p w:rsidR="00C54C61" w:rsidRDefault="00BF3A17" w:rsidP="00EE5467">
      <w:pPr>
        <w:spacing w:line="360" w:lineRule="auto"/>
        <w:ind w:firstLineChars="196" w:firstLine="412"/>
        <w:contextualSpacing/>
        <w:rPr>
          <w:rFonts w:ascii="宋体" w:hAnsi="宋体"/>
        </w:rPr>
      </w:pPr>
      <w:r>
        <w:rPr>
          <w:rFonts w:ascii="宋体" w:hAnsi="宋体" w:hint="eastAsia"/>
        </w:rPr>
        <w:t>（1）投标联合体各方参加政府采购活动应当具备下列条件：</w:t>
      </w:r>
      <w:r>
        <w:rPr>
          <w:rFonts w:ascii="宋体" w:hAnsi="宋体"/>
        </w:rPr>
        <w:t xml:space="preserve"> </w:t>
      </w:r>
    </w:p>
    <w:p w:rsidR="00C54C61" w:rsidRDefault="00BF3A17" w:rsidP="00EE5467">
      <w:pPr>
        <w:spacing w:line="360" w:lineRule="auto"/>
        <w:ind w:leftChars="200" w:left="420" w:firstLineChars="196" w:firstLine="412"/>
        <w:contextualSpacing/>
        <w:rPr>
          <w:rFonts w:ascii="宋体" w:hAnsi="宋体"/>
        </w:rPr>
      </w:pPr>
      <w:r>
        <w:rPr>
          <w:rFonts w:ascii="宋体" w:hAnsi="宋体" w:hint="eastAsia"/>
        </w:rPr>
        <w:t>1、具有独立承担民事责任的能力；</w:t>
      </w:r>
      <w:r>
        <w:rPr>
          <w:rFonts w:ascii="宋体" w:hAnsi="宋体"/>
        </w:rPr>
        <w:t xml:space="preserve"> </w:t>
      </w:r>
    </w:p>
    <w:p w:rsidR="00C54C61" w:rsidRDefault="00BF3A17" w:rsidP="00EE5467">
      <w:pPr>
        <w:spacing w:line="360" w:lineRule="auto"/>
        <w:ind w:left="420" w:firstLineChars="196" w:firstLine="412"/>
        <w:contextualSpacing/>
        <w:rPr>
          <w:rFonts w:ascii="宋体" w:hAnsi="宋体"/>
        </w:rPr>
      </w:pPr>
      <w:r>
        <w:rPr>
          <w:rFonts w:ascii="宋体" w:hAnsi="宋体" w:hint="eastAsia"/>
        </w:rPr>
        <w:t>2、有良好的商业信誉和健全的财务会计制度；</w:t>
      </w:r>
      <w:r>
        <w:rPr>
          <w:rFonts w:ascii="宋体" w:hAnsi="宋体"/>
        </w:rPr>
        <w:t xml:space="preserve"> </w:t>
      </w:r>
    </w:p>
    <w:p w:rsidR="00C54C61" w:rsidRDefault="00BF3A17" w:rsidP="00EE5467">
      <w:pPr>
        <w:spacing w:line="360" w:lineRule="auto"/>
        <w:ind w:leftChars="200" w:left="420" w:firstLineChars="196" w:firstLine="412"/>
        <w:contextualSpacing/>
        <w:rPr>
          <w:rFonts w:ascii="宋体" w:hAnsi="宋体"/>
        </w:rPr>
      </w:pPr>
      <w:r>
        <w:rPr>
          <w:rFonts w:ascii="宋体" w:hAnsi="宋体" w:hint="eastAsia"/>
        </w:rPr>
        <w:t>3、具有履行合同所必需的设备和专业技术能力；</w:t>
      </w:r>
      <w:r>
        <w:rPr>
          <w:rFonts w:ascii="宋体" w:hAnsi="宋体"/>
        </w:rPr>
        <w:t xml:space="preserve"> </w:t>
      </w:r>
    </w:p>
    <w:p w:rsidR="00C54C61" w:rsidRDefault="00BF3A17" w:rsidP="00EE5467">
      <w:pPr>
        <w:spacing w:line="360" w:lineRule="auto"/>
        <w:ind w:leftChars="200" w:left="420" w:firstLineChars="196" w:firstLine="412"/>
        <w:contextualSpacing/>
        <w:rPr>
          <w:rFonts w:ascii="宋体" w:hAnsi="宋体"/>
        </w:rPr>
      </w:pPr>
      <w:r>
        <w:rPr>
          <w:rFonts w:ascii="宋体" w:hAnsi="宋体" w:hint="eastAsia"/>
        </w:rPr>
        <w:t>4、有依法缴纳税收和社会保障资金的良好记录；</w:t>
      </w:r>
      <w:r>
        <w:rPr>
          <w:rFonts w:ascii="宋体" w:hAnsi="宋体"/>
        </w:rPr>
        <w:t xml:space="preserve"> </w:t>
      </w:r>
    </w:p>
    <w:p w:rsidR="00C54C61" w:rsidRDefault="00BF3A17" w:rsidP="00EE5467">
      <w:pPr>
        <w:spacing w:line="360" w:lineRule="auto"/>
        <w:ind w:leftChars="200" w:left="420" w:firstLineChars="196" w:firstLine="412"/>
        <w:contextualSpacing/>
        <w:rPr>
          <w:rFonts w:ascii="宋体" w:hAnsi="宋体"/>
        </w:rPr>
      </w:pPr>
      <w:r>
        <w:rPr>
          <w:rFonts w:ascii="宋体" w:hAnsi="宋体" w:hint="eastAsia"/>
        </w:rPr>
        <w:t>5、参加政府采购活动前三年内，在经营活动中没有重大违法记录；</w:t>
      </w:r>
      <w:r>
        <w:rPr>
          <w:rFonts w:ascii="宋体" w:hAnsi="宋体"/>
        </w:rPr>
        <w:t xml:space="preserve"> </w:t>
      </w:r>
    </w:p>
    <w:p w:rsidR="00C54C61" w:rsidRDefault="00BF3A17" w:rsidP="00EE5467">
      <w:pPr>
        <w:spacing w:line="360" w:lineRule="auto"/>
        <w:ind w:leftChars="200" w:left="420" w:firstLineChars="196" w:firstLine="412"/>
        <w:contextualSpacing/>
        <w:rPr>
          <w:rFonts w:ascii="宋体" w:hAnsi="宋体"/>
        </w:rPr>
      </w:pPr>
      <w:r>
        <w:rPr>
          <w:rFonts w:ascii="宋体" w:hAnsi="宋体" w:hint="eastAsia"/>
        </w:rPr>
        <w:t>6、法律、行政法规规定的其他条件。</w:t>
      </w:r>
      <w:r>
        <w:rPr>
          <w:rFonts w:ascii="宋体" w:hAnsi="宋体"/>
        </w:rPr>
        <w:t xml:space="preserve"> </w:t>
      </w:r>
    </w:p>
    <w:p w:rsidR="00C54C61" w:rsidRDefault="00BF3A17" w:rsidP="00EE5467">
      <w:pPr>
        <w:spacing w:line="360" w:lineRule="auto"/>
        <w:ind w:firstLineChars="196" w:firstLine="412"/>
        <w:contextualSpacing/>
        <w:rPr>
          <w:rFonts w:ascii="宋体" w:hAnsi="宋体"/>
        </w:rPr>
      </w:pPr>
      <w:r>
        <w:rPr>
          <w:rFonts w:ascii="宋体" w:hAnsi="宋体" w:hint="eastAsia"/>
        </w:rPr>
        <w:t>（2）投标联合体各方必须有一方先行注册成深圳公共资源交易中心供应商；</w:t>
      </w:r>
    </w:p>
    <w:p w:rsidR="00C54C61" w:rsidRDefault="00BF3A17" w:rsidP="00EE5467">
      <w:pPr>
        <w:spacing w:line="360" w:lineRule="auto"/>
        <w:ind w:firstLineChars="196" w:firstLine="412"/>
        <w:contextualSpacing/>
        <w:rPr>
          <w:rFonts w:ascii="宋体" w:hAnsi="宋体"/>
        </w:rPr>
      </w:pPr>
      <w:r>
        <w:rPr>
          <w:rFonts w:ascii="宋体" w:hAnsi="宋体" w:hint="eastAsia"/>
        </w:rPr>
        <w:t>（3）联合体中有同类资质的供应商按照联合体分工承担相同工作的，应当按照资质等级较低的供应商确定资质等级。</w:t>
      </w:r>
    </w:p>
    <w:p w:rsidR="00C54C61" w:rsidRDefault="00BF3A17" w:rsidP="00EE5467">
      <w:pPr>
        <w:spacing w:line="360" w:lineRule="auto"/>
        <w:ind w:firstLineChars="196" w:firstLine="412"/>
        <w:contextualSpacing/>
      </w:pPr>
      <w:r>
        <w:rPr>
          <w:rFonts w:hint="eastAsia"/>
        </w:rPr>
        <w:t>（</w:t>
      </w:r>
      <w:r>
        <w:rPr>
          <w:rFonts w:hint="eastAsia"/>
        </w:rPr>
        <w:t>4</w:t>
      </w:r>
      <w:r>
        <w:rPr>
          <w:rFonts w:hint="eastAsia"/>
        </w:rPr>
        <w:t>）是否允许联合体参加投标，应当由采购人和采购代理机构根据项目的实际情况和潜在供应商的数量自主决定，如果决定接受联合体投标则应当在采购公告中明示。</w:t>
      </w:r>
    </w:p>
    <w:p w:rsidR="00C54C61" w:rsidRDefault="00BF3A17" w:rsidP="00EE5467">
      <w:pPr>
        <w:spacing w:line="360" w:lineRule="auto"/>
        <w:ind w:firstLineChars="196" w:firstLine="412"/>
        <w:contextualSpacing/>
        <w:rPr>
          <w:rFonts w:ascii="宋体" w:hAnsi="宋体"/>
        </w:rPr>
      </w:pPr>
      <w:r>
        <w:rPr>
          <w:rFonts w:ascii="宋体" w:hAnsi="宋体" w:hint="eastAsia"/>
        </w:rPr>
        <w:t>（5）投标人的投标文件及中标后签署的合同协议对联合体各方均具法律约束力；</w:t>
      </w:r>
    </w:p>
    <w:p w:rsidR="00C54C61" w:rsidRDefault="00BF3A17" w:rsidP="00EE5467">
      <w:pPr>
        <w:spacing w:line="360" w:lineRule="auto"/>
        <w:ind w:firstLineChars="196" w:firstLine="412"/>
        <w:contextualSpacing/>
        <w:rPr>
          <w:rFonts w:ascii="宋体" w:hAnsi="宋体"/>
        </w:rPr>
      </w:pPr>
      <w:r>
        <w:rPr>
          <w:rFonts w:ascii="宋体" w:hAnsi="宋体" w:hint="eastAsia"/>
        </w:rPr>
        <w:t>（6）联合体各方应当签订共同投标协议，明确约定各方拟承担的工作和责任，并将该共同投标协议随投标文件一并递交给采购实施机构；</w:t>
      </w:r>
    </w:p>
    <w:p w:rsidR="00C54C61" w:rsidRDefault="00BF3A17" w:rsidP="00EE5467">
      <w:pPr>
        <w:spacing w:line="360" w:lineRule="auto"/>
        <w:ind w:firstLineChars="196" w:firstLine="412"/>
        <w:contextualSpacing/>
        <w:rPr>
          <w:rFonts w:ascii="宋体" w:hAnsi="宋体"/>
        </w:rPr>
      </w:pPr>
      <w:r>
        <w:rPr>
          <w:rFonts w:ascii="宋体" w:hAnsi="宋体" w:hint="eastAsia"/>
        </w:rPr>
        <w:t>（7）联合体中标后，联合体各方应当共同与采购人签订合同，就中标项目向采购人承担连带责任；</w:t>
      </w:r>
    </w:p>
    <w:p w:rsidR="00C54C61" w:rsidRDefault="00BF3A17" w:rsidP="00EE5467">
      <w:pPr>
        <w:spacing w:line="360" w:lineRule="auto"/>
        <w:ind w:firstLineChars="196" w:firstLine="412"/>
        <w:contextualSpacing/>
        <w:rPr>
          <w:rFonts w:ascii="宋体" w:hAnsi="宋体"/>
        </w:rPr>
      </w:pPr>
      <w:r>
        <w:rPr>
          <w:rFonts w:ascii="宋体" w:hAnsi="宋体" w:hint="eastAsia"/>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rsidR="00C54C61" w:rsidRDefault="00BF3A17" w:rsidP="00EE5467">
      <w:pPr>
        <w:spacing w:line="360" w:lineRule="auto"/>
        <w:ind w:firstLineChars="196" w:firstLine="412"/>
        <w:contextualSpacing/>
        <w:rPr>
          <w:rFonts w:ascii="宋体" w:hAnsi="宋体"/>
          <w:szCs w:val="21"/>
        </w:rPr>
      </w:pPr>
      <w:r>
        <w:rPr>
          <w:rFonts w:ascii="宋体" w:hAnsi="宋体" w:hint="eastAsia"/>
        </w:rPr>
        <w:t>（9）本通用条款中“投标人”一词亦指联合体各方，专用条款另有规定或说明的除外。</w:t>
      </w:r>
    </w:p>
    <w:p w:rsidR="00C54C61" w:rsidRDefault="00BF3A17">
      <w:pPr>
        <w:spacing w:line="360" w:lineRule="auto"/>
        <w:contextualSpacing/>
        <w:rPr>
          <w:rFonts w:ascii="黑体" w:eastAsia="黑体" w:hAnsi="宋体"/>
          <w:sz w:val="24"/>
        </w:rPr>
      </w:pPr>
      <w:r>
        <w:rPr>
          <w:rFonts w:ascii="黑体" w:eastAsia="黑体" w:hAnsi="宋体" w:hint="eastAsia"/>
          <w:sz w:val="24"/>
        </w:rPr>
        <w:t>6．政策导向</w:t>
      </w:r>
    </w:p>
    <w:p w:rsidR="00C54C61" w:rsidRDefault="00BF3A17">
      <w:pPr>
        <w:spacing w:line="360" w:lineRule="auto"/>
        <w:ind w:firstLineChars="150" w:firstLine="315"/>
        <w:contextualSpacing/>
        <w:rPr>
          <w:bCs/>
          <w:szCs w:val="21"/>
        </w:rPr>
      </w:pPr>
      <w:r>
        <w:rPr>
          <w:rFonts w:hint="eastAsia"/>
          <w:bCs/>
          <w:szCs w:val="21"/>
        </w:rPr>
        <w:t>6.1 2014</w:t>
      </w:r>
      <w:r>
        <w:rPr>
          <w:rFonts w:hint="eastAsia"/>
          <w:bCs/>
          <w:szCs w:val="21"/>
        </w:rPr>
        <w:t>年起，政府部门、国有企业在进行设备或工程采购时，应在招标文件中明确要求工程机械、装卸机械满足国家现阶段非道路移动机械用柴油机排放标准，并鼓励使用</w:t>
      </w:r>
      <w:r>
        <w:rPr>
          <w:rFonts w:hint="eastAsia"/>
          <w:bCs/>
          <w:szCs w:val="21"/>
        </w:rPr>
        <w:t>LNG</w:t>
      </w:r>
      <w:r>
        <w:rPr>
          <w:rFonts w:hint="eastAsia"/>
          <w:bCs/>
          <w:szCs w:val="21"/>
        </w:rPr>
        <w:t>或电动工程机械、装卸机械。</w:t>
      </w:r>
      <w:r>
        <w:rPr>
          <w:rFonts w:hint="eastAsia"/>
          <w:bCs/>
          <w:szCs w:val="21"/>
        </w:rPr>
        <w:t>2015</w:t>
      </w:r>
      <w:r>
        <w:rPr>
          <w:rFonts w:hint="eastAsia"/>
          <w:bCs/>
          <w:szCs w:val="21"/>
        </w:rPr>
        <w:t>年起，政府部门、国有企业采购设备或工程项目中选用</w:t>
      </w:r>
      <w:r>
        <w:rPr>
          <w:rFonts w:hint="eastAsia"/>
          <w:bCs/>
          <w:szCs w:val="21"/>
        </w:rPr>
        <w:t>LNG</w:t>
      </w:r>
      <w:r>
        <w:rPr>
          <w:rFonts w:hint="eastAsia"/>
          <w:bCs/>
          <w:szCs w:val="21"/>
        </w:rPr>
        <w:t>或电动工程机械、装卸机械的比例不低于</w:t>
      </w:r>
      <w:r>
        <w:rPr>
          <w:rFonts w:hint="eastAsia"/>
          <w:bCs/>
          <w:szCs w:val="21"/>
        </w:rPr>
        <w:t>30%</w:t>
      </w:r>
      <w:r>
        <w:rPr>
          <w:rFonts w:hint="eastAsia"/>
          <w:bCs/>
          <w:szCs w:val="21"/>
        </w:rPr>
        <w:t>。</w:t>
      </w:r>
    </w:p>
    <w:p w:rsidR="00C54C61" w:rsidRDefault="00BF3A17">
      <w:pPr>
        <w:spacing w:line="360" w:lineRule="auto"/>
        <w:ind w:firstLine="405"/>
        <w:contextualSpacing/>
        <w:rPr>
          <w:shd w:val="clear" w:color="auto" w:fill="FFFFFF"/>
        </w:rPr>
      </w:pPr>
      <w:r>
        <w:rPr>
          <w:rFonts w:hint="eastAsia"/>
          <w:shd w:val="clear" w:color="auto" w:fill="FFFFFF"/>
        </w:rPr>
        <w:t xml:space="preserve">6.2 </w:t>
      </w:r>
      <w:r>
        <w:rPr>
          <w:rFonts w:ascii="宋体" w:hAnsi="宋体" w:hint="eastAsia"/>
        </w:rPr>
        <w:t>根据《深圳市人民政府关于印发深圳市贯彻落实守信联合激励和失信联合惩戒制度实施方案的通知》（深府〔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rsidR="00C54C61" w:rsidRDefault="00BF3A17">
      <w:pPr>
        <w:spacing w:line="360" w:lineRule="auto"/>
        <w:contextualSpacing/>
        <w:rPr>
          <w:rFonts w:ascii="黑体" w:eastAsia="黑体" w:hAnsi="宋体"/>
          <w:sz w:val="24"/>
        </w:rPr>
      </w:pPr>
      <w:r>
        <w:rPr>
          <w:rFonts w:ascii="黑体" w:eastAsia="黑体" w:hAnsi="宋体" w:hint="eastAsia"/>
          <w:sz w:val="24"/>
        </w:rPr>
        <w:t>7. 本项目若涉及采购货物，则合格的货物及相应服务应满足以下要求：</w:t>
      </w:r>
    </w:p>
    <w:p w:rsidR="00C54C61" w:rsidRDefault="00BF3A17" w:rsidP="00EE5467">
      <w:pPr>
        <w:spacing w:line="360" w:lineRule="auto"/>
        <w:ind w:firstLineChars="196" w:firstLine="412"/>
        <w:contextualSpacing/>
        <w:rPr>
          <w:rFonts w:ascii="宋体" w:hAnsi="宋体"/>
        </w:rPr>
      </w:pPr>
      <w:r>
        <w:rPr>
          <w:rFonts w:ascii="宋体" w:hAnsi="宋体" w:hint="eastAsia"/>
        </w:rPr>
        <w:t>7</w:t>
      </w:r>
      <w:r>
        <w:rPr>
          <w:rFonts w:ascii="宋体" w:hAnsi="宋体"/>
        </w:rPr>
        <w:t xml:space="preserve">.1  </w:t>
      </w:r>
      <w:r>
        <w:rPr>
          <w:rFonts w:ascii="宋体" w:hAnsi="宋体" w:hint="eastAsia"/>
        </w:rPr>
        <w:t>必须是全新、未使用过的原装合格正品（包括零部件），如安装或配置了软件的，须为正版软件。</w:t>
      </w:r>
    </w:p>
    <w:p w:rsidR="00C54C61" w:rsidRDefault="00BF3A17" w:rsidP="00EE5467">
      <w:pPr>
        <w:spacing w:line="360" w:lineRule="auto"/>
        <w:ind w:firstLineChars="196" w:firstLine="412"/>
        <w:contextualSpacing/>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rsidR="00C54C61" w:rsidRDefault="00BF3A17" w:rsidP="00EE5467">
      <w:pPr>
        <w:spacing w:line="360" w:lineRule="auto"/>
        <w:ind w:firstLineChars="196" w:firstLine="412"/>
        <w:contextualSpacing/>
        <w:rPr>
          <w:rFonts w:ascii="宋体" w:hAnsi="宋体"/>
        </w:rPr>
      </w:pPr>
      <w:r>
        <w:rPr>
          <w:rFonts w:ascii="宋体" w:hAnsi="宋体" w:hint="eastAsia"/>
        </w:rPr>
        <w:t>7</w:t>
      </w:r>
      <w:r>
        <w:rPr>
          <w:rFonts w:ascii="宋体" w:hAnsi="宋体"/>
        </w:rPr>
        <w:t>.</w:t>
      </w:r>
      <w:r>
        <w:rPr>
          <w:rFonts w:ascii="宋体" w:hAnsi="宋体" w:hint="eastAsia"/>
        </w:rPr>
        <w:t>3</w:t>
      </w:r>
      <w:r>
        <w:rPr>
          <w:rFonts w:ascii="宋体" w:hAnsi="宋体"/>
        </w:rPr>
        <w:t xml:space="preserve">  </w:t>
      </w:r>
      <w:r>
        <w:rPr>
          <w:rFonts w:ascii="宋体" w:hAnsi="宋体" w:hint="eastAsia"/>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C54C61" w:rsidRDefault="00BF3A17" w:rsidP="00EE5467">
      <w:pPr>
        <w:spacing w:line="360" w:lineRule="auto"/>
        <w:ind w:firstLineChars="196" w:firstLine="412"/>
        <w:contextualSpacing/>
        <w:rPr>
          <w:rFonts w:ascii="宋体" w:hAnsi="宋体"/>
        </w:rPr>
      </w:pPr>
      <w:r>
        <w:rPr>
          <w:rFonts w:ascii="宋体" w:hAnsi="宋体" w:hint="eastAsia"/>
        </w:rPr>
        <w:t>7</w:t>
      </w:r>
      <w:r>
        <w:rPr>
          <w:rFonts w:ascii="宋体" w:hAnsi="宋体"/>
        </w:rPr>
        <w:t>.</w:t>
      </w:r>
      <w:r>
        <w:rPr>
          <w:rFonts w:ascii="宋体" w:hAnsi="宋体" w:hint="eastAsia"/>
        </w:rPr>
        <w:t>4</w:t>
      </w:r>
      <w:r>
        <w:rPr>
          <w:rFonts w:ascii="宋体" w:hAnsi="宋体"/>
        </w:rPr>
        <w:t xml:space="preserve">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C54C61" w:rsidRDefault="00BF3A17" w:rsidP="00EE5467">
      <w:pPr>
        <w:spacing w:line="360" w:lineRule="auto"/>
        <w:ind w:firstLineChars="196" w:firstLine="412"/>
        <w:contextualSpacing/>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C54C61" w:rsidRDefault="00BF3A17" w:rsidP="00EE5467">
      <w:pPr>
        <w:spacing w:line="360" w:lineRule="auto"/>
        <w:ind w:firstLineChars="196" w:firstLine="412"/>
        <w:contextualSpacing/>
        <w:rPr>
          <w:rFonts w:ascii="宋体" w:hAnsi="宋体"/>
        </w:rPr>
      </w:pPr>
      <w:r>
        <w:rPr>
          <w:rFonts w:ascii="宋体" w:hAnsi="宋体" w:hint="eastAsia"/>
        </w:rPr>
        <w:t>7.6  对工期的要求：投标人在投标时对其所投项目应提交交货进度、交货计划等，在合同规定的时间内完工验收。</w:t>
      </w:r>
    </w:p>
    <w:p w:rsidR="00C54C61" w:rsidRDefault="00BF3A17" w:rsidP="00EE5467">
      <w:pPr>
        <w:spacing w:line="360" w:lineRule="auto"/>
        <w:ind w:firstLineChars="196" w:firstLine="412"/>
        <w:contextualSpacing/>
        <w:rPr>
          <w:rFonts w:ascii="宋体" w:hAnsi="宋体"/>
        </w:rPr>
      </w:pPr>
      <w:r>
        <w:rPr>
          <w:rFonts w:ascii="宋体" w:hAnsi="宋体" w:hint="eastAsia"/>
        </w:rPr>
        <w:t>7.7  投标人必须承担的设备运输、安装调试、验收检测和提供设备操作说明书、图纸等其他相关及类似的义务。</w:t>
      </w:r>
    </w:p>
    <w:p w:rsidR="00C54C61" w:rsidRDefault="00BF3A17">
      <w:pPr>
        <w:spacing w:line="360" w:lineRule="auto"/>
        <w:contextualSpacing/>
        <w:rPr>
          <w:rFonts w:ascii="黑体" w:eastAsia="黑体" w:hAnsi="宋体"/>
          <w:sz w:val="24"/>
        </w:rPr>
      </w:pPr>
      <w:r>
        <w:rPr>
          <w:rFonts w:ascii="黑体" w:eastAsia="黑体" w:hAnsi="宋体" w:hint="eastAsia"/>
          <w:sz w:val="24"/>
        </w:rPr>
        <w:t>8．投标费用</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不论投标结果如何，投标人应承担其编制投标文件与递交投标文件所涉及的一切费用。</w:t>
      </w:r>
    </w:p>
    <w:p w:rsidR="00C54C61" w:rsidRDefault="00BF3A17">
      <w:pPr>
        <w:spacing w:line="360" w:lineRule="auto"/>
        <w:contextualSpacing/>
        <w:rPr>
          <w:rFonts w:ascii="黑体" w:eastAsia="黑体" w:hAnsi="宋体"/>
          <w:sz w:val="24"/>
        </w:rPr>
      </w:pPr>
      <w:r>
        <w:rPr>
          <w:rFonts w:ascii="黑体" w:eastAsia="黑体" w:hAnsi="宋体" w:hint="eastAsia"/>
          <w:sz w:val="24"/>
        </w:rPr>
        <w:t>9．踏勘现场</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9.1如有需要（详见专用条款），采购实施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C54C61" w:rsidRDefault="00BF3A17" w:rsidP="00EE5467">
      <w:pPr>
        <w:spacing w:line="360" w:lineRule="auto"/>
        <w:ind w:firstLineChars="196" w:firstLine="412"/>
        <w:contextualSpacing/>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rsidR="00C54C61" w:rsidRDefault="00BF3A17" w:rsidP="00EE5467">
      <w:pPr>
        <w:spacing w:line="360" w:lineRule="auto"/>
        <w:ind w:firstLineChars="196" w:firstLine="412"/>
        <w:contextualSpacing/>
        <w:rPr>
          <w:rFonts w:ascii="宋体" w:hAnsi="宋体"/>
        </w:rPr>
      </w:pPr>
      <w:r>
        <w:rPr>
          <w:rFonts w:ascii="宋体" w:hAnsi="宋体" w:hint="eastAsia"/>
        </w:rPr>
        <w:t>9.3采购人必须通过采购实施机构向投标人提供有关现场的资料和数据。</w:t>
      </w:r>
    </w:p>
    <w:p w:rsidR="00C54C61" w:rsidRDefault="00BF3A17" w:rsidP="00EE5467">
      <w:pPr>
        <w:spacing w:line="360" w:lineRule="auto"/>
        <w:ind w:firstLineChars="196" w:firstLine="412"/>
        <w:contextualSpacing/>
        <w:rPr>
          <w:rFonts w:ascii="宋体" w:hAnsi="宋体"/>
        </w:rPr>
      </w:pPr>
      <w:r>
        <w:rPr>
          <w:rFonts w:ascii="宋体" w:hAnsi="宋体" w:hint="eastAsia"/>
        </w:rPr>
        <w:t>9.4任何人或任何组织在踏勘现场时向投标人提交的任何书面资料或口头承诺，未经</w:t>
      </w:r>
      <w:r>
        <w:rPr>
          <w:rFonts w:ascii="宋体" w:hAnsi="宋体" w:hint="eastAsia"/>
          <w:szCs w:val="21"/>
        </w:rPr>
        <w:t>采购实施机构</w:t>
      </w:r>
      <w:r>
        <w:rPr>
          <w:rFonts w:ascii="宋体" w:hAnsi="宋体" w:hint="eastAsia"/>
        </w:rPr>
        <w:t>在网上发布或书面通知，均作无效处理。</w:t>
      </w:r>
    </w:p>
    <w:p w:rsidR="00C54C61" w:rsidRDefault="00BF3A17">
      <w:pPr>
        <w:spacing w:line="360" w:lineRule="auto"/>
        <w:contextualSpacing/>
        <w:rPr>
          <w:rFonts w:ascii="黑体" w:eastAsia="黑体" w:hAnsi="宋体"/>
          <w:sz w:val="24"/>
        </w:rPr>
      </w:pPr>
      <w:r>
        <w:rPr>
          <w:rFonts w:ascii="黑体" w:eastAsia="黑体" w:hAnsi="宋体" w:hint="eastAsia"/>
          <w:sz w:val="24"/>
        </w:rPr>
        <w:t>10．招标答疑</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10.2投标人如对招标文件内容有疑问，必须在招标文件规定的答疑截止时间前以网上提问形式提交采购实施机构。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10.3采购实施机构对疑问所做出的澄清和解答，以书面答复（包括网站发布信息）为准。答疑纪要的有效性规定按照本通用条款第13</w:t>
      </w:r>
      <w:r>
        <w:rPr>
          <w:rFonts w:ascii="宋体" w:hAnsi="宋体"/>
          <w:szCs w:val="21"/>
        </w:rPr>
        <w:t>.3</w:t>
      </w:r>
      <w:r>
        <w:rPr>
          <w:rFonts w:ascii="宋体" w:hAnsi="宋体" w:hint="eastAsia"/>
          <w:szCs w:val="21"/>
        </w:rPr>
        <w:t>、13</w:t>
      </w:r>
      <w:r>
        <w:rPr>
          <w:rFonts w:ascii="宋体" w:hAnsi="宋体"/>
          <w:szCs w:val="21"/>
        </w:rPr>
        <w:t>.4</w:t>
      </w:r>
      <w:r>
        <w:rPr>
          <w:rFonts w:ascii="宋体" w:hAnsi="宋体" w:hint="eastAsia"/>
          <w:szCs w:val="21"/>
        </w:rPr>
        <w:t>款规定执行。</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10.4如采购实施机构认为有必要组织现场答疑会，投标人应按照招标文件规定的时间或采购实施机构另行书面通知（包括网站发布的通知）的时间和地点，参与现场答疑会。</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10.5未参与招标答疑不作为否定投标人资格的理由。</w:t>
      </w:r>
    </w:p>
    <w:p w:rsidR="00C54C61" w:rsidRDefault="00C54C61" w:rsidP="00EE5467">
      <w:pPr>
        <w:spacing w:line="360" w:lineRule="auto"/>
        <w:ind w:firstLineChars="196" w:firstLine="412"/>
        <w:contextualSpacing/>
        <w:rPr>
          <w:rFonts w:ascii="宋体" w:hAnsi="宋体"/>
        </w:rPr>
      </w:pPr>
    </w:p>
    <w:p w:rsidR="00C54C61" w:rsidRDefault="00BF3A17">
      <w:pPr>
        <w:pStyle w:val="2"/>
        <w:numPr>
          <w:ilvl w:val="0"/>
          <w:numId w:val="13"/>
        </w:numPr>
        <w:spacing w:beforeLines="50" w:before="120" w:afterLines="50" w:after="120" w:line="360" w:lineRule="auto"/>
        <w:contextualSpacing/>
        <w:rPr>
          <w:sz w:val="28"/>
          <w:szCs w:val="28"/>
        </w:rPr>
      </w:pPr>
      <w:r>
        <w:rPr>
          <w:rFonts w:hint="eastAsia"/>
          <w:sz w:val="28"/>
          <w:szCs w:val="28"/>
        </w:rPr>
        <w:t>招标文件</w:t>
      </w:r>
    </w:p>
    <w:p w:rsidR="00C54C61" w:rsidRDefault="00BF3A17">
      <w:pPr>
        <w:spacing w:line="360" w:lineRule="auto"/>
        <w:contextualSpacing/>
        <w:rPr>
          <w:rFonts w:ascii="黑体" w:eastAsia="黑体" w:hAnsi="宋体"/>
          <w:sz w:val="24"/>
        </w:rPr>
      </w:pPr>
      <w:r>
        <w:rPr>
          <w:rFonts w:ascii="黑体" w:eastAsia="黑体" w:hAnsi="宋体" w:hint="eastAsia"/>
          <w:sz w:val="24"/>
        </w:rPr>
        <w:t>11．招标文件的编制与组成</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11.1招标文件除以下内容外，采购实施机构在招标（或谈判）期间发出的答疑、澄清或修改等相关公告或通知内容，均是招标文件的组成部分，对投标人起约束作用；</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招标文件包括下列内容：</w:t>
      </w:r>
    </w:p>
    <w:p w:rsidR="00C54C61" w:rsidRDefault="00BF3A17">
      <w:pPr>
        <w:spacing w:line="360" w:lineRule="auto"/>
        <w:ind w:leftChars="200" w:left="420" w:firstLineChars="196" w:firstLine="413"/>
        <w:contextualSpacing/>
        <w:rPr>
          <w:rFonts w:ascii="宋体" w:hAnsi="宋体"/>
          <w:b/>
          <w:szCs w:val="21"/>
        </w:rPr>
      </w:pPr>
      <w:r>
        <w:rPr>
          <w:rFonts w:ascii="宋体" w:hAnsi="宋体" w:hint="eastAsia"/>
          <w:b/>
          <w:szCs w:val="21"/>
        </w:rPr>
        <w:t>第一册  专用条款</w:t>
      </w:r>
    </w:p>
    <w:p w:rsidR="00C54C61" w:rsidRDefault="00BF3A17">
      <w:pPr>
        <w:spacing w:line="360" w:lineRule="auto"/>
        <w:ind w:leftChars="514" w:left="1079"/>
        <w:contextualSpacing/>
        <w:rPr>
          <w:rFonts w:ascii="宋体" w:hAnsi="宋体"/>
          <w:b/>
          <w:szCs w:val="21"/>
        </w:rPr>
      </w:pPr>
      <w:r>
        <w:rPr>
          <w:rFonts w:ascii="宋体" w:hAnsi="宋体" w:hint="eastAsia"/>
          <w:b/>
          <w:szCs w:val="21"/>
        </w:rPr>
        <w:t>关键信息</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第一章  招标公告</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第二章  招标项目需求</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 xml:space="preserve">第三章  </w:t>
      </w:r>
      <w:r>
        <w:rPr>
          <w:rFonts w:hint="eastAsia"/>
        </w:rPr>
        <w:t>投标文件格式、附件</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第四章  合同及履约情况反馈格式</w:t>
      </w:r>
    </w:p>
    <w:p w:rsidR="00C54C61" w:rsidRDefault="00BF3A17">
      <w:pPr>
        <w:spacing w:line="360" w:lineRule="auto"/>
        <w:ind w:leftChars="200" w:left="420" w:firstLineChars="196" w:firstLine="413"/>
        <w:contextualSpacing/>
        <w:rPr>
          <w:rFonts w:ascii="宋体" w:hAnsi="宋体"/>
          <w:b/>
          <w:szCs w:val="21"/>
        </w:rPr>
      </w:pPr>
      <w:r>
        <w:rPr>
          <w:rFonts w:ascii="宋体" w:hAnsi="宋体" w:hint="eastAsia"/>
          <w:b/>
          <w:szCs w:val="21"/>
        </w:rPr>
        <w:t>第二册  通用条款</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第一章  总则</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第二章  招标文件</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第三章  投标文件的编制</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第四章  投标文件的递交</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第五章  开标</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第六章  评标要求</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第七章  评标程序及评标方法</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第八章  定标及公示</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第九章  公开招标失败的后续处理</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第十章  合同的授予与备案</w:t>
      </w:r>
    </w:p>
    <w:p w:rsidR="00C54C61" w:rsidRDefault="00BF3A17" w:rsidP="00EE5467">
      <w:pPr>
        <w:spacing w:line="360" w:lineRule="auto"/>
        <w:ind w:leftChars="300" w:left="630" w:firstLineChars="196" w:firstLine="412"/>
        <w:contextualSpacing/>
        <w:rPr>
          <w:rFonts w:ascii="宋体" w:hAnsi="宋体"/>
          <w:szCs w:val="21"/>
        </w:rPr>
      </w:pPr>
      <w:r>
        <w:rPr>
          <w:rFonts w:ascii="宋体" w:hAnsi="宋体" w:hint="eastAsia"/>
          <w:szCs w:val="21"/>
        </w:rPr>
        <w:t>第十一章  质疑处理</w:t>
      </w:r>
    </w:p>
    <w:p w:rsidR="00C54C61" w:rsidRDefault="00C54C61" w:rsidP="00EE5467">
      <w:pPr>
        <w:spacing w:line="360" w:lineRule="auto"/>
        <w:ind w:leftChars="300" w:left="630" w:firstLineChars="196" w:firstLine="412"/>
        <w:contextualSpacing/>
        <w:rPr>
          <w:rFonts w:ascii="宋体" w:hAnsi="宋体"/>
          <w:szCs w:val="21"/>
        </w:rPr>
      </w:pP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11.2 投标人下载招标文件后，应仔细检查招标文件的所有内容，如有疑问应在答疑截止时间之前向采购实施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w:t>
      </w:r>
      <w:r>
        <w:rPr>
          <w:rFonts w:ascii="宋体" w:hAnsi="宋体" w:hint="eastAsia"/>
          <w:szCs w:val="21"/>
        </w:rPr>
        <w:t>采购实施机构</w:t>
      </w:r>
      <w:r>
        <w:rPr>
          <w:rFonts w:ascii="宋体" w:hAnsi="宋体" w:hint="eastAsia"/>
        </w:rPr>
        <w:t>在网上发布或书面通知，均作无效处理，不得作为招标文件的组成部分。</w:t>
      </w:r>
      <w:r>
        <w:rPr>
          <w:rFonts w:ascii="宋体" w:hAnsi="宋体" w:hint="eastAsia"/>
          <w:szCs w:val="21"/>
        </w:rPr>
        <w:t>采购实施机构</w:t>
      </w:r>
      <w:r>
        <w:rPr>
          <w:rFonts w:ascii="宋体" w:hAnsi="宋体" w:hint="eastAsia"/>
        </w:rPr>
        <w:t>对投标人由此而做出的推论、理解和结论概不负责。</w:t>
      </w:r>
    </w:p>
    <w:p w:rsidR="00C54C61" w:rsidRDefault="00BF3A17">
      <w:pPr>
        <w:spacing w:line="360" w:lineRule="auto"/>
        <w:contextualSpacing/>
        <w:rPr>
          <w:rFonts w:ascii="黑体" w:eastAsia="黑体" w:hAnsi="宋体"/>
          <w:sz w:val="24"/>
        </w:rPr>
      </w:pPr>
      <w:r>
        <w:rPr>
          <w:rFonts w:ascii="黑体" w:eastAsia="黑体" w:hAnsi="宋体" w:hint="eastAsia"/>
          <w:sz w:val="24"/>
        </w:rPr>
        <w:t>12．招标文件的澄清</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12.1投标人如对招标文件内容有疑问，必须在招标文件规定的答疑截止时间前以网上提问形式提交给采购实施机构。不论是采购实施机构根据需要主动对招标文件进行必要的澄清或是根据投标人的要求对招标文件做出澄清，采购实施机构都将在投标截止日期前以书面形式（包括采购实施机构网站公开发布方式）答复或发送给所有投标人。澄清纪要作为招标文件的组成部分，对投标人起约束作用；</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，投标截止期后不再受理针对招标文件的相关质疑或投诉。</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12.3 对招标文件中描述有歧意或前后不一致的地方，评审委员会有权进行评判，但对同一条款的评判应适用于每个投标人。</w:t>
      </w:r>
    </w:p>
    <w:p w:rsidR="00C54C61" w:rsidRDefault="00BF3A17">
      <w:pPr>
        <w:spacing w:line="360" w:lineRule="auto"/>
        <w:contextualSpacing/>
        <w:rPr>
          <w:rFonts w:ascii="黑体" w:eastAsia="黑体" w:hAnsi="宋体"/>
          <w:sz w:val="24"/>
        </w:rPr>
      </w:pPr>
      <w:r>
        <w:rPr>
          <w:rFonts w:ascii="黑体" w:eastAsia="黑体" w:hAnsi="宋体"/>
          <w:sz w:val="24"/>
        </w:rPr>
        <w:t>1</w:t>
      </w:r>
      <w:r>
        <w:rPr>
          <w:rFonts w:ascii="黑体" w:eastAsia="黑体" w:hAnsi="宋体" w:hint="eastAsia"/>
          <w:sz w:val="24"/>
        </w:rPr>
        <w:t>3．招标文件的修改</w:t>
      </w:r>
    </w:p>
    <w:p w:rsidR="00C54C61" w:rsidRDefault="00BF3A17" w:rsidP="00EE5467">
      <w:pPr>
        <w:spacing w:line="360" w:lineRule="auto"/>
        <w:ind w:firstLineChars="196" w:firstLine="412"/>
        <w:contextualSpacing/>
        <w:rPr>
          <w:rFonts w:ascii="宋体" w:hAnsi="宋体"/>
          <w:szCs w:val="21"/>
        </w:rPr>
      </w:pPr>
      <w:r>
        <w:rPr>
          <w:rFonts w:ascii="宋体" w:hAnsi="宋体"/>
          <w:szCs w:val="21"/>
        </w:rPr>
        <w:t>1</w:t>
      </w:r>
      <w:r>
        <w:rPr>
          <w:rFonts w:ascii="宋体" w:hAnsi="宋体" w:hint="eastAsia"/>
          <w:szCs w:val="21"/>
        </w:rPr>
        <w:t>3.1招标文件发出后，在投标截止日期前任何时候，确需要变更招标内容的，采购实施机构可主动或在解答投标人提出的澄清问题时对招标文件进行修改；</w:t>
      </w:r>
    </w:p>
    <w:p w:rsidR="00C54C61" w:rsidRDefault="00BF3A17" w:rsidP="00EE5467">
      <w:pPr>
        <w:spacing w:line="360" w:lineRule="auto"/>
        <w:ind w:firstLineChars="196" w:firstLine="412"/>
        <w:contextualSpacing/>
        <w:rPr>
          <w:rFonts w:ascii="宋体" w:hAnsi="宋体"/>
          <w:szCs w:val="21"/>
        </w:rPr>
      </w:pPr>
      <w:r>
        <w:rPr>
          <w:rFonts w:ascii="宋体" w:hAnsi="宋体"/>
          <w:szCs w:val="21"/>
        </w:rPr>
        <w:t>1</w:t>
      </w:r>
      <w:r>
        <w:rPr>
          <w:rFonts w:ascii="宋体" w:hAnsi="宋体" w:hint="eastAsia"/>
          <w:szCs w:val="21"/>
        </w:rPr>
        <w:t>3.2招标文件的修改以书面形式（包括网站公开发布方式）发送给所有投标人，招标文件的修改内容作为招标文件的组成部分，并具有约束力。</w:t>
      </w:r>
    </w:p>
    <w:p w:rsidR="00C54C61" w:rsidRDefault="00BF3A17" w:rsidP="00EE5467">
      <w:pPr>
        <w:spacing w:line="360" w:lineRule="auto"/>
        <w:ind w:firstLineChars="196" w:firstLine="412"/>
        <w:contextualSpacing/>
        <w:rPr>
          <w:rFonts w:ascii="宋体" w:hAnsi="宋体"/>
          <w:szCs w:val="21"/>
        </w:rPr>
      </w:pPr>
      <w:r>
        <w:rPr>
          <w:rFonts w:ascii="宋体" w:hAnsi="宋体"/>
          <w:szCs w:val="21"/>
        </w:rPr>
        <w:t>1</w:t>
      </w:r>
      <w:r>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C54C61" w:rsidRDefault="00BF3A17" w:rsidP="00EE5467">
      <w:pPr>
        <w:spacing w:line="360" w:lineRule="auto"/>
        <w:ind w:firstLineChars="196" w:firstLine="412"/>
        <w:contextualSpacing/>
        <w:rPr>
          <w:rFonts w:ascii="宋体" w:hAnsi="宋体"/>
          <w:szCs w:val="21"/>
        </w:rPr>
      </w:pPr>
      <w:r>
        <w:rPr>
          <w:rFonts w:ascii="宋体" w:hAnsi="宋体"/>
          <w:szCs w:val="21"/>
        </w:rPr>
        <w:t>1</w:t>
      </w:r>
      <w:r>
        <w:rPr>
          <w:rFonts w:ascii="宋体" w:hAnsi="宋体" w:hint="eastAsia"/>
          <w:szCs w:val="21"/>
        </w:rPr>
        <w:t>3.4采购实施机构保证招标文件澄清（答疑）纪要和招标文件修改补充通知在投标截止时间前以网站公开发布形式或书面形式发送给所有投标人。为使投标人在编写投标文件时有充分时间对招标文件的修改部分进行研究，采购实施机构可以酌情延长递交投标文件的截止日期，具体时间将在修改补充通知中明确。</w:t>
      </w:r>
    </w:p>
    <w:p w:rsidR="00C54C61" w:rsidRDefault="00C54C61" w:rsidP="00EE5467">
      <w:pPr>
        <w:spacing w:line="360" w:lineRule="auto"/>
        <w:ind w:firstLineChars="196" w:firstLine="412"/>
        <w:contextualSpacing/>
        <w:rPr>
          <w:rFonts w:ascii="宋体" w:hAnsi="宋体"/>
          <w:szCs w:val="21"/>
        </w:rPr>
      </w:pPr>
    </w:p>
    <w:p w:rsidR="00C54C61" w:rsidRDefault="00BF3A17">
      <w:pPr>
        <w:pStyle w:val="2"/>
        <w:numPr>
          <w:ilvl w:val="0"/>
          <w:numId w:val="13"/>
        </w:numPr>
        <w:spacing w:beforeLines="50" w:before="120" w:afterLines="50" w:after="120" w:line="360" w:lineRule="auto"/>
        <w:contextualSpacing/>
        <w:rPr>
          <w:sz w:val="28"/>
          <w:szCs w:val="28"/>
        </w:rPr>
      </w:pPr>
      <w:r>
        <w:rPr>
          <w:rFonts w:hint="eastAsia"/>
          <w:sz w:val="28"/>
          <w:szCs w:val="28"/>
        </w:rPr>
        <w:t>投标文件的编制</w:t>
      </w:r>
    </w:p>
    <w:p w:rsidR="00C54C61" w:rsidRDefault="00BF3A17">
      <w:pPr>
        <w:spacing w:line="360" w:lineRule="auto"/>
        <w:contextualSpacing/>
        <w:rPr>
          <w:rFonts w:ascii="黑体" w:eastAsia="黑体" w:hAnsi="宋体"/>
          <w:sz w:val="24"/>
        </w:rPr>
      </w:pPr>
      <w:r>
        <w:rPr>
          <w:rFonts w:ascii="黑体" w:eastAsia="黑体" w:hAnsi="宋体" w:hint="eastAsia"/>
          <w:sz w:val="24"/>
        </w:rPr>
        <w:t>14．投标文件的语言及度量单位</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14.1 投标人与采购实施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14.2 除技术规范另有规定外，投标文件使用的度量单位，均采用中华人民共和国法定计量单位。</w:t>
      </w:r>
    </w:p>
    <w:p w:rsidR="00C54C61" w:rsidRDefault="00BF3A17">
      <w:pPr>
        <w:spacing w:line="360" w:lineRule="auto"/>
        <w:contextualSpacing/>
        <w:rPr>
          <w:rFonts w:ascii="黑体" w:eastAsia="黑体" w:hAnsi="宋体"/>
          <w:sz w:val="24"/>
        </w:rPr>
      </w:pPr>
      <w:r>
        <w:rPr>
          <w:rFonts w:ascii="黑体" w:eastAsia="黑体" w:hAnsi="宋体" w:hint="eastAsia"/>
          <w:sz w:val="24"/>
        </w:rPr>
        <w:t>15．投标文件的组成</w:t>
      </w:r>
    </w:p>
    <w:p w:rsidR="00C54C61" w:rsidRDefault="00BF3A17">
      <w:pPr>
        <w:spacing w:line="360" w:lineRule="auto"/>
        <w:ind w:firstLineChars="196" w:firstLine="413"/>
        <w:contextualSpacing/>
        <w:rPr>
          <w:rFonts w:ascii="宋体" w:hAnsi="宋体"/>
          <w:b/>
          <w:szCs w:val="21"/>
        </w:rPr>
      </w:pPr>
      <w:r>
        <w:rPr>
          <w:rFonts w:ascii="宋体" w:hAnsi="宋体" w:hint="eastAsia"/>
          <w:b/>
          <w:szCs w:val="21"/>
        </w:rPr>
        <w:t>具体内容请详见本项目</w:t>
      </w:r>
      <w:r>
        <w:rPr>
          <w:rFonts w:ascii="宋体" w:hAnsi="宋体" w:hint="eastAsia"/>
          <w:b/>
          <w:bCs/>
          <w:szCs w:val="21"/>
        </w:rPr>
        <w:t>招标文件第一册“专用条款”</w:t>
      </w:r>
      <w:r>
        <w:rPr>
          <w:rFonts w:ascii="宋体" w:hAnsi="宋体" w:hint="eastAsia"/>
          <w:b/>
          <w:szCs w:val="21"/>
        </w:rPr>
        <w:t>的相关内容。</w:t>
      </w:r>
    </w:p>
    <w:p w:rsidR="00C54C61" w:rsidRDefault="00BF3A17">
      <w:pPr>
        <w:spacing w:line="360" w:lineRule="auto"/>
        <w:contextualSpacing/>
        <w:rPr>
          <w:rFonts w:ascii="黑体" w:eastAsia="黑体" w:hAnsi="宋体"/>
          <w:sz w:val="24"/>
        </w:rPr>
      </w:pPr>
      <w:r>
        <w:rPr>
          <w:rFonts w:ascii="黑体" w:eastAsia="黑体" w:hAnsi="宋体" w:hint="eastAsia"/>
          <w:sz w:val="24"/>
        </w:rPr>
        <w:t>16．投标文件格式</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rsidR="00C54C61" w:rsidRDefault="00BF3A17">
      <w:pPr>
        <w:spacing w:line="360" w:lineRule="auto"/>
        <w:contextualSpacing/>
        <w:rPr>
          <w:rFonts w:ascii="黑体" w:eastAsia="黑体" w:hAnsi="宋体"/>
          <w:sz w:val="24"/>
        </w:rPr>
      </w:pPr>
      <w:r>
        <w:rPr>
          <w:rFonts w:ascii="黑体" w:eastAsia="黑体" w:hAnsi="宋体" w:hint="eastAsia"/>
          <w:sz w:val="24"/>
        </w:rPr>
        <w:t>17．投标货币</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本项目的投标应以人民币计。</w:t>
      </w:r>
    </w:p>
    <w:p w:rsidR="00C54C61" w:rsidRDefault="00BF3A17">
      <w:pPr>
        <w:spacing w:line="360" w:lineRule="auto"/>
        <w:contextualSpacing/>
        <w:rPr>
          <w:rFonts w:ascii="黑体" w:eastAsia="黑体" w:hAnsi="宋体"/>
          <w:sz w:val="24"/>
        </w:rPr>
      </w:pPr>
      <w:r>
        <w:rPr>
          <w:rFonts w:ascii="黑体" w:eastAsia="黑体" w:hAnsi="宋体" w:hint="eastAsia"/>
          <w:sz w:val="24"/>
        </w:rPr>
        <w:t>18．证明投标文件投标技术方案的合格性和符合招标文件规定的文件要求</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18</w:t>
      </w:r>
      <w:r>
        <w:rPr>
          <w:rFonts w:ascii="宋体" w:hAnsi="宋体"/>
          <w:szCs w:val="21"/>
        </w:rPr>
        <w:t xml:space="preserve">.1 </w:t>
      </w:r>
      <w:r>
        <w:rPr>
          <w:rFonts w:ascii="宋体" w:hAnsi="宋体" w:hint="eastAsia"/>
          <w:szCs w:val="21"/>
        </w:rPr>
        <w:t>投标人应提交证明文件证明其投标技术方案项下的货物、工程和服务的合格性符合招标文件规定。该投标技术方案及其证明文件作为投标文件的一部分。</w:t>
      </w:r>
    </w:p>
    <w:p w:rsidR="00C54C61" w:rsidRDefault="00BF3A17" w:rsidP="00EE5467">
      <w:pPr>
        <w:spacing w:line="360" w:lineRule="auto"/>
        <w:ind w:firstLineChars="196" w:firstLine="412"/>
        <w:contextualSpacing/>
        <w:rPr>
          <w:rFonts w:ascii="宋体" w:hAnsi="宋体"/>
          <w:szCs w:val="21"/>
        </w:rPr>
      </w:pPr>
      <w:r>
        <w:rPr>
          <w:rFonts w:ascii="宋体" w:hAnsi="宋体"/>
          <w:szCs w:val="21"/>
        </w:rPr>
        <w:t>1</w:t>
      </w:r>
      <w:r>
        <w:rPr>
          <w:rFonts w:ascii="宋体" w:hAnsi="宋体" w:hint="eastAsia"/>
          <w:szCs w:val="21"/>
        </w:rPr>
        <w:t>8</w:t>
      </w:r>
      <w:r>
        <w:rPr>
          <w:rFonts w:ascii="宋体" w:hAnsi="宋体"/>
          <w:szCs w:val="21"/>
        </w:rPr>
        <w:t xml:space="preserve">.2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18.2.1主要技术指标和性能的详细说明。</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18.2.</w:t>
      </w:r>
      <w:r>
        <w:rPr>
          <w:rFonts w:ascii="宋体" w:hAnsi="宋体"/>
          <w:szCs w:val="21"/>
        </w:rPr>
        <w:t>2</w:t>
      </w:r>
      <w:r>
        <w:rPr>
          <w:rFonts w:ascii="宋体" w:hAnsi="宋体" w:hint="eastAsia"/>
          <w:szCs w:val="21"/>
        </w:rPr>
        <w:t>投标产品从采购人开始使用至招标文件中规定的周期内正常、连续地使用所必须的备件和专用工具清单，包括备件和专用工具的货源及现行价格。</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18.2.</w:t>
      </w:r>
      <w:r>
        <w:rPr>
          <w:rFonts w:ascii="宋体" w:hAnsi="宋体"/>
          <w:szCs w:val="21"/>
        </w:rPr>
        <w:t>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rsidR="00C54C61" w:rsidRDefault="00BF3A17" w:rsidP="00EE5467">
      <w:pPr>
        <w:spacing w:line="360" w:lineRule="auto"/>
        <w:ind w:firstLineChars="196" w:firstLine="412"/>
        <w:contextualSpacing/>
        <w:rPr>
          <w:rFonts w:ascii="宋体" w:hAnsi="宋体"/>
          <w:szCs w:val="21"/>
        </w:rPr>
      </w:pPr>
      <w:r>
        <w:rPr>
          <w:rFonts w:ascii="宋体" w:hAnsi="宋体"/>
          <w:szCs w:val="21"/>
        </w:rPr>
        <w:t>1</w:t>
      </w:r>
      <w:r>
        <w:rPr>
          <w:rFonts w:ascii="宋体" w:hAnsi="宋体" w:hint="eastAsia"/>
          <w:szCs w:val="21"/>
        </w:rPr>
        <w:t>8</w:t>
      </w:r>
      <w:r>
        <w:rPr>
          <w:rFonts w:ascii="宋体" w:hAnsi="宋体"/>
          <w:szCs w:val="21"/>
        </w:rPr>
        <w:t>.</w:t>
      </w:r>
      <w:r>
        <w:rPr>
          <w:rFonts w:ascii="宋体" w:hAnsi="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rsidR="00C54C61" w:rsidRDefault="00BF3A17">
      <w:pPr>
        <w:spacing w:line="360" w:lineRule="auto"/>
        <w:contextualSpacing/>
        <w:rPr>
          <w:rFonts w:ascii="黑体" w:eastAsia="黑体" w:hAnsi="宋体"/>
          <w:sz w:val="24"/>
        </w:rPr>
      </w:pPr>
      <w:r>
        <w:rPr>
          <w:rFonts w:ascii="黑体" w:eastAsia="黑体" w:hAnsi="宋体" w:hint="eastAsia"/>
          <w:sz w:val="24"/>
        </w:rPr>
        <w:t>19．投标文件其他证明文件的要求</w:t>
      </w:r>
    </w:p>
    <w:p w:rsidR="00C54C61" w:rsidRDefault="00BF3A17">
      <w:pPr>
        <w:spacing w:line="360" w:lineRule="auto"/>
        <w:contextualSpacing/>
        <w:rPr>
          <w:rFonts w:ascii="宋体" w:hAnsi="宋体"/>
          <w:szCs w:val="21"/>
        </w:rPr>
      </w:pPr>
      <w:r>
        <w:rPr>
          <w:rFonts w:ascii="黑体" w:eastAsia="黑体" w:hAnsi="宋体" w:hint="eastAsia"/>
          <w:sz w:val="24"/>
        </w:rPr>
        <w:t xml:space="preserve">    </w:t>
      </w: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（1）被质疑供应商未能在合理时间内提供资料原件核对，且不能合理说明的；</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（2）被质疑供应商提供的资料原件与投标文件资料不一致的；</w:t>
      </w:r>
    </w:p>
    <w:p w:rsidR="00C54C61" w:rsidRDefault="00BF3A17">
      <w:pPr>
        <w:spacing w:line="360" w:lineRule="auto"/>
        <w:ind w:firstLineChars="200" w:firstLine="420"/>
        <w:contextualSpacing/>
        <w:rPr>
          <w:rFonts w:ascii="宋体" w:hAnsi="宋体"/>
          <w:szCs w:val="21"/>
        </w:rPr>
      </w:pPr>
      <w:r>
        <w:rPr>
          <w:rFonts w:ascii="宋体" w:hAnsi="宋体" w:hint="eastAsia"/>
          <w:szCs w:val="21"/>
        </w:rPr>
        <w:t>（3）被质疑供应商投标文件资料信息与在相应官方查询渠道查询到的信息不一致，且不能合理说明的。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C54C61" w:rsidRDefault="00BF3A17">
      <w:pPr>
        <w:spacing w:line="360" w:lineRule="auto"/>
        <w:contextualSpacing/>
        <w:rPr>
          <w:rFonts w:ascii="黑体" w:eastAsia="黑体" w:hAnsi="宋体"/>
          <w:sz w:val="24"/>
        </w:rPr>
      </w:pPr>
      <w:r>
        <w:rPr>
          <w:rFonts w:ascii="黑体" w:eastAsia="黑体" w:hAnsi="宋体" w:hint="eastAsia"/>
          <w:sz w:val="24"/>
        </w:rPr>
        <w:t>20．投标有效期</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20.2 在特殊的情况下，采购实施机构在原定的投标有效期满之前，采购实施机构可以根据需要以书面形式（包括网站公开发布方式）向投标人提出延长投标有效期的要求，对此要求投标人须以书面形式予以答复，投标人可以拒绝采购实施机构此项要求，其投标在原投标有效期满后不再有效。同意延长投标有效期的投标人不能要求也不允许修改其投标文件，但应当相应的延长投标担保有效期；</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20</w:t>
      </w:r>
      <w:r>
        <w:rPr>
          <w:rFonts w:ascii="宋体" w:hAnsi="宋体"/>
          <w:szCs w:val="21"/>
        </w:rPr>
        <w:t>.3</w:t>
      </w:r>
      <w:r>
        <w:rPr>
          <w:rFonts w:ascii="宋体" w:hAnsi="宋体" w:hint="eastAsia"/>
          <w:szCs w:val="21"/>
        </w:rPr>
        <w:t xml:space="preserve"> 中标单位的投标书有效期，截止于完成本招标文件规定的全部项目内容，并通过竣工验收及保修结束。</w:t>
      </w:r>
    </w:p>
    <w:p w:rsidR="00C54C61" w:rsidRDefault="00BF3A17">
      <w:pPr>
        <w:spacing w:line="360" w:lineRule="auto"/>
        <w:contextualSpacing/>
        <w:rPr>
          <w:rFonts w:ascii="黑体" w:eastAsia="黑体" w:hAnsi="宋体"/>
          <w:sz w:val="24"/>
        </w:rPr>
      </w:pPr>
      <w:r>
        <w:rPr>
          <w:rFonts w:ascii="黑体" w:eastAsia="黑体" w:hAnsi="宋体" w:hint="eastAsia"/>
          <w:sz w:val="24"/>
        </w:rPr>
        <w:t xml:space="preserve">21．关于投标保证金 </w:t>
      </w:r>
    </w:p>
    <w:p w:rsidR="00C54C61" w:rsidRDefault="00BF3A17">
      <w:pPr>
        <w:spacing w:line="360" w:lineRule="auto"/>
        <w:contextualSpacing/>
        <w:rPr>
          <w:rFonts w:ascii="宋体" w:hAnsi="宋体"/>
          <w:szCs w:val="21"/>
        </w:rPr>
      </w:pPr>
      <w:r>
        <w:rPr>
          <w:rFonts w:ascii="宋体" w:hAnsi="宋体" w:hint="eastAsia"/>
          <w:szCs w:val="21"/>
        </w:rPr>
        <w:t xml:space="preserve">    21.1 自2019年8月15日起，深圳公共资源交易中心停止收取投标保证金和履约保证金。深圳公共资源交易中心将同时为所有注册供应商开放投标权限（因受到主管部门处罚锁定投标权限的除外）。</w:t>
      </w:r>
    </w:p>
    <w:p w:rsidR="00C54C61" w:rsidRDefault="00BF3A17">
      <w:pPr>
        <w:spacing w:line="360" w:lineRule="auto"/>
        <w:contextualSpacing/>
        <w:rPr>
          <w:rFonts w:ascii="宋体" w:hAnsi="宋体"/>
          <w:szCs w:val="21"/>
        </w:rPr>
      </w:pPr>
      <w:r>
        <w:rPr>
          <w:rFonts w:ascii="宋体" w:hAnsi="宋体" w:hint="eastAsia"/>
          <w:szCs w:val="21"/>
        </w:rPr>
        <w:t xml:space="preserve">    21.2 咨询电话：0755-83948155。</w:t>
      </w:r>
    </w:p>
    <w:p w:rsidR="00C54C61" w:rsidRDefault="00BF3A17">
      <w:pPr>
        <w:spacing w:line="360" w:lineRule="auto"/>
        <w:contextualSpacing/>
        <w:rPr>
          <w:rFonts w:ascii="黑体" w:eastAsia="黑体" w:hAnsi="宋体"/>
          <w:sz w:val="24"/>
        </w:rPr>
      </w:pPr>
      <w:r>
        <w:rPr>
          <w:rFonts w:ascii="黑体" w:eastAsia="黑体" w:hAnsi="宋体" w:hint="eastAsia"/>
          <w:sz w:val="24"/>
        </w:rPr>
        <w:t>22．投标人的替代方案</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C54C61" w:rsidRDefault="00BF3A17">
      <w:pPr>
        <w:spacing w:line="360" w:lineRule="auto"/>
        <w:contextualSpacing/>
        <w:rPr>
          <w:rFonts w:ascii="黑体" w:eastAsia="黑体" w:hAnsi="宋体"/>
          <w:sz w:val="24"/>
        </w:rPr>
      </w:pPr>
      <w:r>
        <w:rPr>
          <w:rFonts w:ascii="黑体" w:eastAsia="黑体" w:hAnsi="宋体" w:hint="eastAsia"/>
          <w:sz w:val="24"/>
        </w:rPr>
        <w:t>23．</w:t>
      </w:r>
      <w:r>
        <w:rPr>
          <w:rFonts w:ascii="黑体" w:eastAsia="黑体" w:hAnsi="宋体"/>
          <w:sz w:val="24"/>
        </w:rPr>
        <w:t>投标文件的</w:t>
      </w:r>
      <w:r>
        <w:rPr>
          <w:rFonts w:ascii="黑体" w:eastAsia="黑体" w:hAnsi="宋体" w:hint="eastAsia"/>
          <w:sz w:val="24"/>
        </w:rPr>
        <w:t>制作</w:t>
      </w:r>
      <w:r>
        <w:rPr>
          <w:rFonts w:ascii="黑体" w:eastAsia="黑体" w:hAnsi="宋体"/>
          <w:sz w:val="24"/>
        </w:rPr>
        <w:t>要求</w:t>
      </w:r>
    </w:p>
    <w:p w:rsidR="00C54C61" w:rsidRDefault="00BF3A17" w:rsidP="00EE5467">
      <w:pPr>
        <w:spacing w:line="360" w:lineRule="auto"/>
        <w:ind w:firstLineChars="196" w:firstLine="412"/>
        <w:contextualSpacing/>
        <w:rPr>
          <w:rFonts w:ascii="宋体" w:hAnsi="宋体"/>
        </w:rPr>
      </w:pPr>
      <w:r>
        <w:rPr>
          <w:rFonts w:ascii="宋体" w:hAnsi="宋体" w:hint="eastAsia"/>
        </w:rPr>
        <w:t>23.1投标人应准备所投项目的电子投标文件一份。此电子投标文件须由投标人根据采购实施机构提供的后缀名为.zbs的电子招标文件、《投标书编制软件》编制【要求下载安装《投标书编辑软件》及其配套软件，使用电子密钥登录深圳市网上政府采购系统（</w:t>
      </w:r>
      <w:r>
        <w:t>http://www.szzfcg.cn/</w:t>
      </w:r>
      <w:r>
        <w:rPr>
          <w:rFonts w:hint="eastAsia"/>
        </w:rPr>
        <w:t>），然后在右侧的“相关链接”栏目中</w:t>
      </w:r>
      <w:r>
        <w:rPr>
          <w:rFonts w:ascii="宋体" w:hAnsi="宋体" w:hint="eastAsia"/>
        </w:rPr>
        <w:t>下载。在安装此软件之前，须先安装</w:t>
      </w:r>
      <w:r>
        <w:rPr>
          <w:rFonts w:ascii="宋体" w:hAnsi="宋体"/>
        </w:rPr>
        <w:t>Adobe Reader 7.0</w:t>
      </w:r>
      <w:r>
        <w:rPr>
          <w:rFonts w:ascii="宋体" w:hAnsi="宋体" w:hint="eastAsia"/>
        </w:rPr>
        <w:t>以上版本】。</w:t>
      </w:r>
    </w:p>
    <w:p w:rsidR="00C54C61" w:rsidRDefault="00BF3A17" w:rsidP="00EE5467">
      <w:pPr>
        <w:spacing w:line="360" w:lineRule="auto"/>
        <w:ind w:firstLineChars="196" w:firstLine="412"/>
        <w:contextualSpacing/>
        <w:rPr>
          <w:rFonts w:ascii="宋体" w:hAnsi="宋体"/>
        </w:rPr>
      </w:pPr>
      <w:r>
        <w:rPr>
          <w:rFonts w:ascii="宋体" w:hAnsi="宋体" w:hint="eastAsia"/>
        </w:rPr>
        <w:t>23.2投标人在使用《投标书编制软件》编制投标书时须注意：</w:t>
      </w:r>
    </w:p>
    <w:p w:rsidR="00C54C61" w:rsidRDefault="00BF3A17" w:rsidP="00EE5467">
      <w:pPr>
        <w:spacing w:line="360" w:lineRule="auto"/>
        <w:ind w:firstLineChars="196" w:firstLine="412"/>
        <w:contextualSpacing/>
        <w:rPr>
          <w:rFonts w:ascii="宋体" w:hAnsi="宋体"/>
        </w:rPr>
      </w:pPr>
      <w:r>
        <w:rPr>
          <w:rFonts w:ascii="宋体" w:hAnsi="宋体" w:hint="eastAsia"/>
        </w:rPr>
        <w:t>23.2.1导入《投标书编制软件》的招标文件项目编号、包号应与以此制作的投标文件项目编号、包号一致。例如，不能将甲项目A包的招标书导入《投标书编制软件》，制作乙项目B包的投标书。</w:t>
      </w:r>
    </w:p>
    <w:p w:rsidR="00C54C61" w:rsidRDefault="00BF3A17" w:rsidP="00EE5467">
      <w:pPr>
        <w:spacing w:line="360" w:lineRule="auto"/>
        <w:ind w:firstLineChars="196" w:firstLine="412"/>
        <w:contextualSpacing/>
        <w:rPr>
          <w:rFonts w:ascii="宋体" w:hAnsi="宋体"/>
        </w:rPr>
      </w:pPr>
      <w:r>
        <w:rPr>
          <w:rFonts w:ascii="宋体" w:hAnsi="宋体" w:hint="eastAsia"/>
        </w:rPr>
        <w:t>23.2.2不能用非本公司的电子密钥加密本公司的投标文件，或者用其它公司的登录用户上传本公司的投标文件。</w:t>
      </w:r>
    </w:p>
    <w:p w:rsidR="00C54C61" w:rsidRDefault="00BF3A17" w:rsidP="00EE5467">
      <w:pPr>
        <w:spacing w:line="360" w:lineRule="auto"/>
        <w:ind w:firstLineChars="196" w:firstLine="412"/>
        <w:contextualSpacing/>
        <w:rPr>
          <w:rFonts w:ascii="宋体" w:hAnsi="宋体"/>
        </w:rPr>
      </w:pPr>
      <w:r>
        <w:rPr>
          <w:rFonts w:ascii="宋体" w:hAnsi="宋体" w:hint="eastAsia"/>
        </w:rPr>
        <w:t>23.2.3要求用《投标书编制软件》编制投标书的包，不能用其它方式编制投标书。编制投标文件时，电脑须连通互联网。</w:t>
      </w:r>
    </w:p>
    <w:p w:rsidR="00C54C61" w:rsidRDefault="00BF3A17" w:rsidP="00EE5467">
      <w:pPr>
        <w:spacing w:line="360" w:lineRule="auto"/>
        <w:ind w:firstLineChars="196" w:firstLine="412"/>
        <w:contextualSpacing/>
        <w:rPr>
          <w:rFonts w:ascii="宋体" w:hAnsi="宋体"/>
        </w:rPr>
      </w:pPr>
      <w:r>
        <w:rPr>
          <w:rFonts w:ascii="宋体" w:hAnsi="宋体" w:hint="eastAsia"/>
        </w:rPr>
        <w:t>23.2.4投标文件不能带病毒。采购实施机构将用专业杀毒软件对投标文件进行病毒检测，如果这两种软件均报告发现病毒，则采购实施机构认为该投标文件带病毒。</w:t>
      </w:r>
    </w:p>
    <w:p w:rsidR="00C54C61" w:rsidRDefault="00BF3A17" w:rsidP="00EE5467">
      <w:pPr>
        <w:spacing w:line="360" w:lineRule="auto"/>
        <w:ind w:firstLineChars="196" w:firstLine="412"/>
        <w:contextualSpacing/>
        <w:rPr>
          <w:rFonts w:ascii="宋体" w:hAnsi="宋体"/>
        </w:rPr>
      </w:pPr>
      <w:r>
        <w:rPr>
          <w:rFonts w:ascii="宋体" w:hAnsi="宋体" w:hint="eastAsia"/>
        </w:rPr>
        <w:t>23.2.5完整填写“投标关键信息”，如下图所示：</w:t>
      </w:r>
    </w:p>
    <w:p w:rsidR="00C54C61" w:rsidRDefault="00BF3A17" w:rsidP="00EE5467">
      <w:pPr>
        <w:spacing w:line="360" w:lineRule="auto"/>
        <w:ind w:firstLineChars="196" w:firstLine="412"/>
        <w:contextualSpacing/>
        <w:rPr>
          <w:rFonts w:ascii="宋体" w:hAnsi="宋体"/>
        </w:rPr>
      </w:pPr>
      <w:r>
        <w:rPr>
          <w:rFonts w:ascii="宋体" w:hAnsi="宋体" w:hint="eastAsia"/>
        </w:rPr>
        <w:t>（1）货物类</w:t>
      </w:r>
    </w:p>
    <w:p w:rsidR="00C54C61" w:rsidRDefault="00BF3A17" w:rsidP="00EE5467">
      <w:pPr>
        <w:spacing w:line="360" w:lineRule="auto"/>
        <w:ind w:firstLineChars="196" w:firstLine="412"/>
        <w:contextualSpacing/>
        <w:rPr>
          <w:rFonts w:ascii="宋体" w:hAnsi="宋体"/>
        </w:rPr>
      </w:pPr>
      <w:r>
        <w:rPr>
          <w:rFonts w:ascii="宋体" w:hAnsi="宋体"/>
          <w:noProof/>
        </w:rPr>
        <w:drawing>
          <wp:inline distT="0" distB="0" distL="0" distR="0" wp14:anchorId="5B3FA0B6" wp14:editId="33053DEF">
            <wp:extent cx="5276850" cy="3524250"/>
            <wp:effectExtent l="0" t="0" r="0" b="0"/>
            <wp:docPr id="5" name="图片 5" descr="C:\Users\weixun\Documents\Tencent Files\175277410\Image\C2C\Image1\T_D}XAT_OUE)6}FU%{YJA`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weixun\Documents\Tencent Files\175277410\Image\C2C\Image1\T_D}XAT_OUE)6}FU%{YJA`W.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276850" cy="3524250"/>
                    </a:xfrm>
                    <a:prstGeom prst="rect">
                      <a:avLst/>
                    </a:prstGeom>
                    <a:noFill/>
                    <a:ln>
                      <a:noFill/>
                    </a:ln>
                  </pic:spPr>
                </pic:pic>
              </a:graphicData>
            </a:graphic>
          </wp:inline>
        </w:drawing>
      </w:r>
    </w:p>
    <w:p w:rsidR="00C54C61" w:rsidRDefault="00BF3A17">
      <w:pPr>
        <w:spacing w:line="360" w:lineRule="auto"/>
        <w:ind w:firstLineChars="196" w:firstLine="413"/>
        <w:contextualSpacing/>
        <w:rPr>
          <w:rFonts w:ascii="宋体" w:hAnsi="宋体"/>
          <w:b/>
        </w:rPr>
      </w:pPr>
      <w:r>
        <w:rPr>
          <w:rFonts w:ascii="宋体" w:hAnsi="宋体" w:hint="eastAsia"/>
          <w:b/>
        </w:rPr>
        <w:t>备注：上述“开标一览表”中的“投标总价”将作为价格分计算依据；其它信息仅是对投标文件相关内容的概括性表述，不作为评审依据。</w:t>
      </w:r>
    </w:p>
    <w:p w:rsidR="00C54C61" w:rsidRDefault="00C54C61">
      <w:pPr>
        <w:spacing w:line="360" w:lineRule="auto"/>
        <w:ind w:firstLineChars="196" w:firstLine="413"/>
        <w:contextualSpacing/>
        <w:rPr>
          <w:rFonts w:ascii="宋体" w:hAnsi="宋体"/>
          <w:b/>
        </w:rPr>
      </w:pPr>
    </w:p>
    <w:p w:rsidR="00C54C61" w:rsidRDefault="00C54C61" w:rsidP="00EE5467">
      <w:pPr>
        <w:spacing w:line="360" w:lineRule="auto"/>
        <w:ind w:firstLineChars="196" w:firstLine="412"/>
        <w:contextualSpacing/>
        <w:rPr>
          <w:rFonts w:ascii="宋体" w:hAnsi="宋体"/>
        </w:rPr>
      </w:pPr>
    </w:p>
    <w:p w:rsidR="00C54C61" w:rsidRDefault="00C54C61" w:rsidP="00EE5467">
      <w:pPr>
        <w:spacing w:line="360" w:lineRule="auto"/>
        <w:ind w:firstLineChars="196" w:firstLine="412"/>
        <w:contextualSpacing/>
        <w:rPr>
          <w:rFonts w:ascii="宋体" w:hAnsi="宋体"/>
        </w:rPr>
      </w:pPr>
    </w:p>
    <w:p w:rsidR="00C54C61" w:rsidRDefault="00C54C61" w:rsidP="00EE5467">
      <w:pPr>
        <w:spacing w:line="360" w:lineRule="auto"/>
        <w:ind w:firstLineChars="196" w:firstLine="412"/>
        <w:contextualSpacing/>
        <w:rPr>
          <w:rFonts w:ascii="宋体" w:hAnsi="宋体"/>
        </w:rPr>
      </w:pPr>
    </w:p>
    <w:p w:rsidR="00C54C61" w:rsidRDefault="00C54C61" w:rsidP="00EE5467">
      <w:pPr>
        <w:spacing w:line="360" w:lineRule="auto"/>
        <w:ind w:firstLineChars="196" w:firstLine="412"/>
        <w:contextualSpacing/>
        <w:rPr>
          <w:rFonts w:ascii="宋体" w:hAnsi="宋体"/>
        </w:rPr>
      </w:pPr>
    </w:p>
    <w:p w:rsidR="00C54C61" w:rsidRDefault="00BF3A17" w:rsidP="00EE5467">
      <w:pPr>
        <w:spacing w:line="360" w:lineRule="auto"/>
        <w:ind w:firstLineChars="196" w:firstLine="412"/>
        <w:contextualSpacing/>
        <w:rPr>
          <w:rFonts w:ascii="宋体" w:hAnsi="宋体"/>
        </w:rPr>
      </w:pPr>
      <w:r>
        <w:rPr>
          <w:rFonts w:ascii="宋体" w:hAnsi="宋体" w:hint="eastAsia"/>
        </w:rPr>
        <w:t>（2）服务类</w:t>
      </w:r>
    </w:p>
    <w:p w:rsidR="00C54C61" w:rsidRDefault="00BF3A17">
      <w:pPr>
        <w:widowControl/>
        <w:spacing w:line="360" w:lineRule="auto"/>
        <w:contextualSpacing/>
        <w:jc w:val="left"/>
        <w:rPr>
          <w:rFonts w:ascii="宋体" w:hAnsi="宋体" w:cs="宋体"/>
          <w:kern w:val="0"/>
          <w:sz w:val="24"/>
        </w:rPr>
      </w:pPr>
      <w:r>
        <w:rPr>
          <w:rFonts w:ascii="宋体" w:hAnsi="宋体" w:cs="宋体"/>
          <w:noProof/>
          <w:kern w:val="0"/>
          <w:sz w:val="24"/>
        </w:rPr>
        <w:drawing>
          <wp:inline distT="0" distB="0" distL="0" distR="0" wp14:anchorId="6B25CF2A" wp14:editId="24897A31">
            <wp:extent cx="5276850" cy="3667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76850" cy="3667125"/>
                    </a:xfrm>
                    <a:prstGeom prst="rect">
                      <a:avLst/>
                    </a:prstGeom>
                    <a:noFill/>
                    <a:ln>
                      <a:noFill/>
                    </a:ln>
                  </pic:spPr>
                </pic:pic>
              </a:graphicData>
            </a:graphic>
          </wp:inline>
        </w:drawing>
      </w:r>
    </w:p>
    <w:p w:rsidR="00C54C61" w:rsidRDefault="00BF3A17">
      <w:pPr>
        <w:spacing w:line="360" w:lineRule="auto"/>
        <w:ind w:firstLineChars="196" w:firstLine="413"/>
        <w:contextualSpacing/>
        <w:rPr>
          <w:rFonts w:ascii="宋体" w:hAnsi="宋体"/>
          <w:b/>
        </w:rPr>
      </w:pPr>
      <w:r>
        <w:rPr>
          <w:rFonts w:ascii="宋体" w:hAnsi="宋体" w:hint="eastAsia"/>
          <w:b/>
        </w:rPr>
        <w:t>备注：上述“开标一览表”中的“投标总价”将作为价格分计算依据；其它信息仅是对投标文件相关内容的概括性表述，不作为评审依据。</w:t>
      </w:r>
    </w:p>
    <w:p w:rsidR="00C54C61" w:rsidRDefault="00BF3A17" w:rsidP="00EE5467">
      <w:pPr>
        <w:spacing w:line="360" w:lineRule="auto"/>
        <w:ind w:firstLineChars="196" w:firstLine="412"/>
        <w:contextualSpacing/>
        <w:rPr>
          <w:rFonts w:ascii="宋体" w:hAnsi="宋体"/>
        </w:rPr>
      </w:pPr>
      <w:r>
        <w:rPr>
          <w:rFonts w:ascii="宋体" w:hAnsi="宋体" w:hint="eastAsia"/>
        </w:rPr>
        <w:t>（3）工程类</w:t>
      </w:r>
    </w:p>
    <w:p w:rsidR="00C54C61" w:rsidRDefault="00BF3A17" w:rsidP="00EE5467">
      <w:pPr>
        <w:spacing w:line="360" w:lineRule="auto"/>
        <w:ind w:firstLineChars="196" w:firstLine="412"/>
        <w:contextualSpacing/>
        <w:rPr>
          <w:rFonts w:ascii="宋体" w:hAnsi="宋体"/>
        </w:rPr>
      </w:pPr>
      <w:r>
        <w:rPr>
          <w:rFonts w:ascii="宋体" w:hAnsi="宋体"/>
          <w:noProof/>
        </w:rPr>
        <w:drawing>
          <wp:inline distT="0" distB="0" distL="0" distR="0" wp14:anchorId="49216DE9" wp14:editId="228261C2">
            <wp:extent cx="5238750" cy="35528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38750" cy="3552825"/>
                    </a:xfrm>
                    <a:prstGeom prst="rect">
                      <a:avLst/>
                    </a:prstGeom>
                    <a:noFill/>
                    <a:ln>
                      <a:noFill/>
                    </a:ln>
                  </pic:spPr>
                </pic:pic>
              </a:graphicData>
            </a:graphic>
          </wp:inline>
        </w:drawing>
      </w:r>
    </w:p>
    <w:p w:rsidR="00C54C61" w:rsidRDefault="00BF3A17">
      <w:pPr>
        <w:spacing w:line="360" w:lineRule="auto"/>
        <w:ind w:firstLineChars="196" w:firstLine="413"/>
        <w:contextualSpacing/>
        <w:rPr>
          <w:rFonts w:ascii="宋体" w:hAnsi="宋体"/>
          <w:b/>
        </w:rPr>
      </w:pPr>
      <w:r>
        <w:rPr>
          <w:rFonts w:ascii="宋体" w:hAnsi="宋体" w:hint="eastAsia"/>
          <w:b/>
        </w:rPr>
        <w:t>备注：上述“开标一览表”中的“投标总价”将作为价格分计算依据；其它信息仅是对投标文件相关内容的概括性表述，不作为评审依据。</w:t>
      </w:r>
    </w:p>
    <w:p w:rsidR="00C54C61" w:rsidRDefault="00BF3A17" w:rsidP="00EE5467">
      <w:pPr>
        <w:spacing w:line="360" w:lineRule="auto"/>
        <w:ind w:firstLineChars="196" w:firstLine="412"/>
        <w:contextualSpacing/>
        <w:rPr>
          <w:rFonts w:ascii="宋体" w:hAnsi="宋体"/>
        </w:rPr>
      </w:pPr>
      <w:r>
        <w:rPr>
          <w:rFonts w:ascii="宋体" w:hAnsi="宋体" w:hint="eastAsia"/>
        </w:rPr>
        <w:t>23.2.6投标人在编辑投标文件时，</w:t>
      </w:r>
      <w:r>
        <w:rPr>
          <w:rFonts w:ascii="宋体" w:hAnsi="宋体" w:hint="eastAsia"/>
          <w:b/>
        </w:rPr>
        <w:t>在投标文件目录中属于本节点内容的必须在本节点中填写，填写到其他节点或附件，</w:t>
      </w:r>
      <w:r>
        <w:rPr>
          <w:rFonts w:ascii="宋体" w:hAnsi="宋体" w:hint="eastAsia"/>
        </w:rPr>
        <w:t>一切后果由供应商自行承担。</w:t>
      </w:r>
    </w:p>
    <w:p w:rsidR="00C54C61" w:rsidRDefault="00BF3A17" w:rsidP="00EE5467">
      <w:pPr>
        <w:spacing w:line="360" w:lineRule="auto"/>
        <w:ind w:firstLineChars="196" w:firstLine="412"/>
        <w:contextualSpacing/>
        <w:rPr>
          <w:rFonts w:ascii="宋体" w:hAnsi="宋体"/>
        </w:rPr>
      </w:pPr>
      <w:r>
        <w:rPr>
          <w:rFonts w:ascii="宋体" w:hAnsi="宋体" w:hint="eastAsia"/>
        </w:rPr>
        <w:t>23.2.7投标书编写完成后，</w:t>
      </w:r>
      <w:r>
        <w:rPr>
          <w:rFonts w:ascii="宋体" w:hAnsi="宋体" w:hint="eastAsia"/>
          <w:b/>
        </w:rPr>
        <w:t>必须用属于投标人的电子密钥进行加密，否则视同未盖公章，将导致投标文件无效。</w:t>
      </w:r>
    </w:p>
    <w:p w:rsidR="00C54C61" w:rsidRDefault="00BF3A17" w:rsidP="00EE5467">
      <w:pPr>
        <w:spacing w:line="360" w:lineRule="auto"/>
        <w:ind w:firstLineChars="196" w:firstLine="412"/>
        <w:contextualSpacing/>
        <w:rPr>
          <w:rFonts w:ascii="宋体" w:hAnsi="宋体"/>
        </w:rPr>
      </w:pPr>
      <w:r>
        <w:rPr>
          <w:rFonts w:ascii="宋体" w:hAnsi="宋体" w:hint="eastAsia"/>
        </w:rPr>
        <w:t>23.2.8</w:t>
      </w:r>
      <w:r>
        <w:rPr>
          <w:rFonts w:ascii="宋体" w:hAnsi="宋体" w:hint="eastAsia"/>
          <w:szCs w:val="21"/>
        </w:rPr>
        <w:t>采购实施机构</w:t>
      </w:r>
      <w:r>
        <w:rPr>
          <w:rFonts w:ascii="宋体" w:hAnsi="宋体" w:hint="eastAsia"/>
        </w:rPr>
        <w:t>不接受投标截止时间后递交的纸质、电子、传真等所有形式的投标文件。由于对网上招投标操作不熟悉或自身电脑、网络等原因导致不能在投标截止时间之前上传投标文件，</w:t>
      </w:r>
      <w:r>
        <w:rPr>
          <w:rFonts w:ascii="宋体" w:hAnsi="宋体" w:hint="eastAsia"/>
          <w:szCs w:val="21"/>
        </w:rPr>
        <w:t>采购实施机构</w:t>
      </w:r>
      <w:r>
        <w:rPr>
          <w:rFonts w:ascii="宋体" w:hAnsi="宋体" w:hint="eastAsia"/>
        </w:rPr>
        <w:t>概不负责。建议于开标前一个工作日完成投标文件的制作与上传，如上传确有困难，请及时咨询。</w:t>
      </w:r>
    </w:p>
    <w:p w:rsidR="00C54C61" w:rsidRDefault="00BF3A17" w:rsidP="00EE5467">
      <w:pPr>
        <w:spacing w:line="360" w:lineRule="auto"/>
        <w:ind w:firstLineChars="196" w:firstLine="412"/>
        <w:contextualSpacing/>
        <w:rPr>
          <w:rFonts w:ascii="宋体" w:hAnsi="宋体"/>
        </w:rPr>
      </w:pPr>
      <w:r>
        <w:rPr>
          <w:rFonts w:ascii="宋体" w:hAnsi="宋体" w:hint="eastAsia"/>
        </w:rPr>
        <w:t>23.2.9如果开标时出现网络故障、技术故障，影响了招投标活动，</w:t>
      </w:r>
      <w:r>
        <w:rPr>
          <w:rFonts w:ascii="宋体" w:hAnsi="宋体" w:hint="eastAsia"/>
          <w:szCs w:val="21"/>
        </w:rPr>
        <w:t>采购实施机构</w:t>
      </w:r>
      <w:r>
        <w:rPr>
          <w:rFonts w:ascii="宋体" w:hAnsi="宋体" w:hint="eastAsia"/>
        </w:rPr>
        <w:t>有权采取措施如延期、接受无法从网上上传的投标书等，以保障招投标活动的公开、公平和公正。</w:t>
      </w:r>
    </w:p>
    <w:p w:rsidR="00C54C61" w:rsidRDefault="00BF3A17" w:rsidP="00EE5467">
      <w:pPr>
        <w:spacing w:line="360" w:lineRule="auto"/>
        <w:ind w:firstLineChars="196" w:firstLine="412"/>
        <w:contextualSpacing/>
        <w:rPr>
          <w:rFonts w:ascii="宋体" w:hAnsi="宋体"/>
        </w:rPr>
      </w:pPr>
      <w:r>
        <w:rPr>
          <w:rFonts w:ascii="宋体" w:hAnsi="宋体" w:hint="eastAsia"/>
        </w:rPr>
        <w:t>23.3电报、电话、传真形式的投标概不接受。</w:t>
      </w:r>
    </w:p>
    <w:p w:rsidR="00C54C61" w:rsidRDefault="00BF3A17">
      <w:pPr>
        <w:spacing w:line="360" w:lineRule="auto"/>
        <w:ind w:firstLineChars="196" w:firstLine="413"/>
        <w:contextualSpacing/>
        <w:rPr>
          <w:rFonts w:ascii="宋体" w:hAnsi="宋体"/>
          <w:b/>
        </w:rPr>
      </w:pPr>
      <w:r>
        <w:rPr>
          <w:rFonts w:ascii="宋体" w:hAnsi="宋体" w:hint="eastAsia"/>
          <w:b/>
        </w:rPr>
        <w:t>23.4经投标人电子密钥加密的投标文件无须盖章或签字，</w:t>
      </w:r>
      <w:r>
        <w:rPr>
          <w:rFonts w:ascii="宋体" w:hAnsi="宋体" w:hint="eastAsia"/>
        </w:rPr>
        <w:t>专用条款另有要求的除外。</w:t>
      </w:r>
    </w:p>
    <w:p w:rsidR="00C54C61" w:rsidRDefault="00BF3A17">
      <w:pPr>
        <w:spacing w:line="360" w:lineRule="auto"/>
        <w:ind w:firstLineChars="196" w:firstLine="413"/>
        <w:contextualSpacing/>
        <w:rPr>
          <w:rFonts w:ascii="宋体" w:hAnsi="宋体"/>
        </w:rPr>
      </w:pPr>
      <w:r>
        <w:rPr>
          <w:rFonts w:ascii="宋体" w:hAnsi="宋体" w:hint="eastAsia"/>
          <w:b/>
        </w:rPr>
        <w:t>23.5</w:t>
      </w:r>
      <w:r>
        <w:rPr>
          <w:rFonts w:ascii="宋体" w:hAnsi="宋体" w:hint="eastAsia"/>
        </w:rPr>
        <w:t xml:space="preserve"> 资格证明文件提供扫描件，专用条款另有要求的除外。</w:t>
      </w:r>
    </w:p>
    <w:p w:rsidR="00C54C61" w:rsidRDefault="00C54C61" w:rsidP="00EE5467">
      <w:pPr>
        <w:spacing w:line="360" w:lineRule="auto"/>
        <w:ind w:firstLineChars="196" w:firstLine="412"/>
        <w:contextualSpacing/>
        <w:rPr>
          <w:rFonts w:ascii="宋体" w:hAnsi="宋体"/>
          <w:szCs w:val="21"/>
        </w:rPr>
      </w:pPr>
    </w:p>
    <w:p w:rsidR="00C54C61" w:rsidRDefault="00BF3A17">
      <w:pPr>
        <w:pStyle w:val="2"/>
        <w:numPr>
          <w:ilvl w:val="0"/>
          <w:numId w:val="13"/>
        </w:numPr>
        <w:spacing w:beforeLines="50" w:before="120" w:afterLines="50" w:after="120" w:line="360" w:lineRule="auto"/>
        <w:contextualSpacing/>
        <w:rPr>
          <w:sz w:val="28"/>
          <w:szCs w:val="28"/>
        </w:rPr>
      </w:pPr>
      <w:r>
        <w:rPr>
          <w:rFonts w:hint="eastAsia"/>
          <w:sz w:val="28"/>
          <w:szCs w:val="28"/>
        </w:rPr>
        <w:t>投标文件的递交</w:t>
      </w:r>
    </w:p>
    <w:p w:rsidR="00C54C61" w:rsidRDefault="00BF3A17">
      <w:pPr>
        <w:spacing w:line="360" w:lineRule="auto"/>
        <w:contextualSpacing/>
        <w:rPr>
          <w:rFonts w:ascii="黑体" w:eastAsia="黑体" w:hAnsi="宋体"/>
          <w:sz w:val="24"/>
        </w:rPr>
      </w:pPr>
      <w:r>
        <w:rPr>
          <w:rFonts w:ascii="黑体" w:eastAsia="黑体" w:hAnsi="宋体" w:hint="eastAsia"/>
          <w:sz w:val="24"/>
        </w:rPr>
        <w:t>24．投标书的保密</w:t>
      </w:r>
    </w:p>
    <w:p w:rsidR="00C54C61" w:rsidRDefault="00BF3A17" w:rsidP="00EE5467">
      <w:pPr>
        <w:spacing w:line="360" w:lineRule="auto"/>
        <w:ind w:firstLineChars="196" w:firstLine="412"/>
        <w:contextualSpacing/>
        <w:rPr>
          <w:rFonts w:ascii="宋体" w:hAnsi="宋体"/>
        </w:rPr>
      </w:pPr>
      <w:r>
        <w:rPr>
          <w:rFonts w:ascii="宋体" w:hAnsi="宋体" w:hint="eastAsia"/>
        </w:rPr>
        <w:t>24.1在投标文件制作完成后，在投标书编制软件点击“加密投标书”按钮进入加密界面，对投标书进行加密，也可单独使用“深圳政府标书加密软件”（一般是与投标书编制软件捆绑下载）进入加密界面进行加密，无需用其它加密方式。此加密程序确保投标文件在到达投标截止时间后才能解密查看。在加密过程中，请按照软件提示进行操作。加密界面如下图所示：</w:t>
      </w:r>
    </w:p>
    <w:p w:rsidR="00C54C61" w:rsidRDefault="00BF3A17">
      <w:pPr>
        <w:widowControl/>
        <w:spacing w:line="360" w:lineRule="auto"/>
        <w:contextualSpacing/>
        <w:jc w:val="left"/>
        <w:rPr>
          <w:rFonts w:ascii="宋体" w:hAnsi="宋体" w:cs="宋体"/>
          <w:kern w:val="0"/>
          <w:sz w:val="24"/>
        </w:rPr>
      </w:pPr>
      <w:r>
        <w:rPr>
          <w:rFonts w:ascii="宋体" w:hAnsi="宋体" w:cs="宋体"/>
          <w:noProof/>
          <w:kern w:val="0"/>
          <w:sz w:val="24"/>
        </w:rPr>
        <w:drawing>
          <wp:inline distT="0" distB="0" distL="0" distR="0" wp14:anchorId="7EED0858" wp14:editId="66661300">
            <wp:extent cx="4991100" cy="3933825"/>
            <wp:effectExtent l="0" t="0" r="0" b="9525"/>
            <wp:docPr id="2" name="图片 2" descr="C:\Users\weixun\AppData\Local\Temp\WeChat Files\0f46208c35b849896d64636a0e3bb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eixun\AppData\Local\Temp\WeChat Files\0f46208c35b849896d64636a0e3bb87.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991100" cy="3933825"/>
                    </a:xfrm>
                    <a:prstGeom prst="rect">
                      <a:avLst/>
                    </a:prstGeom>
                    <a:noFill/>
                    <a:ln>
                      <a:noFill/>
                    </a:ln>
                  </pic:spPr>
                </pic:pic>
              </a:graphicData>
            </a:graphic>
          </wp:inline>
        </w:drawing>
      </w:r>
    </w:p>
    <w:p w:rsidR="00C54C61" w:rsidRDefault="00C54C61">
      <w:pPr>
        <w:spacing w:line="360" w:lineRule="auto"/>
        <w:contextualSpacing/>
        <w:rPr>
          <w:sz w:val="24"/>
        </w:rPr>
      </w:pPr>
    </w:p>
    <w:p w:rsidR="00C54C61" w:rsidRDefault="00BF3A17">
      <w:pPr>
        <w:spacing w:line="360" w:lineRule="auto"/>
        <w:contextualSpacing/>
        <w:rPr>
          <w:sz w:val="24"/>
        </w:rPr>
      </w:pPr>
      <w:r>
        <w:rPr>
          <w:noProof/>
          <w:sz w:val="24"/>
        </w:rPr>
        <w:drawing>
          <wp:inline distT="0" distB="0" distL="0" distR="0" wp14:anchorId="74F3CA94" wp14:editId="47AF78F7">
            <wp:extent cx="4495800" cy="2171700"/>
            <wp:effectExtent l="0" t="0" r="0" b="0"/>
            <wp:docPr id="1" name="图片 1" descr="C:\Users\weixun\AppData\Local\Temp\WeChat Files\17bf5d9a0536cc3e4cdd2781a40dd7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eixun\AppData\Local\Temp\WeChat Files\17bf5d9a0536cc3e4cdd2781a40dd7f.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495800" cy="2171700"/>
                    </a:xfrm>
                    <a:prstGeom prst="rect">
                      <a:avLst/>
                    </a:prstGeom>
                    <a:noFill/>
                    <a:ln>
                      <a:noFill/>
                    </a:ln>
                  </pic:spPr>
                </pic:pic>
              </a:graphicData>
            </a:graphic>
          </wp:inline>
        </w:drawing>
      </w:r>
    </w:p>
    <w:p w:rsidR="00C54C61" w:rsidRDefault="00BF3A17">
      <w:pPr>
        <w:spacing w:line="360" w:lineRule="auto"/>
        <w:contextualSpacing/>
        <w:rPr>
          <w:rFonts w:ascii="宋体" w:hAnsi="宋体"/>
          <w:b/>
        </w:rPr>
      </w:pPr>
      <w:r>
        <w:rPr>
          <w:rFonts w:ascii="宋体" w:hAnsi="宋体" w:hint="eastAsia"/>
        </w:rPr>
        <w:t xml:space="preserve">   </w:t>
      </w:r>
      <w:r>
        <w:rPr>
          <w:rFonts w:ascii="宋体" w:hAnsi="宋体" w:hint="eastAsia"/>
          <w:b/>
        </w:rPr>
        <w:t xml:space="preserve"> 24.2若采购项目出现延期情况：</w:t>
      </w:r>
    </w:p>
    <w:p w:rsidR="00C54C61" w:rsidRDefault="00BF3A17">
      <w:pPr>
        <w:spacing w:line="360" w:lineRule="auto"/>
        <w:contextualSpacing/>
        <w:rPr>
          <w:rFonts w:ascii="黑体" w:eastAsia="黑体" w:hAnsi="宋体"/>
          <w:b/>
          <w:sz w:val="24"/>
        </w:rPr>
      </w:pPr>
      <w:r>
        <w:rPr>
          <w:rFonts w:ascii="宋体" w:hAnsi="宋体" w:hint="eastAsia"/>
          <w:b/>
        </w:rPr>
        <w:t>如果供下载的招标文件（后缀名为.ZBS）有更新，投标人必须重新下载招标文件、重新制作投标文件、重新加密投标文件、重新上传投标文件；如果供下载的招标文件（后缀名为.ZBS）没有更新，投标人必须重新加密投标文件、重新上传投标文件（是否重新制作投标文件根据项目实际情况定）。否则，投标人自行承担投标文件无法解密导致投标无效的后果。</w:t>
      </w:r>
    </w:p>
    <w:p w:rsidR="00C54C61" w:rsidRDefault="00BF3A17">
      <w:pPr>
        <w:spacing w:line="360" w:lineRule="auto"/>
        <w:contextualSpacing/>
        <w:rPr>
          <w:rFonts w:ascii="黑体" w:eastAsia="黑体" w:hAnsi="宋体"/>
          <w:sz w:val="24"/>
        </w:rPr>
      </w:pPr>
      <w:r>
        <w:rPr>
          <w:rFonts w:ascii="黑体" w:eastAsia="黑体" w:hAnsi="宋体" w:hint="eastAsia"/>
          <w:sz w:val="24"/>
        </w:rPr>
        <w:t>25．投标截止日期</w:t>
      </w:r>
    </w:p>
    <w:p w:rsidR="00C54C61" w:rsidRDefault="00BF3A17" w:rsidP="00EE5467">
      <w:pPr>
        <w:spacing w:line="360" w:lineRule="auto"/>
        <w:ind w:firstLineChars="196" w:firstLine="412"/>
        <w:contextualSpacing/>
        <w:rPr>
          <w:rFonts w:ascii="宋体" w:hAnsi="宋体"/>
        </w:rPr>
      </w:pPr>
      <w:r>
        <w:rPr>
          <w:rFonts w:ascii="宋体" w:hAnsi="宋体" w:hint="eastAsia"/>
        </w:rPr>
        <w:t>25</w:t>
      </w:r>
      <w:r>
        <w:rPr>
          <w:rFonts w:ascii="宋体" w:hAnsi="宋体"/>
        </w:rPr>
        <w:t>.</w:t>
      </w:r>
      <w:r>
        <w:rPr>
          <w:rFonts w:ascii="宋体" w:hAnsi="宋体" w:hint="eastAsia"/>
        </w:rPr>
        <w:t>1实行网上投标，</w:t>
      </w:r>
      <w:r>
        <w:rPr>
          <w:rFonts w:ascii="宋体" w:hAnsi="宋体"/>
        </w:rPr>
        <w:t>投标人必须</w:t>
      </w:r>
      <w:r>
        <w:rPr>
          <w:rFonts w:ascii="宋体" w:hAnsi="宋体" w:hint="eastAsia"/>
        </w:rPr>
        <w:t>在招标</w:t>
      </w:r>
      <w:r>
        <w:rPr>
          <w:rFonts w:ascii="宋体" w:hAnsi="宋体"/>
        </w:rPr>
        <w:t>文件规定的投标截止时间前</w:t>
      </w:r>
      <w:r>
        <w:rPr>
          <w:rFonts w:ascii="宋体" w:hAnsi="宋体" w:hint="eastAsia"/>
        </w:rPr>
        <w:t>用电子密钥登录“深圳公共资源交易中心网”（</w:t>
      </w:r>
      <w:r>
        <w:t>http://www.szzfcg.cn/</w:t>
      </w:r>
      <w:r>
        <w:rPr>
          <w:rFonts w:ascii="宋体" w:hAnsi="宋体" w:hint="eastAsia"/>
        </w:rPr>
        <w:t>），使用“应标管理”</w:t>
      </w:r>
      <w:r>
        <w:rPr>
          <w:rFonts w:ascii="宋体" w:hAnsi="宋体"/>
        </w:rPr>
        <w:t>—</w:t>
      </w:r>
      <w:r>
        <w:rPr>
          <w:rFonts w:ascii="宋体" w:hAnsi="宋体" w:hint="eastAsia"/>
        </w:rPr>
        <w:t>》“上传投标文件”功能点上传投标文件。如果没有该功能点，请用本公司的机构管理员在 “系统维护”</w:t>
      </w:r>
      <w:r>
        <w:rPr>
          <w:rFonts w:ascii="宋体" w:hAnsi="宋体"/>
        </w:rPr>
        <w:t>—</w:t>
      </w:r>
      <w:r>
        <w:rPr>
          <w:rFonts w:ascii="宋体" w:hAnsi="宋体" w:hint="eastAsia"/>
        </w:rPr>
        <w:t>》“修改用户权限”中增加该功能点，如果增加不成功，请在工作日与深圳公共资源交易中心联系。如果确有困难，多次上传均告失败，请在投标截止时间之前携带加密后的电子投标文件送达至深圳市采购中心501政府采购技术支持服务室。</w:t>
      </w:r>
    </w:p>
    <w:p w:rsidR="00C54C61" w:rsidRDefault="00BF3A17" w:rsidP="00EE5467">
      <w:pPr>
        <w:spacing w:line="360" w:lineRule="auto"/>
        <w:ind w:firstLineChars="196" w:firstLine="412"/>
        <w:contextualSpacing/>
        <w:rPr>
          <w:rFonts w:ascii="宋体" w:hAnsi="宋体"/>
        </w:rPr>
      </w:pPr>
      <w:r>
        <w:rPr>
          <w:rFonts w:ascii="宋体" w:hAnsi="宋体" w:hint="eastAsia"/>
        </w:rPr>
        <w:t>25.2</w:t>
      </w:r>
      <w:r>
        <w:rPr>
          <w:rFonts w:ascii="宋体" w:hAnsi="宋体" w:hint="eastAsia"/>
          <w:szCs w:val="21"/>
        </w:rPr>
        <w:t>采购实施机构</w:t>
      </w:r>
      <w:r>
        <w:rPr>
          <w:rFonts w:ascii="宋体" w:hAnsi="宋体" w:hint="eastAsia"/>
        </w:rPr>
        <w:t>可以按本通用条款第13条规定，通过修改招标文件自行决定酌情延长投标截止期。在此情况下，</w:t>
      </w:r>
      <w:r>
        <w:rPr>
          <w:rFonts w:ascii="宋体" w:hAnsi="宋体" w:hint="eastAsia"/>
          <w:szCs w:val="21"/>
        </w:rPr>
        <w:t>采购实施机构</w:t>
      </w:r>
      <w:r>
        <w:rPr>
          <w:rFonts w:ascii="宋体" w:hAnsi="宋体" w:hint="eastAsia"/>
        </w:rPr>
        <w:t>、采购人和投标人受投标截止期制约的所有权利和义务均应延长至新的截止期。</w:t>
      </w:r>
    </w:p>
    <w:p w:rsidR="00C54C61" w:rsidRDefault="00BF3A17" w:rsidP="00EE5467">
      <w:pPr>
        <w:spacing w:line="360" w:lineRule="auto"/>
        <w:ind w:firstLineChars="196" w:firstLine="412"/>
        <w:contextualSpacing/>
        <w:rPr>
          <w:rFonts w:ascii="宋体" w:hAnsi="宋体"/>
        </w:rPr>
      </w:pPr>
      <w:r>
        <w:rPr>
          <w:rFonts w:ascii="宋体" w:hAnsi="宋体" w:hint="eastAsia"/>
        </w:rPr>
        <w:t>25</w:t>
      </w:r>
      <w:r>
        <w:rPr>
          <w:rFonts w:ascii="宋体" w:hAnsi="宋体"/>
        </w:rPr>
        <w:t>.</w:t>
      </w:r>
      <w:r>
        <w:rPr>
          <w:rFonts w:ascii="宋体" w:hAnsi="宋体" w:hint="eastAsia"/>
        </w:rPr>
        <w:t>3投标截止时间以后不得上传投标文件。</w:t>
      </w:r>
    </w:p>
    <w:p w:rsidR="00C54C61" w:rsidRDefault="00BF3A17">
      <w:pPr>
        <w:spacing w:line="360" w:lineRule="auto"/>
        <w:contextualSpacing/>
        <w:rPr>
          <w:rFonts w:ascii="黑体" w:eastAsia="黑体" w:hAnsi="宋体"/>
          <w:sz w:val="24"/>
        </w:rPr>
      </w:pPr>
      <w:r>
        <w:rPr>
          <w:rFonts w:ascii="黑体" w:eastAsia="黑体" w:hAnsi="宋体" w:hint="eastAsia"/>
          <w:sz w:val="24"/>
        </w:rPr>
        <w:t>26. 样品的递交</w:t>
      </w:r>
    </w:p>
    <w:p w:rsidR="00C54C61" w:rsidRDefault="00BF3A17">
      <w:pPr>
        <w:spacing w:line="360" w:lineRule="auto"/>
        <w:contextualSpacing/>
        <w:rPr>
          <w:rFonts w:ascii="宋体" w:hAnsi="宋体"/>
          <w:szCs w:val="21"/>
        </w:rPr>
      </w:pPr>
      <w:r>
        <w:rPr>
          <w:rFonts w:ascii="宋体" w:hAnsi="宋体" w:hint="eastAsia"/>
          <w:szCs w:val="21"/>
        </w:rPr>
        <w:t xml:space="preserve">    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C54C61" w:rsidRDefault="00BF3A17">
      <w:pPr>
        <w:spacing w:line="360" w:lineRule="auto"/>
        <w:ind w:firstLine="420"/>
        <w:contextualSpacing/>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rsidR="00C54C61" w:rsidRDefault="00BF3A17">
      <w:pPr>
        <w:spacing w:line="360" w:lineRule="auto"/>
        <w:ind w:firstLineChars="200" w:firstLine="420"/>
        <w:contextualSpacing/>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rsidR="00C54C61" w:rsidRDefault="00BF3A17">
      <w:pPr>
        <w:spacing w:line="360" w:lineRule="auto"/>
        <w:ind w:firstLineChars="200" w:firstLine="420"/>
        <w:contextualSpacing/>
        <w:rPr>
          <w:bCs/>
          <w:szCs w:val="21"/>
        </w:rPr>
      </w:pPr>
      <w:r>
        <w:rPr>
          <w:rFonts w:hint="eastAsia"/>
          <w:bCs/>
          <w:szCs w:val="21"/>
        </w:rPr>
        <w:t>投标供应商授权人需在本项目投标截止时间前，提供法定代表人证明书（盖公章）、法定代表人授权委托书（盖公章）、授权委托人身份证原件和复印件、样品清单（加盖公章），到</w:t>
      </w:r>
      <w:r>
        <w:rPr>
          <w:rFonts w:ascii="宋体" w:hAnsi="宋体" w:hint="eastAsia"/>
          <w:szCs w:val="21"/>
        </w:rPr>
        <w:t>采购实施机构</w:t>
      </w:r>
      <w:r>
        <w:rPr>
          <w:rFonts w:hint="eastAsia"/>
          <w:bCs/>
          <w:szCs w:val="21"/>
        </w:rPr>
        <w:t>，按工作人员指引进行样品递交签到。</w:t>
      </w:r>
    </w:p>
    <w:p w:rsidR="00C54C61" w:rsidRDefault="00BF3A17">
      <w:pPr>
        <w:spacing w:line="360" w:lineRule="auto"/>
        <w:ind w:firstLineChars="200" w:firstLine="420"/>
        <w:contextualSpacing/>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rsidR="00C54C61" w:rsidRDefault="00BF3A17">
      <w:pPr>
        <w:spacing w:line="360" w:lineRule="auto"/>
        <w:ind w:firstLineChars="200" w:firstLine="420"/>
        <w:contextualSpacing/>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 xml:space="preserve">本项目投标截止时间后进行投标样品接收。投标样品接收必须进行身份核对、样品核对、登记确认、顺序编号。 </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（1）身份核对。</w:t>
      </w:r>
      <w:r>
        <w:rPr>
          <w:rFonts w:ascii="宋体" w:hAnsi="宋体" w:hint="eastAsia"/>
          <w:szCs w:val="21"/>
        </w:rPr>
        <w:t>采购实施机构</w:t>
      </w:r>
      <w:r>
        <w:rPr>
          <w:rFonts w:ascii="宋体" w:hAnsi="宋体" w:cs="宋体" w:hint="eastAsia"/>
          <w:kern w:val="0"/>
          <w:szCs w:val="18"/>
        </w:rPr>
        <w:t>核对投标供应商授权委托人提供的“法定代表人证明书（盖公章）、法定代表人授权委托书（盖公章）、授权委托人身份证原件和复印件”。资料不齐全的，不得接收投标样品。</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（2）样品核对。</w:t>
      </w:r>
      <w:r>
        <w:rPr>
          <w:rFonts w:ascii="宋体" w:hAnsi="宋体" w:hint="eastAsia"/>
          <w:szCs w:val="21"/>
        </w:rPr>
        <w:t>采购实施机构</w:t>
      </w:r>
      <w:r>
        <w:rPr>
          <w:rFonts w:ascii="宋体" w:hAnsi="宋体" w:cs="宋体" w:hint="eastAsia"/>
          <w:kern w:val="0"/>
          <w:szCs w:val="18"/>
        </w:rPr>
        <w:t>工作人员将投标样品与投标供应商提供的《样品清单》（盖公章）进行一一核对。有不一致的或损坏情况的，将要求供应商授权委托人在《样品清单》上注明。</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（3）登记确认。在完成身份核对及样品核对后，投标供应商授权委托人必须在《样品接收登记表》上登记确认。</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（4）顺序编号。</w:t>
      </w:r>
      <w:r>
        <w:rPr>
          <w:rFonts w:ascii="宋体" w:hAnsi="宋体" w:hint="eastAsia"/>
          <w:szCs w:val="21"/>
        </w:rPr>
        <w:t>采购实施机构</w:t>
      </w:r>
      <w:r>
        <w:rPr>
          <w:rFonts w:ascii="宋体" w:hAnsi="宋体" w:cs="宋体" w:hint="eastAsia"/>
          <w:kern w:val="0"/>
          <w:szCs w:val="18"/>
        </w:rPr>
        <w:t>工作人员按投标样品接收的先后顺序进行编号。</w:t>
      </w:r>
    </w:p>
    <w:p w:rsidR="00C54C61" w:rsidRDefault="00BF3A17">
      <w:pPr>
        <w:spacing w:line="360" w:lineRule="auto"/>
        <w:ind w:firstLineChars="200" w:firstLine="420"/>
        <w:contextualSpacing/>
        <w:rPr>
          <w:rFonts w:ascii="宋体" w:hAnsi="宋体" w:cs="宋体"/>
          <w:kern w:val="0"/>
          <w:szCs w:val="18"/>
        </w:rPr>
      </w:pPr>
      <w:r>
        <w:rPr>
          <w:rFonts w:ascii="宋体" w:hAnsi="宋体" w:hint="eastAsia"/>
          <w:szCs w:val="21"/>
        </w:rPr>
        <w:t>26.3采购实施机构</w:t>
      </w:r>
      <w:r>
        <w:rPr>
          <w:rFonts w:ascii="宋体" w:hAnsi="宋体" w:cs="宋体" w:hint="eastAsia"/>
          <w:kern w:val="0"/>
          <w:szCs w:val="18"/>
        </w:rPr>
        <w:t>负责组织投标样品摆样，指引供应商授权委托人将投标样品搬运到指定地点摆放、拆除包装，按要求摆放整齐。完成样品摆样后，供应商授权委托人应及时立场，不得在摆样现场滞留。</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26.4样品的退回：（1）未中标的供应商投标样品，</w:t>
      </w:r>
      <w:r>
        <w:rPr>
          <w:rFonts w:ascii="宋体" w:hAnsi="宋体" w:hint="eastAsia"/>
          <w:szCs w:val="21"/>
        </w:rPr>
        <w:t>采购实施机构</w:t>
      </w:r>
      <w:r>
        <w:rPr>
          <w:rFonts w:ascii="宋体" w:hAnsi="宋体" w:cs="宋体" w:hint="eastAsia"/>
          <w:kern w:val="0"/>
          <w:szCs w:val="18"/>
        </w:rPr>
        <w:t>工作人员将按规定进行通知，并要求供应商授权委托人在项目完成评审后的三个工作日内凭身份证及样品受理回执原件办理退回手续。（2）中标的供应商投标样品，</w:t>
      </w:r>
      <w:r>
        <w:rPr>
          <w:rFonts w:ascii="宋体" w:hAnsi="宋体" w:hint="eastAsia"/>
          <w:szCs w:val="21"/>
        </w:rPr>
        <w:t>采购实施机构</w:t>
      </w:r>
      <w:r>
        <w:rPr>
          <w:rFonts w:ascii="宋体" w:hAnsi="宋体" w:cs="宋体" w:hint="eastAsia"/>
          <w:kern w:val="0"/>
          <w:szCs w:val="18"/>
        </w:rPr>
        <w:t>工作人员将按规定进行通知，并要求采购人代表在中标通知书发放后三个工作日内凭中标通知书复印件及身份证原件办理领取手续。</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投标样品移交时，</w:t>
      </w:r>
      <w:r>
        <w:rPr>
          <w:rFonts w:ascii="宋体" w:hAnsi="宋体" w:hint="eastAsia"/>
          <w:szCs w:val="21"/>
        </w:rPr>
        <w:t>采购实施机构</w:t>
      </w:r>
      <w:r>
        <w:rPr>
          <w:rFonts w:ascii="宋体" w:hAnsi="宋体" w:cs="宋体" w:hint="eastAsia"/>
          <w:kern w:val="0"/>
          <w:szCs w:val="18"/>
        </w:rPr>
        <w:t>工作人员将再次核对供应商授权委托人或采购人代表身份、核对《样品清单》，签字确认后并取走样品。</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26.5未能及时退回的样品的处理：</w:t>
      </w:r>
    </w:p>
    <w:p w:rsidR="00C54C61" w:rsidRDefault="00BF3A17">
      <w:pPr>
        <w:spacing w:line="360" w:lineRule="auto"/>
        <w:ind w:firstLineChars="200" w:firstLine="420"/>
        <w:contextualSpacing/>
        <w:rPr>
          <w:rFonts w:ascii="宋体" w:hAnsi="宋体" w:cs="宋体"/>
          <w:kern w:val="0"/>
          <w:szCs w:val="18"/>
        </w:rPr>
      </w:pPr>
      <w:r>
        <w:rPr>
          <w:rFonts w:ascii="宋体" w:hAnsi="宋体" w:cs="宋体" w:hint="eastAsia"/>
          <w:kern w:val="0"/>
          <w:szCs w:val="18"/>
        </w:rPr>
        <w:t>（1）未中标供应商未在规定时间内（项目完成评审后三个工作日）内取回投标样品的，视为放弃取回，</w:t>
      </w:r>
      <w:r>
        <w:rPr>
          <w:rFonts w:ascii="宋体" w:hAnsi="宋体" w:hint="eastAsia"/>
          <w:szCs w:val="21"/>
        </w:rPr>
        <w:t>采购实施机构</w:t>
      </w:r>
      <w:r>
        <w:rPr>
          <w:rFonts w:ascii="宋体" w:hAnsi="宋体" w:cs="宋体" w:hint="eastAsia"/>
          <w:kern w:val="0"/>
          <w:szCs w:val="18"/>
        </w:rPr>
        <w:t>将定期清理。</w:t>
      </w:r>
    </w:p>
    <w:p w:rsidR="00C54C61" w:rsidRDefault="00BF3A17">
      <w:pPr>
        <w:spacing w:line="360" w:lineRule="auto"/>
        <w:ind w:firstLine="420"/>
        <w:contextualSpacing/>
        <w:rPr>
          <w:rFonts w:ascii="宋体" w:hAnsi="宋体"/>
          <w:szCs w:val="21"/>
        </w:rPr>
      </w:pPr>
      <w:r>
        <w:rPr>
          <w:rFonts w:ascii="宋体" w:hAnsi="宋体" w:cs="宋体" w:hint="eastAsia"/>
          <w:kern w:val="0"/>
          <w:szCs w:val="18"/>
        </w:rPr>
        <w:t>（2）采购人未在规定时间内（中标通知书发放后三个工作日内）内领取中标供应商投标样品的，</w:t>
      </w:r>
      <w:r>
        <w:rPr>
          <w:rFonts w:ascii="宋体" w:hAnsi="宋体" w:hint="eastAsia"/>
          <w:szCs w:val="21"/>
        </w:rPr>
        <w:t>采购实施机构</w:t>
      </w:r>
      <w:r>
        <w:rPr>
          <w:rFonts w:ascii="宋体" w:hAnsi="宋体" w:cs="宋体" w:hint="eastAsia"/>
          <w:kern w:val="0"/>
          <w:szCs w:val="18"/>
        </w:rPr>
        <w:t>工作人员将发函或电话敦促。</w:t>
      </w:r>
    </w:p>
    <w:p w:rsidR="00C54C61" w:rsidRDefault="00BF3A17">
      <w:pPr>
        <w:spacing w:line="360" w:lineRule="auto"/>
        <w:contextualSpacing/>
        <w:rPr>
          <w:rFonts w:ascii="黑体" w:eastAsia="黑体" w:hAnsi="宋体"/>
          <w:sz w:val="24"/>
        </w:rPr>
      </w:pPr>
      <w:r>
        <w:rPr>
          <w:rFonts w:ascii="黑体" w:eastAsia="黑体" w:hAnsi="宋体"/>
          <w:sz w:val="24"/>
        </w:rPr>
        <w:t>2</w:t>
      </w:r>
      <w:r>
        <w:rPr>
          <w:rFonts w:ascii="黑体" w:eastAsia="黑体" w:hAnsi="宋体" w:hint="eastAsia"/>
          <w:sz w:val="24"/>
        </w:rPr>
        <w:t>7．</w:t>
      </w:r>
      <w:r>
        <w:rPr>
          <w:rFonts w:ascii="黑体" w:eastAsia="黑体" w:hAnsi="宋体"/>
          <w:sz w:val="24"/>
        </w:rPr>
        <w:t>投标文件的修改和撤销</w:t>
      </w:r>
    </w:p>
    <w:p w:rsidR="00C54C61" w:rsidRDefault="00BF3A17" w:rsidP="00EE5467">
      <w:pPr>
        <w:spacing w:line="360" w:lineRule="auto"/>
        <w:ind w:firstLineChars="196" w:firstLine="412"/>
        <w:contextualSpacing/>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1</w:t>
      </w:r>
      <w:r>
        <w:rPr>
          <w:rFonts w:ascii="宋体" w:hAnsi="宋体"/>
        </w:rPr>
        <w:t>投标方在提交投标文件后可对其投标文件进行修改</w:t>
      </w:r>
      <w:r>
        <w:rPr>
          <w:rFonts w:ascii="宋体" w:hAnsi="宋体" w:hint="eastAsia"/>
        </w:rPr>
        <w:t>并重新上传投标文件</w:t>
      </w:r>
      <w:r>
        <w:rPr>
          <w:rFonts w:ascii="宋体" w:hAnsi="宋体"/>
        </w:rPr>
        <w:t>或</w:t>
      </w:r>
      <w:r>
        <w:rPr>
          <w:rFonts w:ascii="宋体" w:hAnsi="宋体" w:hint="eastAsia"/>
        </w:rPr>
        <w:t>在网上进行</w:t>
      </w:r>
      <w:r>
        <w:rPr>
          <w:rFonts w:ascii="宋体" w:hAnsi="宋体"/>
        </w:rPr>
        <w:t>撤销</w:t>
      </w:r>
      <w:r>
        <w:rPr>
          <w:rFonts w:ascii="宋体" w:hAnsi="宋体" w:hint="eastAsia"/>
        </w:rPr>
        <w:t>投标的操作</w:t>
      </w:r>
      <w:r>
        <w:rPr>
          <w:rFonts w:ascii="宋体" w:hAnsi="宋体"/>
        </w:rPr>
        <w:t>。</w:t>
      </w:r>
    </w:p>
    <w:p w:rsidR="00C54C61" w:rsidRDefault="00BF3A17" w:rsidP="00EE5467">
      <w:pPr>
        <w:spacing w:line="360" w:lineRule="auto"/>
        <w:ind w:firstLineChars="196" w:firstLine="412"/>
        <w:contextualSpacing/>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2</w:t>
      </w:r>
      <w:r>
        <w:rPr>
          <w:rFonts w:ascii="宋体" w:hAnsi="宋体"/>
        </w:rPr>
        <w:t>投标截止时间以后不得修改投标文件。</w:t>
      </w:r>
    </w:p>
    <w:p w:rsidR="00C54C61" w:rsidRDefault="00BF3A17" w:rsidP="00EE5467">
      <w:pPr>
        <w:spacing w:line="360" w:lineRule="auto"/>
        <w:ind w:firstLineChars="196" w:firstLine="412"/>
        <w:contextualSpacing/>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3从投标截止期至投标人在投标书中确定的投标有效期之间的这段时间内，投标人不得撤回其投标。</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27.4采购实施机构不退还投标文件，专用条款另有规定的除外。</w:t>
      </w:r>
    </w:p>
    <w:p w:rsidR="00C54C61" w:rsidRDefault="00BF3A17">
      <w:pPr>
        <w:pStyle w:val="2"/>
        <w:numPr>
          <w:ilvl w:val="0"/>
          <w:numId w:val="13"/>
        </w:numPr>
        <w:spacing w:beforeLines="50" w:before="120" w:afterLines="50" w:after="120" w:line="360" w:lineRule="auto"/>
        <w:contextualSpacing/>
        <w:rPr>
          <w:sz w:val="28"/>
          <w:szCs w:val="28"/>
        </w:rPr>
      </w:pPr>
      <w:r>
        <w:rPr>
          <w:rFonts w:hint="eastAsia"/>
          <w:sz w:val="28"/>
          <w:szCs w:val="28"/>
        </w:rPr>
        <w:t>开标</w:t>
      </w:r>
    </w:p>
    <w:p w:rsidR="00C54C61" w:rsidRDefault="00BF3A17">
      <w:pPr>
        <w:spacing w:line="360" w:lineRule="auto"/>
        <w:contextualSpacing/>
        <w:rPr>
          <w:rFonts w:ascii="黑体" w:eastAsia="黑体" w:hAnsi="宋体"/>
          <w:sz w:val="24"/>
        </w:rPr>
      </w:pPr>
      <w:r>
        <w:rPr>
          <w:rFonts w:ascii="黑体" w:eastAsia="黑体" w:hAnsi="宋体" w:hint="eastAsia"/>
          <w:sz w:val="24"/>
        </w:rPr>
        <w:t>28．开标</w:t>
      </w:r>
    </w:p>
    <w:p w:rsidR="00C54C61" w:rsidRDefault="00BF3A17">
      <w:pPr>
        <w:spacing w:line="360" w:lineRule="auto"/>
        <w:ind w:firstLineChars="171" w:firstLine="359"/>
        <w:contextualSpacing/>
        <w:rPr>
          <w:rFonts w:ascii="宋体" w:hAnsi="宋体"/>
          <w:szCs w:val="21"/>
        </w:rPr>
      </w:pPr>
      <w:r>
        <w:rPr>
          <w:rFonts w:ascii="宋体" w:hAnsi="宋体"/>
          <w:szCs w:val="21"/>
        </w:rPr>
        <w:t>2</w:t>
      </w:r>
      <w:r>
        <w:rPr>
          <w:rFonts w:ascii="宋体" w:hAnsi="宋体" w:hint="eastAsia"/>
          <w:szCs w:val="21"/>
        </w:rPr>
        <w:t>8</w:t>
      </w:r>
      <w:r>
        <w:rPr>
          <w:rFonts w:ascii="宋体" w:hAnsi="宋体"/>
          <w:szCs w:val="21"/>
        </w:rPr>
        <w:t>.</w:t>
      </w:r>
      <w:r>
        <w:rPr>
          <w:rFonts w:ascii="宋体" w:hAnsi="宋体" w:hint="eastAsia"/>
          <w:szCs w:val="21"/>
        </w:rPr>
        <w:t>1采购实施机构将在投标截止时间后，对投标文件进行解密，开标，并在网上公布开标结果。</w:t>
      </w:r>
    </w:p>
    <w:p w:rsidR="00C54C61" w:rsidRDefault="00BF3A17">
      <w:pPr>
        <w:spacing w:line="360" w:lineRule="auto"/>
        <w:ind w:firstLineChars="150" w:firstLine="315"/>
        <w:contextualSpacing/>
        <w:rPr>
          <w:rFonts w:ascii="宋体" w:hAnsi="宋体"/>
          <w:szCs w:val="21"/>
        </w:rPr>
      </w:pPr>
      <w:r>
        <w:rPr>
          <w:rFonts w:ascii="宋体" w:hAnsi="宋体" w:hint="eastAsia"/>
          <w:szCs w:val="21"/>
        </w:rPr>
        <w:t>28.2 网上投标的，当采购实施机构开标后，投标人即可登录“深圳市政府采购网”，使用“应标管理</w:t>
      </w:r>
      <w:r>
        <w:rPr>
          <w:rFonts w:ascii="宋体" w:hAnsi="宋体"/>
          <w:szCs w:val="21"/>
        </w:rPr>
        <w:sym w:font="Wingdings" w:char="F0E0"/>
      </w:r>
      <w:r>
        <w:rPr>
          <w:rFonts w:ascii="宋体" w:hAnsi="宋体" w:hint="eastAsia"/>
          <w:szCs w:val="21"/>
        </w:rPr>
        <w:t>浏览开标一览表</w:t>
      </w:r>
      <w:r>
        <w:rPr>
          <w:rFonts w:ascii="宋体" w:hAnsi="宋体"/>
          <w:szCs w:val="21"/>
        </w:rPr>
        <w:t>”</w:t>
      </w:r>
      <w:r>
        <w:rPr>
          <w:rFonts w:ascii="宋体" w:hAnsi="宋体" w:hint="eastAsia"/>
          <w:szCs w:val="21"/>
        </w:rPr>
        <w:t>功能点查看开标一览表。</w:t>
      </w:r>
    </w:p>
    <w:p w:rsidR="00C54C61" w:rsidRDefault="00C54C61">
      <w:pPr>
        <w:spacing w:line="360" w:lineRule="auto"/>
        <w:ind w:firstLineChars="150" w:firstLine="315"/>
        <w:contextualSpacing/>
        <w:rPr>
          <w:rFonts w:ascii="宋体" w:hAnsi="宋体"/>
          <w:szCs w:val="21"/>
        </w:rPr>
      </w:pPr>
    </w:p>
    <w:p w:rsidR="00C54C61" w:rsidRDefault="00BF3A17">
      <w:pPr>
        <w:pStyle w:val="2"/>
        <w:numPr>
          <w:ilvl w:val="0"/>
          <w:numId w:val="13"/>
        </w:numPr>
        <w:spacing w:beforeLines="50" w:before="120" w:afterLines="50" w:after="120" w:line="360" w:lineRule="auto"/>
        <w:contextualSpacing/>
        <w:rPr>
          <w:sz w:val="28"/>
          <w:szCs w:val="28"/>
        </w:rPr>
      </w:pPr>
      <w:r>
        <w:rPr>
          <w:rFonts w:hint="eastAsia"/>
          <w:sz w:val="28"/>
          <w:szCs w:val="28"/>
        </w:rPr>
        <w:t>评标要求</w:t>
      </w:r>
    </w:p>
    <w:p w:rsidR="00C54C61" w:rsidRDefault="00BF3A17">
      <w:pPr>
        <w:spacing w:line="360" w:lineRule="auto"/>
        <w:contextualSpacing/>
        <w:rPr>
          <w:rFonts w:ascii="黑体" w:eastAsia="黑体" w:hAnsi="宋体"/>
          <w:sz w:val="24"/>
        </w:rPr>
      </w:pPr>
      <w:r>
        <w:rPr>
          <w:rFonts w:ascii="黑体" w:eastAsia="黑体" w:hAnsi="宋体" w:hint="eastAsia"/>
          <w:sz w:val="24"/>
        </w:rPr>
        <w:t>29．评审委员会组成</w:t>
      </w:r>
    </w:p>
    <w:p w:rsidR="00C54C61" w:rsidRDefault="00BF3A17" w:rsidP="00EE5467">
      <w:pPr>
        <w:spacing w:line="360" w:lineRule="auto"/>
        <w:ind w:firstLineChars="196" w:firstLine="412"/>
        <w:contextualSpacing/>
        <w:rPr>
          <w:rFonts w:ascii="宋体" w:hAnsi="宋体"/>
        </w:rPr>
      </w:pPr>
      <w:r>
        <w:rPr>
          <w:rFonts w:ascii="宋体" w:hAnsi="宋体" w:hint="eastAsia"/>
        </w:rPr>
        <w:t>29.1网上开标结束后召开评标会议，</w:t>
      </w:r>
      <w:r>
        <w:rPr>
          <w:rFonts w:ascii="宋体" w:hAnsi="宋体" w:hint="eastAsia"/>
          <w:szCs w:val="21"/>
        </w:rPr>
        <w:t>评审委员会</w:t>
      </w:r>
      <w:r>
        <w:rPr>
          <w:rFonts w:ascii="宋体" w:hAnsi="宋体" w:hint="eastAsia"/>
        </w:rPr>
        <w:t>由</w:t>
      </w:r>
      <w:r>
        <w:rPr>
          <w:rFonts w:ascii="宋体" w:hAnsi="宋体" w:hint="eastAsia"/>
          <w:szCs w:val="21"/>
        </w:rPr>
        <w:t>采购实施机构</w:t>
      </w:r>
      <w:r>
        <w:rPr>
          <w:rFonts w:ascii="宋体" w:hAnsi="宋体" w:hint="eastAsia"/>
        </w:rPr>
        <w:t>依法组建，负责评标活动。</w:t>
      </w:r>
    </w:p>
    <w:p w:rsidR="00C54C61" w:rsidRDefault="00BF3A17">
      <w:pPr>
        <w:widowControl/>
        <w:shd w:val="clear" w:color="auto" w:fill="FFFFFF"/>
        <w:spacing w:line="360" w:lineRule="auto"/>
        <w:contextualSpacing/>
        <w:jc w:val="left"/>
      </w:pPr>
      <w:r>
        <w:rPr>
          <w:rFonts w:hint="eastAsia"/>
        </w:rPr>
        <w:t xml:space="preserve">    </w:t>
      </w:r>
      <w:r>
        <w:t>评审委员会由</w:t>
      </w:r>
      <w:r>
        <w:rPr>
          <w:rFonts w:hint="eastAsia"/>
        </w:rPr>
        <w:t>采购人代表和</w:t>
      </w:r>
      <w:r>
        <w:t>评审专家组成，</w:t>
      </w:r>
      <w:r>
        <w:rPr>
          <w:rFonts w:hint="eastAsia"/>
        </w:rPr>
        <w:t>成员</w:t>
      </w:r>
      <w:r>
        <w:t>人数为五人以上的单数</w:t>
      </w:r>
      <w:r>
        <w:rPr>
          <w:rFonts w:hint="eastAsia"/>
        </w:rPr>
        <w:t>。评定分离项目</w:t>
      </w:r>
      <w:r>
        <w:t>评审专家</w:t>
      </w:r>
      <w:r>
        <w:rPr>
          <w:rFonts w:hint="eastAsia"/>
        </w:rPr>
        <w:t>均</w:t>
      </w:r>
      <w:r>
        <w:t>由</w:t>
      </w:r>
      <w:r>
        <w:rPr>
          <w:rFonts w:hint="eastAsia"/>
        </w:rPr>
        <w:t>评审专家组成。</w:t>
      </w:r>
    </w:p>
    <w:p w:rsidR="00C54C61" w:rsidRDefault="00BF3A17" w:rsidP="00EE5467">
      <w:pPr>
        <w:spacing w:line="360" w:lineRule="auto"/>
        <w:ind w:firstLineChars="196" w:firstLine="412"/>
        <w:contextualSpacing/>
        <w:rPr>
          <w:rFonts w:ascii="宋体" w:hAnsi="宋体"/>
        </w:rPr>
      </w:pPr>
      <w:r>
        <w:rPr>
          <w:rFonts w:ascii="宋体" w:hAnsi="宋体" w:hint="eastAsia"/>
        </w:rPr>
        <w:t>为保证评委人选的专业性，以及评标中的公平公正性，</w:t>
      </w:r>
      <w:r>
        <w:rPr>
          <w:rFonts w:ascii="宋体" w:hAnsi="宋体" w:hint="eastAsia"/>
          <w:szCs w:val="21"/>
        </w:rPr>
        <w:t>评审专家</w:t>
      </w:r>
      <w:r>
        <w:rPr>
          <w:rFonts w:ascii="宋体" w:hAnsi="宋体" w:hint="eastAsia"/>
        </w:rPr>
        <w:t>从深圳市财政局评标专家库中随机抽取。</w:t>
      </w:r>
    </w:p>
    <w:p w:rsidR="00C54C61" w:rsidRDefault="00BF3A17" w:rsidP="00EE5467">
      <w:pPr>
        <w:spacing w:line="360" w:lineRule="auto"/>
        <w:ind w:firstLineChars="196" w:firstLine="412"/>
        <w:contextualSpacing/>
        <w:rPr>
          <w:rFonts w:ascii="宋体" w:hAnsi="宋体"/>
        </w:rPr>
      </w:pPr>
      <w:r>
        <w:rPr>
          <w:rFonts w:ascii="宋体" w:hAnsi="宋体" w:hint="eastAsia"/>
        </w:rPr>
        <w:t>采购人代表须持本单位签发的《评标授权书》参加评标。</w:t>
      </w:r>
    </w:p>
    <w:p w:rsidR="00C54C61" w:rsidRDefault="00BF3A17">
      <w:pPr>
        <w:spacing w:line="360" w:lineRule="auto"/>
        <w:ind w:firstLineChars="196" w:firstLine="413"/>
        <w:contextualSpacing/>
        <w:rPr>
          <w:rFonts w:ascii="宋体" w:hAnsi="宋体"/>
          <w:b/>
          <w:sz w:val="24"/>
        </w:rPr>
      </w:pPr>
      <w:r>
        <w:rPr>
          <w:rFonts w:ascii="宋体" w:hAnsi="宋体" w:hint="eastAsia"/>
          <w:b/>
          <w:szCs w:val="21"/>
        </w:rPr>
        <w:t>注：《评标授权书》模板可以从“政府集中采购机构网站”（</w:t>
      </w:r>
      <w:r>
        <w:t>http://www.szzfcg.cn/</w:t>
      </w:r>
      <w:r>
        <w:rPr>
          <w:rFonts w:ascii="宋体" w:hAnsi="宋体" w:hint="eastAsia"/>
          <w:b/>
          <w:szCs w:val="21"/>
        </w:rPr>
        <w:t>）采购人页面下“采购”环节“通用表格”处下载</w:t>
      </w:r>
      <w:r>
        <w:rPr>
          <w:rFonts w:ascii="宋体" w:hAnsi="宋体" w:hint="eastAsia"/>
          <w:b/>
          <w:sz w:val="24"/>
        </w:rPr>
        <w:t>。</w:t>
      </w:r>
    </w:p>
    <w:p w:rsidR="00C54C61" w:rsidRDefault="00BF3A17" w:rsidP="00EE5467">
      <w:pPr>
        <w:spacing w:line="360" w:lineRule="auto"/>
        <w:ind w:firstLineChars="196" w:firstLine="412"/>
        <w:contextualSpacing/>
        <w:rPr>
          <w:rFonts w:ascii="宋体" w:hAnsi="宋体"/>
        </w:rPr>
      </w:pPr>
      <w:r>
        <w:rPr>
          <w:rFonts w:ascii="宋体" w:hAnsi="宋体" w:hint="eastAsia"/>
        </w:rPr>
        <w:t>29.2评标定标应当遵循公平、公正、科学、择优的原则。</w:t>
      </w:r>
    </w:p>
    <w:p w:rsidR="00C54C61" w:rsidRDefault="00BF3A17" w:rsidP="00EE5467">
      <w:pPr>
        <w:spacing w:line="360" w:lineRule="auto"/>
        <w:ind w:firstLineChars="196" w:firstLine="412"/>
        <w:contextualSpacing/>
        <w:rPr>
          <w:rFonts w:ascii="宋体" w:hAnsi="宋体"/>
        </w:rPr>
      </w:pPr>
      <w:r>
        <w:rPr>
          <w:rFonts w:ascii="宋体" w:hAnsi="宋体" w:hint="eastAsia"/>
        </w:rPr>
        <w:t>29.3评标活动依法进行，任何单位和个人不得非法干预评标过程和结果。</w:t>
      </w:r>
    </w:p>
    <w:p w:rsidR="00C54C61" w:rsidRDefault="00BF3A17" w:rsidP="00EE5467">
      <w:pPr>
        <w:spacing w:line="360" w:lineRule="auto"/>
        <w:ind w:firstLineChars="196" w:firstLine="412"/>
        <w:contextualSpacing/>
        <w:rPr>
          <w:rFonts w:ascii="宋体" w:hAnsi="宋体"/>
        </w:rPr>
      </w:pPr>
      <w:r>
        <w:rPr>
          <w:rFonts w:ascii="宋体" w:hAnsi="宋体" w:hint="eastAsia"/>
        </w:rPr>
        <w:t>29.4评标过程中不允许违背评标程序或采用招标文件未载明的评标方法或评标因素进行评标。</w:t>
      </w:r>
    </w:p>
    <w:p w:rsidR="00C54C61" w:rsidRDefault="00BF3A17" w:rsidP="00EE5467">
      <w:pPr>
        <w:spacing w:line="360" w:lineRule="auto"/>
        <w:ind w:firstLineChars="196" w:firstLine="412"/>
        <w:contextualSpacing/>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w:t>
      </w:r>
      <w:r>
        <w:rPr>
          <w:rFonts w:hint="eastAsia"/>
        </w:rPr>
        <w:t>信息公开的内容除外</w:t>
      </w:r>
      <w:r>
        <w:rPr>
          <w:rFonts w:ascii="宋体" w:hAnsi="宋体" w:hint="eastAsia"/>
          <w:bCs/>
        </w:rPr>
        <w:t>）。</w:t>
      </w:r>
    </w:p>
    <w:p w:rsidR="00C54C61" w:rsidRDefault="00BF3A17">
      <w:pPr>
        <w:spacing w:line="360" w:lineRule="auto"/>
        <w:contextualSpacing/>
        <w:rPr>
          <w:rFonts w:ascii="黑体" w:eastAsia="黑体" w:hAnsi="宋体"/>
          <w:sz w:val="24"/>
        </w:rPr>
      </w:pPr>
      <w:r>
        <w:rPr>
          <w:rFonts w:ascii="黑体" w:eastAsia="黑体" w:hAnsi="宋体" w:hint="eastAsia"/>
          <w:sz w:val="24"/>
        </w:rPr>
        <w:t>30．向评审委员会提供的资料</w:t>
      </w:r>
    </w:p>
    <w:p w:rsidR="00C54C61" w:rsidRDefault="00BF3A17" w:rsidP="00EE5467">
      <w:pPr>
        <w:spacing w:line="360" w:lineRule="auto"/>
        <w:ind w:firstLineChars="196" w:firstLine="412"/>
        <w:contextualSpacing/>
        <w:rPr>
          <w:rFonts w:ascii="宋体" w:hAnsi="宋体"/>
        </w:rPr>
      </w:pPr>
      <w:r>
        <w:rPr>
          <w:rFonts w:ascii="宋体" w:hAnsi="宋体" w:hint="eastAsia"/>
        </w:rPr>
        <w:t>30.1公开发布的招标文件，包括图纸、服务清单、答疑文件等；</w:t>
      </w:r>
    </w:p>
    <w:p w:rsidR="00C54C61" w:rsidRDefault="00BF3A17" w:rsidP="00EE5467">
      <w:pPr>
        <w:spacing w:line="360" w:lineRule="auto"/>
        <w:ind w:firstLineChars="196" w:firstLine="412"/>
        <w:contextualSpacing/>
        <w:rPr>
          <w:rFonts w:ascii="宋体" w:hAnsi="宋体"/>
        </w:rPr>
      </w:pPr>
      <w:r>
        <w:rPr>
          <w:rFonts w:ascii="宋体" w:hAnsi="宋体" w:hint="eastAsia"/>
        </w:rPr>
        <w:t>30.2其他评标必须的资料。</w:t>
      </w:r>
    </w:p>
    <w:p w:rsidR="00C54C61" w:rsidRDefault="00BF3A17" w:rsidP="00EE5467">
      <w:pPr>
        <w:spacing w:line="360" w:lineRule="auto"/>
        <w:ind w:firstLineChars="196" w:firstLine="412"/>
        <w:contextualSpacing/>
        <w:rPr>
          <w:rFonts w:ascii="宋体" w:hAnsi="宋体"/>
        </w:rPr>
      </w:pPr>
      <w:r>
        <w:rPr>
          <w:rFonts w:ascii="宋体" w:hAnsi="宋体" w:hint="eastAsia"/>
        </w:rPr>
        <w:t>30.3</w:t>
      </w:r>
      <w:r>
        <w:rPr>
          <w:rFonts w:ascii="宋体" w:hAnsi="宋体" w:hint="eastAsia"/>
          <w:szCs w:val="21"/>
        </w:rPr>
        <w:t>评审委员会</w:t>
      </w:r>
      <w:r>
        <w:rPr>
          <w:rFonts w:ascii="宋体" w:hAnsi="宋体" w:hint="eastAsia"/>
        </w:rPr>
        <w:t>应当认真研究招标文件，至少应了解熟悉以下内容：</w:t>
      </w:r>
    </w:p>
    <w:p w:rsidR="00C54C61" w:rsidRDefault="00BF3A17" w:rsidP="00EE5467">
      <w:pPr>
        <w:spacing w:line="360" w:lineRule="auto"/>
        <w:ind w:firstLineChars="196" w:firstLine="412"/>
        <w:contextualSpacing/>
        <w:rPr>
          <w:rFonts w:ascii="宋体" w:hAnsi="宋体"/>
        </w:rPr>
      </w:pPr>
      <w:r>
        <w:rPr>
          <w:rFonts w:ascii="宋体" w:hAnsi="宋体" w:hint="eastAsia"/>
        </w:rPr>
        <w:t>（1）招标的目的；</w:t>
      </w:r>
    </w:p>
    <w:p w:rsidR="00C54C61" w:rsidRDefault="00BF3A17" w:rsidP="00EE5467">
      <w:pPr>
        <w:spacing w:line="360" w:lineRule="auto"/>
        <w:ind w:firstLineChars="196" w:firstLine="412"/>
        <w:contextualSpacing/>
        <w:rPr>
          <w:rFonts w:ascii="宋体" w:hAnsi="宋体"/>
        </w:rPr>
      </w:pPr>
      <w:r>
        <w:rPr>
          <w:rFonts w:ascii="宋体" w:hAnsi="宋体" w:hint="eastAsia"/>
        </w:rPr>
        <w:t>（2）招标项目需求的范围和性质；</w:t>
      </w:r>
    </w:p>
    <w:p w:rsidR="00C54C61" w:rsidRDefault="00BF3A17" w:rsidP="00EE5467">
      <w:pPr>
        <w:spacing w:line="360" w:lineRule="auto"/>
        <w:ind w:firstLineChars="196" w:firstLine="412"/>
        <w:contextualSpacing/>
        <w:rPr>
          <w:rFonts w:ascii="宋体" w:hAnsi="宋体"/>
        </w:rPr>
      </w:pPr>
      <w:r>
        <w:rPr>
          <w:rFonts w:ascii="宋体" w:hAnsi="宋体" w:hint="eastAsia"/>
        </w:rPr>
        <w:t>（3）招标文件规定的投标人的资格、财政预算限额、商务条款；</w:t>
      </w:r>
    </w:p>
    <w:p w:rsidR="00C54C61" w:rsidRDefault="00BF3A17" w:rsidP="00EE5467">
      <w:pPr>
        <w:spacing w:line="360" w:lineRule="auto"/>
        <w:ind w:firstLineChars="196" w:firstLine="412"/>
        <w:contextualSpacing/>
        <w:rPr>
          <w:rFonts w:ascii="宋体" w:hAnsi="宋体"/>
        </w:rPr>
      </w:pPr>
      <w:r>
        <w:rPr>
          <w:rFonts w:ascii="宋体" w:hAnsi="宋体" w:hint="eastAsia"/>
        </w:rPr>
        <w:t>（4）招标文件规定的评标程序、评标方法和评标因素；</w:t>
      </w:r>
    </w:p>
    <w:p w:rsidR="00C54C61" w:rsidRDefault="00BF3A17" w:rsidP="00EE5467">
      <w:pPr>
        <w:spacing w:line="360" w:lineRule="auto"/>
        <w:ind w:firstLineChars="196" w:firstLine="412"/>
        <w:contextualSpacing/>
        <w:rPr>
          <w:rFonts w:ascii="宋体" w:hAnsi="宋体"/>
        </w:rPr>
      </w:pPr>
      <w:r>
        <w:rPr>
          <w:rFonts w:ascii="宋体" w:hAnsi="宋体" w:hint="eastAsia"/>
        </w:rPr>
        <w:t>（5）招标文件所列示的资格性审查表及符合性审查表。</w:t>
      </w:r>
    </w:p>
    <w:p w:rsidR="00C54C61" w:rsidRDefault="00BF3A17">
      <w:pPr>
        <w:spacing w:line="360" w:lineRule="auto"/>
        <w:contextualSpacing/>
        <w:rPr>
          <w:rFonts w:ascii="黑体" w:eastAsia="黑体" w:hAnsi="宋体"/>
          <w:sz w:val="24"/>
        </w:rPr>
      </w:pPr>
      <w:r>
        <w:rPr>
          <w:rFonts w:ascii="黑体" w:eastAsia="黑体" w:hAnsi="宋体" w:hint="eastAsia"/>
          <w:sz w:val="24"/>
        </w:rPr>
        <w:t>31．独立评标</w:t>
      </w:r>
    </w:p>
    <w:p w:rsidR="00C54C61" w:rsidRDefault="00BF3A17" w:rsidP="00EE5467">
      <w:pPr>
        <w:spacing w:line="360" w:lineRule="auto"/>
        <w:ind w:firstLineChars="196" w:firstLine="412"/>
        <w:contextualSpacing/>
        <w:rPr>
          <w:rFonts w:ascii="宋体" w:hAnsi="宋体"/>
          <w:bCs/>
        </w:rPr>
      </w:pPr>
      <w:r>
        <w:rPr>
          <w:rFonts w:ascii="宋体" w:hAnsi="宋体" w:hint="eastAsia"/>
          <w:bCs/>
        </w:rPr>
        <w:t>30.1</w:t>
      </w:r>
      <w:r>
        <w:rPr>
          <w:rFonts w:ascii="宋体" w:hAnsi="宋体" w:hint="eastAsia"/>
          <w:szCs w:val="21"/>
        </w:rPr>
        <w:t>评审委员会</w:t>
      </w:r>
      <w:r>
        <w:rPr>
          <w:rFonts w:ascii="宋体" w:hAnsi="宋体" w:hint="eastAsia"/>
          <w:bCs/>
        </w:rPr>
        <w:t>成员的评标活动应当独立进行，并应遵循投标文件初审、澄清有关问题、比较与评价、确定中标供应商、编写评标报告的工作程序。</w:t>
      </w:r>
    </w:p>
    <w:p w:rsidR="00C54C61" w:rsidRDefault="00C54C61" w:rsidP="00EE5467">
      <w:pPr>
        <w:spacing w:line="360" w:lineRule="auto"/>
        <w:ind w:firstLineChars="196" w:firstLine="412"/>
        <w:contextualSpacing/>
        <w:rPr>
          <w:rFonts w:ascii="宋体" w:hAnsi="宋体"/>
          <w:bCs/>
          <w:szCs w:val="21"/>
        </w:rPr>
      </w:pPr>
    </w:p>
    <w:p w:rsidR="00C54C61" w:rsidRDefault="00BF3A17">
      <w:pPr>
        <w:pStyle w:val="2"/>
        <w:numPr>
          <w:ilvl w:val="0"/>
          <w:numId w:val="13"/>
        </w:numPr>
        <w:spacing w:beforeLines="50" w:before="120" w:afterLines="50" w:after="120" w:line="360" w:lineRule="auto"/>
        <w:contextualSpacing/>
        <w:rPr>
          <w:sz w:val="28"/>
          <w:szCs w:val="28"/>
        </w:rPr>
      </w:pPr>
      <w:r>
        <w:rPr>
          <w:rFonts w:hint="eastAsia"/>
          <w:sz w:val="28"/>
          <w:szCs w:val="28"/>
        </w:rPr>
        <w:t>评标程序及评标方法</w:t>
      </w:r>
    </w:p>
    <w:p w:rsidR="00C54C61" w:rsidRDefault="00BF3A17">
      <w:pPr>
        <w:spacing w:line="360" w:lineRule="auto"/>
        <w:contextualSpacing/>
        <w:rPr>
          <w:rFonts w:ascii="黑体" w:eastAsia="黑体" w:hAnsi="宋体"/>
          <w:sz w:val="24"/>
        </w:rPr>
      </w:pPr>
      <w:r>
        <w:rPr>
          <w:rFonts w:ascii="黑体" w:eastAsia="黑体" w:hAnsi="宋体" w:hint="eastAsia"/>
          <w:sz w:val="24"/>
        </w:rPr>
        <w:t>32．投标文件初审</w:t>
      </w:r>
    </w:p>
    <w:p w:rsidR="00C54C61" w:rsidRDefault="00BF3A17" w:rsidP="00EE5467">
      <w:pPr>
        <w:spacing w:line="360" w:lineRule="auto"/>
        <w:ind w:firstLineChars="196" w:firstLine="412"/>
        <w:contextualSpacing/>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C54C61" w:rsidRDefault="00BF3A17">
      <w:pPr>
        <w:autoSpaceDE w:val="0"/>
        <w:autoSpaceDN w:val="0"/>
        <w:adjustRightInd w:val="0"/>
        <w:spacing w:line="360" w:lineRule="auto"/>
        <w:contextualSpacing/>
        <w:jc w:val="left"/>
        <w:rPr>
          <w:rFonts w:ascii="宋体" w:hAnsi="宋体"/>
          <w:b/>
        </w:rPr>
      </w:pPr>
      <w:r>
        <w:rPr>
          <w:rFonts w:ascii="宋体" w:hAnsi="宋体" w:hint="eastAsia"/>
        </w:rPr>
        <w:t xml:space="preserve">    32.2 </w:t>
      </w:r>
      <w:r>
        <w:rPr>
          <w:rFonts w:ascii="宋体" w:hAnsi="宋体" w:hint="eastAsia"/>
          <w:b/>
        </w:rPr>
        <w:t>投标文件初审内容请详见《资格性审查表》和《符合性审查表》部分。投标人若有一条审查不通过则按投标无效处理。评审委员会对投标单位打√为通过审查，打×为未通过审查。</w:t>
      </w:r>
    </w:p>
    <w:p w:rsidR="00C54C61" w:rsidRDefault="00BF3A17">
      <w:pPr>
        <w:spacing w:line="360" w:lineRule="auto"/>
        <w:ind w:firstLineChars="196" w:firstLine="413"/>
        <w:contextualSpacing/>
        <w:rPr>
          <w:rFonts w:ascii="宋体" w:hAnsi="宋体"/>
          <w:b/>
        </w:rPr>
      </w:pPr>
      <w:r>
        <w:rPr>
          <w:rFonts w:ascii="宋体" w:hAnsi="宋体" w:hint="eastAsia"/>
          <w:b/>
        </w:rPr>
        <w:t>32.3 投标文件初审中关于供应商家数的计算:</w:t>
      </w:r>
    </w:p>
    <w:p w:rsidR="00C54C61" w:rsidRDefault="00BF3A17">
      <w:pPr>
        <w:spacing w:line="360" w:lineRule="auto"/>
        <w:ind w:firstLineChars="196" w:firstLine="413"/>
        <w:contextualSpacing/>
        <w:rPr>
          <w:rFonts w:ascii="宋体" w:hAnsi="宋体"/>
          <w:b/>
        </w:rPr>
      </w:pPr>
      <w:r>
        <w:rPr>
          <w:rFonts w:ascii="宋体" w:hAnsi="宋体" w:hint="eastAsia"/>
          <w:b/>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C54C61" w:rsidRDefault="00BF3A17">
      <w:pPr>
        <w:spacing w:line="360" w:lineRule="auto"/>
        <w:ind w:firstLineChars="196" w:firstLine="413"/>
        <w:contextualSpacing/>
        <w:rPr>
          <w:rFonts w:ascii="宋体" w:hAnsi="宋体"/>
          <w:b/>
        </w:rPr>
      </w:pPr>
      <w:r>
        <w:rPr>
          <w:rFonts w:ascii="宋体" w:hAnsi="宋体" w:hint="eastAsia"/>
          <w:b/>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ascii="宋体" w:hAnsi="宋体" w:hint="eastAsia"/>
          <w:b/>
          <w:szCs w:val="21"/>
        </w:rPr>
        <w:t>评审委员会</w:t>
      </w:r>
      <w:r>
        <w:rPr>
          <w:rFonts w:ascii="宋体" w:hAnsi="宋体" w:hint="eastAsia"/>
          <w:b/>
        </w:rPr>
        <w:t>按照招标文件规定的方式确定一个投标人获得中标人推荐资格，招标文件未规定的采取随机抽取方式确定，其他同品牌投标人不作为中标候选人。</w:t>
      </w:r>
    </w:p>
    <w:p w:rsidR="00C54C61" w:rsidRDefault="00BF3A17">
      <w:pPr>
        <w:spacing w:line="360" w:lineRule="auto"/>
        <w:ind w:firstLineChars="196" w:firstLine="413"/>
        <w:contextualSpacing/>
        <w:rPr>
          <w:rFonts w:ascii="宋体" w:hAnsi="宋体"/>
          <w:b/>
        </w:rPr>
      </w:pPr>
      <w:r>
        <w:rPr>
          <w:rFonts w:ascii="宋体" w:hAnsi="宋体" w:hint="eastAsia"/>
          <w:b/>
        </w:rPr>
        <w:t>32.3.3非单一产品采购项目，采购人应当根据采购项目技术构成、产品价格比重等合理确定核心产品，并在招标文件中载明。多家投标人提供的核心产品品牌相同的，按前两款规定处理。</w:t>
      </w:r>
    </w:p>
    <w:p w:rsidR="00C54C61" w:rsidRDefault="00BF3A17" w:rsidP="00EE5467">
      <w:pPr>
        <w:spacing w:line="360" w:lineRule="auto"/>
        <w:ind w:firstLineChars="196" w:firstLine="412"/>
        <w:contextualSpacing/>
        <w:rPr>
          <w:rFonts w:ascii="宋体" w:hAnsi="宋体"/>
        </w:rPr>
      </w:pPr>
      <w:r>
        <w:rPr>
          <w:rFonts w:ascii="宋体" w:hAnsi="宋体" w:hint="eastAsia"/>
        </w:rPr>
        <w:t>32.4投标人投标文件作无效处理的情形，具体包括但不限于以下：</w:t>
      </w:r>
    </w:p>
    <w:p w:rsidR="00C54C61" w:rsidRDefault="00BF3A17" w:rsidP="00EE5467">
      <w:pPr>
        <w:spacing w:line="360" w:lineRule="auto"/>
        <w:ind w:firstLineChars="196" w:firstLine="412"/>
        <w:contextualSpacing/>
      </w:pPr>
      <w:r>
        <w:rPr>
          <w:rFonts w:ascii="宋体" w:hAnsi="宋体" w:hint="eastAsia"/>
        </w:rPr>
        <w:t>32.4.1</w:t>
      </w:r>
      <w:r>
        <w:rPr>
          <w:rFonts w:hint="eastAsia"/>
        </w:rPr>
        <w:t>不同投标人的投标文件由同一单位或者同一个人编制，或者由同一个人分阶段参与编制；</w:t>
      </w:r>
    </w:p>
    <w:p w:rsidR="00C54C61" w:rsidRDefault="00BF3A17" w:rsidP="00EE5467">
      <w:pPr>
        <w:spacing w:line="360" w:lineRule="auto"/>
        <w:ind w:firstLineChars="196" w:firstLine="412"/>
        <w:contextualSpacing/>
      </w:pPr>
      <w:r>
        <w:rPr>
          <w:rFonts w:ascii="宋体" w:hAnsi="宋体"/>
        </w:rPr>
        <w:t>32.4.</w:t>
      </w:r>
      <w:r>
        <w:rPr>
          <w:rFonts w:ascii="宋体" w:hAnsi="宋体" w:hint="eastAsia"/>
        </w:rPr>
        <w:t>2</w:t>
      </w:r>
      <w:r>
        <w:rPr>
          <w:rFonts w:hint="eastAsia"/>
        </w:rPr>
        <w:t>不同投标人委托同一单位或者个人办理投标事宜；</w:t>
      </w:r>
    </w:p>
    <w:p w:rsidR="00C54C61" w:rsidRDefault="00BF3A17" w:rsidP="00EE5467">
      <w:pPr>
        <w:spacing w:line="360" w:lineRule="auto"/>
        <w:ind w:firstLineChars="196" w:firstLine="412"/>
        <w:contextualSpacing/>
      </w:pPr>
      <w:r>
        <w:rPr>
          <w:rFonts w:hint="eastAsia"/>
        </w:rPr>
        <w:t>32.4.3</w:t>
      </w:r>
      <w:r>
        <w:rPr>
          <w:rFonts w:hint="eastAsia"/>
        </w:rPr>
        <w:t>不同投标人的投标文件载明的项目管理成员或者联系人员为同一人；</w:t>
      </w:r>
    </w:p>
    <w:p w:rsidR="00C54C61" w:rsidRDefault="00BF3A17" w:rsidP="00EE5467">
      <w:pPr>
        <w:spacing w:line="360" w:lineRule="auto"/>
        <w:ind w:firstLineChars="196" w:firstLine="412"/>
        <w:contextualSpacing/>
      </w:pPr>
      <w:r>
        <w:rPr>
          <w:rFonts w:hint="eastAsia"/>
        </w:rPr>
        <w:t>32.4.4</w:t>
      </w:r>
      <w:r>
        <w:rPr>
          <w:rFonts w:hint="eastAsia"/>
        </w:rPr>
        <w:t>不同投标人的投标文件异常一致或者投标报价呈规律性差异；</w:t>
      </w:r>
    </w:p>
    <w:p w:rsidR="00C54C61" w:rsidRDefault="00BF3A17" w:rsidP="00EE5467">
      <w:pPr>
        <w:spacing w:line="360" w:lineRule="auto"/>
        <w:ind w:firstLineChars="196" w:firstLine="412"/>
        <w:contextualSpacing/>
      </w:pPr>
      <w:r>
        <w:rPr>
          <w:rFonts w:hint="eastAsia"/>
        </w:rPr>
        <w:t>32.4.5</w:t>
      </w:r>
      <w:r>
        <w:rPr>
          <w:rFonts w:ascii="宋体" w:hAnsi="宋体" w:cs="宋体"/>
          <w:b/>
          <w:kern w:val="0"/>
          <w:szCs w:val="21"/>
        </w:rPr>
        <w:t>不同投标供应商的投标文件或部分投标文件相互混装</w:t>
      </w:r>
      <w:r>
        <w:rPr>
          <w:rFonts w:hint="eastAsia"/>
        </w:rPr>
        <w:t>；</w:t>
      </w:r>
    </w:p>
    <w:p w:rsidR="00C54C61" w:rsidRDefault="00BF3A17" w:rsidP="00EE5467">
      <w:pPr>
        <w:spacing w:line="360" w:lineRule="auto"/>
        <w:ind w:firstLineChars="196" w:firstLine="412"/>
        <w:contextualSpacing/>
        <w:rPr>
          <w:rFonts w:ascii="宋体" w:hAnsi="宋体"/>
        </w:rPr>
      </w:pPr>
      <w:r>
        <w:rPr>
          <w:rFonts w:ascii="宋体" w:hAnsi="宋体" w:hint="eastAsia"/>
        </w:rPr>
        <w:t>32.4.6投标供应商之间相互约定给予未中标的供应商利益补偿；</w:t>
      </w:r>
    </w:p>
    <w:p w:rsidR="00C54C61" w:rsidRDefault="00BF3A17" w:rsidP="00EE5467">
      <w:pPr>
        <w:spacing w:line="360" w:lineRule="auto"/>
        <w:ind w:firstLineChars="196" w:firstLine="412"/>
        <w:contextualSpacing/>
        <w:rPr>
          <w:rFonts w:ascii="宋体" w:hAnsi="宋体"/>
        </w:rPr>
      </w:pPr>
      <w:r>
        <w:rPr>
          <w:rFonts w:ascii="宋体" w:hAnsi="宋体" w:hint="eastAsia"/>
        </w:rPr>
        <w:t>32.4.7不同投标供应商的法定代表人、主要经营负责人、项目投标授权代表人、项目负责人、主要技术人员为同一人、属同一单位或者同一单位缴纳社会保险；</w:t>
      </w:r>
    </w:p>
    <w:p w:rsidR="00C54C61" w:rsidRDefault="00BF3A17" w:rsidP="00EE5467">
      <w:pPr>
        <w:spacing w:line="360" w:lineRule="auto"/>
        <w:ind w:firstLineChars="196" w:firstLine="412"/>
        <w:contextualSpacing/>
        <w:rPr>
          <w:rFonts w:ascii="宋体" w:hAnsi="宋体"/>
        </w:rPr>
      </w:pPr>
      <w:r>
        <w:rPr>
          <w:rFonts w:ascii="宋体" w:hAnsi="宋体" w:hint="eastAsia"/>
        </w:rPr>
        <w:t>32.4.8不同投标供应商的投标文件内容存在非正常一致；</w:t>
      </w:r>
    </w:p>
    <w:p w:rsidR="00C54C61" w:rsidRDefault="00BF3A17" w:rsidP="00EE5467">
      <w:pPr>
        <w:spacing w:line="360" w:lineRule="auto"/>
        <w:ind w:firstLineChars="196" w:firstLine="412"/>
        <w:contextualSpacing/>
        <w:rPr>
          <w:rFonts w:ascii="宋体" w:hAnsi="宋体"/>
        </w:rPr>
      </w:pPr>
      <w:r>
        <w:rPr>
          <w:rFonts w:ascii="宋体" w:hAnsi="宋体" w:hint="eastAsia"/>
        </w:rPr>
        <w:t>32.4.9在同一单位工作人员为两家以上（含两家）供应商进行同一项投标活动；</w:t>
      </w:r>
    </w:p>
    <w:p w:rsidR="00C54C61" w:rsidRDefault="00BF3A17" w:rsidP="00EE5467">
      <w:pPr>
        <w:spacing w:line="360" w:lineRule="auto"/>
        <w:ind w:firstLineChars="196" w:firstLine="412"/>
        <w:contextualSpacing/>
        <w:rPr>
          <w:rFonts w:ascii="宋体" w:hAnsi="宋体"/>
        </w:rPr>
      </w:pPr>
      <w:r>
        <w:rPr>
          <w:rFonts w:ascii="宋体" w:hAnsi="宋体" w:hint="eastAsia"/>
        </w:rPr>
        <w:t>32.4.10主管部门依照法律、法规认定的其他情形。</w:t>
      </w:r>
    </w:p>
    <w:p w:rsidR="00C54C61" w:rsidRDefault="00BF3A17">
      <w:pPr>
        <w:spacing w:line="360" w:lineRule="auto"/>
        <w:ind w:firstLineChars="200" w:firstLine="420"/>
        <w:contextualSpacing/>
        <w:rPr>
          <w:rFonts w:ascii="宋体" w:hAnsi="宋体"/>
        </w:rPr>
      </w:pPr>
      <w:r>
        <w:rPr>
          <w:rFonts w:ascii="宋体" w:hAnsi="宋体" w:hint="eastAsia"/>
        </w:rPr>
        <w:t>32.5对不属于《资格性审查表》和《符合性审查表》所列的其他情形，除专用条款另有规定和32.4条款所列情形外，不得作为投标无效的理由。</w:t>
      </w:r>
    </w:p>
    <w:p w:rsidR="00C54C61" w:rsidRDefault="00BF3A17">
      <w:pPr>
        <w:spacing w:line="360" w:lineRule="auto"/>
        <w:contextualSpacing/>
        <w:rPr>
          <w:rFonts w:ascii="黑体" w:eastAsia="黑体" w:hAnsi="宋体"/>
          <w:sz w:val="24"/>
        </w:rPr>
      </w:pPr>
      <w:r>
        <w:rPr>
          <w:rFonts w:ascii="黑体" w:eastAsia="黑体" w:hAnsi="宋体" w:hint="eastAsia"/>
          <w:sz w:val="24"/>
        </w:rPr>
        <w:t>33．澄清有关问题</w:t>
      </w:r>
    </w:p>
    <w:p w:rsidR="00C54C61" w:rsidRDefault="00BF3A17" w:rsidP="00EE5467">
      <w:pPr>
        <w:spacing w:line="360" w:lineRule="auto"/>
        <w:ind w:firstLineChars="196" w:firstLine="412"/>
        <w:contextualSpacing/>
        <w:rPr>
          <w:rFonts w:ascii="宋体" w:hAnsi="宋体"/>
        </w:rPr>
      </w:pPr>
      <w:r>
        <w:rPr>
          <w:rFonts w:ascii="宋体" w:hAnsi="宋体" w:hint="eastAsia"/>
        </w:rPr>
        <w:t>对于投标文件中含义不明确、同类问题表述不一致或者有明显文字和计算错误的内容，评审委员会应当以书面形式要求投标人作出必要的澄清、说明或者补正。</w:t>
      </w:r>
    </w:p>
    <w:p w:rsidR="00C54C61" w:rsidRDefault="00BF3A17">
      <w:pPr>
        <w:widowControl/>
        <w:spacing w:line="360" w:lineRule="auto"/>
        <w:contextualSpacing/>
        <w:jc w:val="left"/>
        <w:textAlignment w:val="baseline"/>
        <w:rPr>
          <w:rFonts w:ascii="宋体" w:hAnsi="宋体"/>
        </w:rPr>
      </w:pPr>
      <w:r>
        <w:rPr>
          <w:rFonts w:ascii="宋体" w:hAnsi="宋体" w:hint="eastAsia"/>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根据本通用条款第34条，凡属于评审委员会在评审中发现的算术错误进行核实的修改不在此列。</w:t>
      </w:r>
    </w:p>
    <w:p w:rsidR="00C54C61" w:rsidRDefault="00BF3A17">
      <w:pPr>
        <w:spacing w:line="360" w:lineRule="auto"/>
        <w:contextualSpacing/>
        <w:rPr>
          <w:rFonts w:ascii="黑体" w:eastAsia="黑体" w:hAnsi="宋体"/>
          <w:sz w:val="24"/>
        </w:rPr>
      </w:pPr>
      <w:bookmarkStart w:id="34" w:name="_Toc100052400"/>
      <w:bookmarkStart w:id="35" w:name="_Toc73517673"/>
      <w:bookmarkStart w:id="36" w:name="_Toc73521581"/>
      <w:bookmarkStart w:id="37" w:name="_Toc73518151"/>
      <w:bookmarkStart w:id="38" w:name="_Toc73521669"/>
      <w:r>
        <w:rPr>
          <w:rFonts w:ascii="黑体" w:eastAsia="黑体" w:hAnsi="宋体" w:hint="eastAsia"/>
          <w:sz w:val="24"/>
        </w:rPr>
        <w:t>34．错误的修正</w:t>
      </w:r>
      <w:bookmarkEnd w:id="34"/>
      <w:bookmarkEnd w:id="35"/>
      <w:bookmarkEnd w:id="36"/>
      <w:bookmarkEnd w:id="37"/>
      <w:bookmarkEnd w:id="38"/>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投标文件报价出现前后不一致的，除专用条款另有规定外，按照下列规定修正：</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34.1投标文件中开标一览表投标报价内容与投标文件中投标报价相应内容不一致的，以开标一览表为准；</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34.2大写金额和小写金额不一致的，以大写金额为准；</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34.3单价金额小数点或者百分比有明显错位，以开标一览表的总价为准，并修改单价；</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34.4总价金额与按单价汇总金额不一致的，以单价金额计算结果为准。</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rsidR="00C54C61" w:rsidRDefault="00BF3A17">
      <w:pPr>
        <w:spacing w:line="360" w:lineRule="auto"/>
        <w:contextualSpacing/>
        <w:rPr>
          <w:rFonts w:ascii="黑体" w:eastAsia="黑体" w:hAnsi="宋体"/>
          <w:sz w:val="24"/>
        </w:rPr>
      </w:pPr>
      <w:r>
        <w:rPr>
          <w:rFonts w:ascii="黑体" w:eastAsia="黑体" w:hAnsi="宋体" w:hint="eastAsia"/>
          <w:sz w:val="24"/>
        </w:rPr>
        <w:t>35．投标文件的比较与评价</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rsidR="00C54C61" w:rsidRDefault="00BF3A17">
      <w:pPr>
        <w:spacing w:line="360" w:lineRule="auto"/>
        <w:contextualSpacing/>
        <w:rPr>
          <w:rFonts w:ascii="黑体" w:eastAsia="黑体" w:hAnsi="宋体"/>
          <w:sz w:val="24"/>
        </w:rPr>
      </w:pPr>
      <w:r>
        <w:rPr>
          <w:rFonts w:ascii="黑体" w:eastAsia="黑体" w:hAnsi="宋体" w:hint="eastAsia"/>
          <w:sz w:val="24"/>
        </w:rPr>
        <w:t>36. 实地考察、演示或设备测试</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36.2若招标文件要求进行现场演示或设备测试的，投标人应做好相应准备。</w:t>
      </w:r>
    </w:p>
    <w:p w:rsidR="00C54C61" w:rsidRDefault="00BF3A17">
      <w:pPr>
        <w:spacing w:line="360" w:lineRule="auto"/>
        <w:contextualSpacing/>
        <w:rPr>
          <w:rFonts w:ascii="黑体" w:eastAsia="黑体" w:hAnsi="宋体"/>
          <w:sz w:val="24"/>
        </w:rPr>
      </w:pPr>
      <w:r>
        <w:rPr>
          <w:rFonts w:ascii="黑体" w:eastAsia="黑体" w:hAnsi="宋体" w:hint="eastAsia"/>
          <w:sz w:val="24"/>
        </w:rPr>
        <w:t>37．评标方法</w:t>
      </w:r>
    </w:p>
    <w:p w:rsidR="00C54C61" w:rsidRDefault="00BF3A17">
      <w:pPr>
        <w:spacing w:line="360" w:lineRule="auto"/>
        <w:ind w:firstLineChars="196" w:firstLine="413"/>
        <w:contextualSpacing/>
        <w:rPr>
          <w:rFonts w:ascii="宋体" w:hAnsi="宋体"/>
          <w:b/>
          <w:bCs/>
          <w:szCs w:val="21"/>
        </w:rPr>
      </w:pPr>
      <w:r>
        <w:rPr>
          <w:rFonts w:ascii="宋体" w:hAnsi="宋体" w:hint="eastAsia"/>
          <w:b/>
          <w:bCs/>
          <w:szCs w:val="21"/>
        </w:rPr>
        <w:t>37.1.1最低价法</w:t>
      </w:r>
    </w:p>
    <w:p w:rsidR="00C54C61" w:rsidRDefault="00BF3A17" w:rsidP="00EE5467">
      <w:pPr>
        <w:spacing w:line="360" w:lineRule="auto"/>
        <w:ind w:firstLineChars="196" w:firstLine="412"/>
        <w:contextualSpacing/>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rsidR="00C54C61" w:rsidRDefault="00BF3A17">
      <w:pPr>
        <w:spacing w:line="360" w:lineRule="auto"/>
        <w:ind w:firstLineChars="196" w:firstLine="413"/>
        <w:contextualSpacing/>
        <w:rPr>
          <w:rFonts w:ascii="宋体" w:hAnsi="宋体"/>
          <w:b/>
          <w:bCs/>
          <w:szCs w:val="21"/>
        </w:rPr>
      </w:pPr>
      <w:r>
        <w:rPr>
          <w:rFonts w:ascii="宋体" w:hAnsi="宋体" w:hint="eastAsia"/>
          <w:b/>
          <w:bCs/>
          <w:szCs w:val="21"/>
        </w:rPr>
        <w:t>37.1.2综合评分法</w:t>
      </w:r>
    </w:p>
    <w:p w:rsidR="00C54C61" w:rsidRDefault="00BF3A17" w:rsidP="00EE5467">
      <w:pPr>
        <w:spacing w:line="360" w:lineRule="auto"/>
        <w:ind w:firstLineChars="196" w:firstLine="412"/>
        <w:contextualSpacing/>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t>）</w:t>
      </w:r>
      <w:r>
        <w:rPr>
          <w:rFonts w:ascii="ˎ̥" w:hAnsi="ˎ̥"/>
        </w:rPr>
        <w:t>。</w:t>
      </w:r>
    </w:p>
    <w:p w:rsidR="00C54C61" w:rsidRDefault="00BF3A17">
      <w:pPr>
        <w:spacing w:line="360" w:lineRule="auto"/>
        <w:ind w:firstLineChars="196" w:firstLine="413"/>
        <w:contextualSpacing/>
        <w:rPr>
          <w:rFonts w:ascii="宋体" w:hAnsi="宋体"/>
          <w:b/>
          <w:bCs/>
          <w:szCs w:val="21"/>
        </w:rPr>
      </w:pPr>
      <w:r>
        <w:rPr>
          <w:rFonts w:ascii="宋体" w:hAnsi="宋体" w:hint="eastAsia"/>
          <w:b/>
          <w:bCs/>
          <w:szCs w:val="21"/>
        </w:rPr>
        <w:t>37.1.3定性评审法</w:t>
      </w:r>
    </w:p>
    <w:p w:rsidR="00C54C61" w:rsidRDefault="00BF3A17" w:rsidP="00EE5467">
      <w:pPr>
        <w:spacing w:line="360" w:lineRule="auto"/>
        <w:ind w:firstLineChars="196" w:firstLine="412"/>
        <w:contextualSpacing/>
        <w:rPr>
          <w:rFonts w:ascii="ˎ̥" w:hAnsi="ˎ̥"/>
        </w:rPr>
      </w:pPr>
      <w:r>
        <w:rPr>
          <w:rFonts w:ascii="宋体" w:hAnsi="宋体" w:cs="宋体"/>
          <w:kern w:val="0"/>
          <w:szCs w:val="21"/>
        </w:rPr>
        <w:t>定性评审法</w:t>
      </w:r>
      <w:r>
        <w:rPr>
          <w:rFonts w:ascii="宋体" w:hAnsi="宋体" w:cs="宋体" w:hint="eastAsia"/>
          <w:kern w:val="0"/>
          <w:szCs w:val="21"/>
        </w:rPr>
        <w:t>，是指</w:t>
      </w:r>
      <w:r>
        <w:rPr>
          <w:rFonts w:ascii="宋体" w:hAnsi="宋体" w:cs="宋体"/>
          <w:kern w:val="0"/>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r>
        <w:rPr>
          <w:rFonts w:ascii="宋体" w:hAnsi="宋体" w:hint="eastAsia"/>
          <w:bCs/>
          <w:szCs w:val="21"/>
        </w:rPr>
        <w:t xml:space="preserve">                                                                                                                                                                                                                                                                                                                                                                                                                                                                                                                                                                                                                                                                                                                                                                                                                                                                                                                                                                                                                                                                                                                                                                                                                                                                                                                                                                                                                                                                                                                                                                                                                                                                                                                                                                                                                                                                                                                                                                                                                                                                                                                                                                                                                                                                                                                                                                                                                                                                                                                                                                                                                                                                                                                                                                                                                                                                                                                                                                                                                                             </w:t>
      </w:r>
    </w:p>
    <w:p w:rsidR="00C54C61" w:rsidRDefault="00BF3A17">
      <w:pPr>
        <w:spacing w:line="360" w:lineRule="auto"/>
        <w:ind w:firstLineChars="196" w:firstLine="413"/>
        <w:contextualSpacing/>
        <w:rPr>
          <w:rFonts w:ascii="宋体" w:hAnsi="宋体"/>
          <w:b/>
          <w:bCs/>
          <w:szCs w:val="21"/>
        </w:rPr>
      </w:pPr>
      <w:r>
        <w:rPr>
          <w:rFonts w:ascii="宋体" w:hAnsi="宋体" w:hint="eastAsia"/>
          <w:b/>
          <w:bCs/>
          <w:szCs w:val="21"/>
        </w:rPr>
        <w:t>37.2 本项目采用的评标方法见本项目招标文件第一册“专用条款”的相关内容。</w:t>
      </w:r>
    </w:p>
    <w:p w:rsidR="00C54C61" w:rsidRDefault="00BF3A17">
      <w:pPr>
        <w:spacing w:line="360" w:lineRule="auto"/>
        <w:ind w:firstLineChars="196" w:firstLine="413"/>
        <w:contextualSpacing/>
        <w:rPr>
          <w:rFonts w:ascii="宋体" w:hAnsi="宋体"/>
          <w:b/>
          <w:bCs/>
          <w:szCs w:val="21"/>
        </w:rPr>
      </w:pPr>
      <w:r>
        <w:rPr>
          <w:rFonts w:ascii="宋体" w:hAnsi="宋体" w:hint="eastAsia"/>
          <w:b/>
          <w:bCs/>
          <w:szCs w:val="21"/>
        </w:rPr>
        <w:t>37.3重新评审的情形</w:t>
      </w:r>
    </w:p>
    <w:p w:rsidR="00C54C61" w:rsidRDefault="00BF3A17" w:rsidP="00EE5467">
      <w:pPr>
        <w:spacing w:line="360" w:lineRule="auto"/>
        <w:ind w:firstLineChars="196" w:firstLine="412"/>
        <w:contextualSpacing/>
        <w:rPr>
          <w:rFonts w:ascii="宋体" w:hAnsi="宋体"/>
          <w:b/>
          <w:bCs/>
          <w:szCs w:val="21"/>
        </w:rPr>
      </w:pPr>
      <w:r>
        <w:rPr>
          <w:rFonts w:ascii="宋体" w:hAnsi="宋体" w:cs="宋体" w:hint="eastAsia"/>
          <w:kern w:val="0"/>
          <w:szCs w:val="21"/>
        </w:rPr>
        <w:t>评标结果汇总完成后，除下列情形外，任何人不得修改评标结果：</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37.3.1分值汇总计算错误的；</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37.3.2分项评分超出评分标准范围的；</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37.3.3评审委员会成员对客观评审因素评分不一致的；</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37.3.4经评审委员会认定评分畸高、畸低的。</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投标人对本条第一款情形提出质疑的，采购人或者采购代理机构可以组织原评审委员会进行重新评审，重新评审改变评标结果的，应当书面报告本级财政部门。</w:t>
      </w:r>
    </w:p>
    <w:p w:rsidR="00C54C61" w:rsidRDefault="00BF3A17">
      <w:pPr>
        <w:spacing w:line="360" w:lineRule="auto"/>
        <w:ind w:firstLineChars="196" w:firstLine="413"/>
        <w:contextualSpacing/>
        <w:rPr>
          <w:rFonts w:ascii="宋体" w:hAnsi="宋体"/>
          <w:b/>
          <w:bCs/>
          <w:szCs w:val="21"/>
        </w:rPr>
      </w:pPr>
      <w:r>
        <w:rPr>
          <w:rFonts w:ascii="宋体" w:hAnsi="宋体" w:hint="eastAsia"/>
          <w:b/>
          <w:bCs/>
          <w:szCs w:val="21"/>
        </w:rPr>
        <w:t xml:space="preserve"> 37.4重新组建评审委员会的情形</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评审委员会或者其成员存在下列情形导致评标结果无效的，重新组建评审委员会进行评标，并书面报告本级财政部门：</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37.4.1评审委员会组成不符合《政府采购货物和服务招标投标管理办法》规定的；</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37.4.2有《政府采购货物和服务招标投标管理办法》第六十二条第一至五项情形的；</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37.4.3评审委员会及其成员独立评标受到非法干预的；</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37.4.4有政府采购法实施条例第七十五条规定的违法行为的。</w:t>
      </w:r>
    </w:p>
    <w:p w:rsidR="00C54C61" w:rsidRDefault="00BF3A17" w:rsidP="00EE5467">
      <w:pPr>
        <w:spacing w:line="360" w:lineRule="auto"/>
        <w:ind w:firstLineChars="196" w:firstLine="412"/>
        <w:contextualSpacing/>
        <w:rPr>
          <w:rFonts w:ascii="宋体" w:hAnsi="宋体" w:cs="宋体"/>
          <w:kern w:val="0"/>
          <w:szCs w:val="21"/>
        </w:rPr>
      </w:pPr>
      <w:r>
        <w:rPr>
          <w:rFonts w:ascii="宋体" w:hAnsi="宋体" w:cs="宋体" w:hint="eastAsia"/>
          <w:kern w:val="0"/>
          <w:szCs w:val="21"/>
        </w:rPr>
        <w:t>有违法违规行为的原评审委员会成员不得参加重新组建的评审委员会。</w:t>
      </w:r>
    </w:p>
    <w:p w:rsidR="00C54C61" w:rsidRDefault="00C54C61" w:rsidP="00EE5467">
      <w:pPr>
        <w:spacing w:line="360" w:lineRule="auto"/>
        <w:ind w:firstLineChars="196" w:firstLine="412"/>
        <w:contextualSpacing/>
        <w:rPr>
          <w:rFonts w:ascii="宋体" w:hAnsi="宋体"/>
          <w:szCs w:val="21"/>
        </w:rPr>
      </w:pPr>
    </w:p>
    <w:p w:rsidR="00C54C61" w:rsidRDefault="00BF3A17">
      <w:pPr>
        <w:pStyle w:val="2"/>
        <w:numPr>
          <w:ilvl w:val="0"/>
          <w:numId w:val="13"/>
        </w:numPr>
        <w:spacing w:beforeLines="50" w:before="120" w:afterLines="50" w:after="120" w:line="360" w:lineRule="auto"/>
        <w:contextualSpacing/>
        <w:rPr>
          <w:sz w:val="28"/>
          <w:szCs w:val="28"/>
        </w:rPr>
      </w:pPr>
      <w:r>
        <w:rPr>
          <w:rFonts w:hint="eastAsia"/>
          <w:sz w:val="28"/>
          <w:szCs w:val="28"/>
        </w:rPr>
        <w:t>定标及公示</w:t>
      </w:r>
    </w:p>
    <w:p w:rsidR="00C54C61" w:rsidRDefault="00BF3A17">
      <w:pPr>
        <w:spacing w:line="360" w:lineRule="auto"/>
        <w:contextualSpacing/>
        <w:rPr>
          <w:rFonts w:ascii="黑体" w:eastAsia="黑体" w:hAnsi="宋体"/>
          <w:sz w:val="24"/>
        </w:rPr>
      </w:pPr>
      <w:r>
        <w:rPr>
          <w:rFonts w:ascii="黑体" w:eastAsia="黑体" w:hAnsi="宋体" w:hint="eastAsia"/>
          <w:sz w:val="24"/>
        </w:rPr>
        <w:t>38．定标方法</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38.1非评定分离项目定标方法</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1.1评审委员会依据本项目招标文件所约定的评标方法进行评审和比较，向采购实施机构提交书面评标报告，并根据评标方法比较评价结果从优到劣进行排序，确定中标供应商及中标候选人。</w:t>
      </w:r>
    </w:p>
    <w:p w:rsidR="00C54C61" w:rsidRDefault="00BF3A17" w:rsidP="00EE5467">
      <w:pPr>
        <w:spacing w:line="360" w:lineRule="auto"/>
        <w:ind w:firstLineChars="196" w:firstLine="412"/>
        <w:contextualSpacing/>
        <w:rPr>
          <w:rFonts w:ascii="ˎ̥" w:hAnsi="ˎ̥"/>
        </w:rPr>
      </w:pPr>
      <w:r>
        <w:rPr>
          <w:rFonts w:ascii="宋体" w:hAnsi="宋体" w:hint="eastAsia"/>
          <w:szCs w:val="21"/>
        </w:rPr>
        <w:t>38</w:t>
      </w:r>
      <w:r>
        <w:rPr>
          <w:rFonts w:ascii="宋体" w:hAnsi="宋体"/>
          <w:szCs w:val="21"/>
        </w:rPr>
        <w:t>.</w:t>
      </w:r>
      <w:r>
        <w:rPr>
          <w:rFonts w:ascii="宋体" w:hAnsi="宋体" w:hint="eastAsia"/>
          <w:szCs w:val="21"/>
        </w:rPr>
        <w:t>1.2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rsidR="00C54C61" w:rsidRDefault="00BF3A17" w:rsidP="00EE5467">
      <w:pPr>
        <w:spacing w:line="360" w:lineRule="auto"/>
        <w:ind w:firstLineChars="196" w:firstLine="412"/>
        <w:contextualSpacing/>
        <w:rPr>
          <w:rFonts w:ascii="ˎ̥" w:hAnsi="ˎ̥"/>
        </w:rPr>
      </w:pPr>
      <w:r>
        <w:rPr>
          <w:rFonts w:ascii="宋体" w:hAnsi="宋体" w:hint="eastAsia"/>
          <w:szCs w:val="21"/>
        </w:rPr>
        <w:t>38</w:t>
      </w:r>
      <w:r>
        <w:rPr>
          <w:rFonts w:ascii="宋体" w:hAnsi="宋体"/>
          <w:szCs w:val="21"/>
        </w:rPr>
        <w:t>.</w:t>
      </w:r>
      <w:r>
        <w:rPr>
          <w:rFonts w:ascii="宋体" w:hAnsi="宋体" w:hint="eastAsia"/>
          <w:szCs w:val="21"/>
        </w:rPr>
        <w:t>1.3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r>
        <w:rPr>
          <w:rFonts w:ascii="ˎ̥" w:hAnsi="ˎ̥" w:hint="eastAsia"/>
        </w:rPr>
        <w:t>出现</w:t>
      </w:r>
      <w:r>
        <w:rPr>
          <w:rFonts w:ascii="ˎ̥" w:hAnsi="ˎ̥"/>
        </w:rPr>
        <w:t>得分且投标报价相同的并列</w:t>
      </w:r>
      <w:r>
        <w:rPr>
          <w:rFonts w:ascii="ˎ̥" w:hAnsi="ˎ̥" w:hint="eastAsia"/>
        </w:rPr>
        <w:t>情况时，采取随机抽取的方式确定，具体操作办法及流程由评审委员会确定。</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38.2评定分离项目定标方法</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38.2.2采用“综合评分法”评审方法的项目，评审委员会按照评审结果，依照招标文件第一册关键信息的内容推荐相应数量的候选中标供应商。</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38.2.3采购人应当按照自定法确定中标供应商：自定法是指采购人组织定标委员会，由定标委员会在候选中标供应商中确定中标供应商。</w:t>
      </w:r>
    </w:p>
    <w:p w:rsidR="00C54C61" w:rsidRDefault="00BF3A17" w:rsidP="00EE5467">
      <w:pPr>
        <w:spacing w:line="360" w:lineRule="auto"/>
        <w:ind w:firstLineChars="196" w:firstLine="412"/>
        <w:contextualSpacing/>
        <w:rPr>
          <w:rFonts w:ascii="宋体" w:hAnsi="宋体"/>
          <w:szCs w:val="21"/>
        </w:rPr>
      </w:pPr>
      <w:r>
        <w:rPr>
          <w:rFonts w:ascii="宋体" w:hAnsi="宋体"/>
          <w:szCs w:val="21"/>
        </w:rPr>
        <w:t>38.</w:t>
      </w:r>
      <w:r>
        <w:rPr>
          <w:rFonts w:ascii="宋体" w:hAnsi="宋体" w:hint="eastAsia"/>
          <w:szCs w:val="21"/>
        </w:rPr>
        <w:t>2.3.1自定法。</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操作程序：</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①采购实施机构自评审结束之日起2个工作日内通过系统将评审报告送交采购人。</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②采购人应当自收到评审报告之日起3个工作日内，组成定标委员会，召开定标会并确定中标供应商（中标供应商的具体数量由采购人在项目申报时确定并在招标文件中体现）。重大项目的定标委员会应当由采购人领导班子组成；</w:t>
      </w:r>
      <w:r>
        <w:rPr>
          <w:rFonts w:hint="eastAsia"/>
          <w:szCs w:val="21"/>
        </w:rPr>
        <w:t>特定品目项目（非重大项目）的定标委员会可以由单位中层以上管理人员、具有与所采购项目专业领域中级以上职称人员、采购责任机构负责人等人员组成。在充分讨论的基础上，定标委员会可采取口头表决、举手表决或者无记名投票等方式进行表决。候选中标供应商的得票数超过成员半数的，方可确定为中标供应商。</w:t>
      </w:r>
      <w:r>
        <w:rPr>
          <w:rFonts w:ascii="宋体" w:hAnsi="宋体" w:hint="eastAsia"/>
          <w:szCs w:val="21"/>
        </w:rPr>
        <w:t>中标供应商的确定流程：网上具体操作时，在结束辅助评标后，采购实施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④采购人应当在公示结束后3个工作日内，通过系统将定标报告送采购实施机构备案。定标报告包括但不限于定标委员会候选人员名单、正式成员名单、定标委员会的产生过程、定标程序及定标结果等内容。</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⑤采购人逾期不确定的，采购实施机构将报主管部门处理，处理期间不计入采购期间。</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说明：采购人及投标供应商应按照上述方法提前做好相关准备。</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38.3专用条款另有规定的，按专用条款相关要求定标。</w:t>
      </w:r>
    </w:p>
    <w:p w:rsidR="00C54C61" w:rsidRDefault="00BF3A17">
      <w:pPr>
        <w:spacing w:line="360" w:lineRule="auto"/>
        <w:contextualSpacing/>
        <w:rPr>
          <w:rFonts w:ascii="黑体" w:eastAsia="黑体" w:hAnsi="宋体"/>
          <w:sz w:val="24"/>
        </w:rPr>
      </w:pPr>
      <w:r>
        <w:rPr>
          <w:rFonts w:ascii="黑体" w:eastAsia="黑体" w:hAnsi="宋体" w:hint="eastAsia"/>
          <w:sz w:val="24"/>
        </w:rPr>
        <w:t>39．编写评标报告</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rsidR="00C54C61" w:rsidRDefault="00BF3A17">
      <w:pPr>
        <w:spacing w:line="360" w:lineRule="auto"/>
        <w:contextualSpacing/>
        <w:rPr>
          <w:rFonts w:ascii="黑体" w:eastAsia="黑体" w:hAnsi="宋体"/>
          <w:sz w:val="24"/>
        </w:rPr>
      </w:pPr>
      <w:r>
        <w:rPr>
          <w:rFonts w:ascii="黑体" w:eastAsia="黑体" w:hAnsi="宋体" w:hint="eastAsia"/>
          <w:sz w:val="24"/>
        </w:rPr>
        <w:t>40．中标公告</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40.1为体现“公开、公平、公正”的原则，评标结束后，采购实施机构将在“深圳政府采购网”（</w:t>
      </w:r>
      <w:r>
        <w:t>http://www.szzfcg.cn/</w:t>
      </w:r>
      <w:r>
        <w:rPr>
          <w:rFonts w:ascii="宋体" w:hAnsi="宋体" w:hint="eastAsia"/>
          <w:szCs w:val="21"/>
        </w:rPr>
        <w:t>）及“深圳市国信招标有限公司网站”（</w:t>
      </w:r>
      <w:r>
        <w:rPr>
          <w:rFonts w:ascii="宋体" w:hAnsi="宋体"/>
          <w:szCs w:val="21"/>
        </w:rPr>
        <w:t>http://www.szgxzb.com/</w:t>
      </w:r>
      <w:r>
        <w:rPr>
          <w:rFonts w:ascii="宋体" w:hAnsi="宋体" w:hint="eastAsia"/>
          <w:szCs w:val="21"/>
        </w:rPr>
        <w:t>）上发布中标结果公告。供应商如对评标结果有异议，</w:t>
      </w:r>
      <w:r>
        <w:rPr>
          <w:rFonts w:ascii="宋体" w:hAnsi="宋体"/>
          <w:szCs w:val="21"/>
        </w:rPr>
        <w:t>可在发布公示日期起</w:t>
      </w:r>
      <w:r>
        <w:rPr>
          <w:rFonts w:ascii="宋体" w:hAnsi="宋体" w:hint="eastAsia"/>
          <w:szCs w:val="21"/>
        </w:rPr>
        <w:t>七</w:t>
      </w:r>
      <w:r>
        <w:rPr>
          <w:rFonts w:ascii="宋体" w:hAnsi="宋体"/>
          <w:szCs w:val="21"/>
        </w:rPr>
        <w:t>个工作日内向</w:t>
      </w:r>
      <w:r>
        <w:rPr>
          <w:rFonts w:ascii="宋体" w:hAnsi="宋体" w:hint="eastAsia"/>
          <w:szCs w:val="21"/>
        </w:rPr>
        <w:t>采购实施机构</w:t>
      </w:r>
      <w:r>
        <w:rPr>
          <w:rFonts w:ascii="宋体" w:hAnsi="宋体"/>
          <w:szCs w:val="21"/>
        </w:rPr>
        <w:t>提出。 监督电话：0755-</w:t>
      </w:r>
      <w:r>
        <w:rPr>
          <w:rFonts w:ascii="宋体" w:hAnsi="宋体" w:hint="eastAsia"/>
          <w:szCs w:val="21"/>
        </w:rPr>
        <w:t>23908094</w:t>
      </w:r>
      <w:r>
        <w:rPr>
          <w:rFonts w:ascii="宋体" w:hAnsi="宋体"/>
          <w:szCs w:val="21"/>
        </w:rPr>
        <w:t>。</w:t>
      </w:r>
      <w:r>
        <w:rPr>
          <w:rFonts w:ascii="宋体" w:hAnsi="宋体" w:hint="eastAsia"/>
          <w:szCs w:val="21"/>
        </w:rPr>
        <w:t>若在公示期内未提出质疑，则视为认同该评标结果。</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40.2质疑投诉人应保证质疑投诉内容的真实性和可靠性，并承担相应的法律责任。</w:t>
      </w:r>
    </w:p>
    <w:p w:rsidR="00C54C61" w:rsidRDefault="00BF3A17">
      <w:pPr>
        <w:spacing w:line="360" w:lineRule="auto"/>
        <w:contextualSpacing/>
        <w:rPr>
          <w:rFonts w:ascii="黑体" w:eastAsia="黑体" w:hAnsi="宋体"/>
          <w:sz w:val="24"/>
        </w:rPr>
      </w:pPr>
      <w:r>
        <w:rPr>
          <w:rFonts w:ascii="黑体" w:eastAsia="黑体" w:hAnsi="宋体" w:hint="eastAsia"/>
          <w:sz w:val="24"/>
        </w:rPr>
        <w:t>41．中标通知书</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41</w:t>
      </w:r>
      <w:r>
        <w:rPr>
          <w:rFonts w:ascii="宋体" w:hAnsi="宋体"/>
          <w:szCs w:val="21"/>
        </w:rPr>
        <w:t>.</w:t>
      </w:r>
      <w:r>
        <w:rPr>
          <w:rFonts w:ascii="宋体" w:hAnsi="宋体" w:hint="eastAsia"/>
          <w:szCs w:val="21"/>
        </w:rPr>
        <w:t>1中标公告公布以后,公示期内无有效质疑投诉,采购实施机构将向中标供应商和采购人发布</w:t>
      </w:r>
      <w:r>
        <w:rPr>
          <w:rFonts w:ascii="宋体" w:hAnsi="宋体" w:hint="eastAsia"/>
          <w:b/>
          <w:szCs w:val="21"/>
        </w:rPr>
        <w:t>《中标通知书》（</w:t>
      </w:r>
      <w:r>
        <w:rPr>
          <w:rFonts w:ascii="宋体" w:hAnsi="宋体" w:hint="eastAsia"/>
          <w:szCs w:val="21"/>
        </w:rPr>
        <w:t>咨询电话：0755—23908094）。</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41</w:t>
      </w:r>
      <w:r>
        <w:rPr>
          <w:rFonts w:ascii="宋体" w:hAnsi="宋体"/>
          <w:szCs w:val="21"/>
        </w:rPr>
        <w:t>.2</w:t>
      </w:r>
      <w:r>
        <w:rPr>
          <w:rFonts w:ascii="宋体" w:hAnsi="宋体" w:hint="eastAsia"/>
          <w:szCs w:val="21"/>
        </w:rPr>
        <w:t>中标通知书是合同的重要组成部分。</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41.3因质疑投诉或其它原因导致项目结果变更或采购终止的，采购实施机构有权吊销中标通知书或终止采购合同。</w:t>
      </w:r>
    </w:p>
    <w:p w:rsidR="00C54C61" w:rsidRDefault="00C54C61" w:rsidP="00EE5467">
      <w:pPr>
        <w:spacing w:line="360" w:lineRule="auto"/>
        <w:ind w:firstLineChars="196" w:firstLine="412"/>
        <w:contextualSpacing/>
        <w:rPr>
          <w:rFonts w:ascii="宋体" w:hAnsi="宋体"/>
          <w:szCs w:val="21"/>
        </w:rPr>
      </w:pPr>
    </w:p>
    <w:p w:rsidR="00C54C61" w:rsidRDefault="00BF3A17">
      <w:pPr>
        <w:pStyle w:val="2"/>
        <w:numPr>
          <w:ilvl w:val="0"/>
          <w:numId w:val="13"/>
        </w:numPr>
        <w:spacing w:beforeLines="50" w:before="120" w:afterLines="50" w:after="120" w:line="360" w:lineRule="auto"/>
        <w:contextualSpacing/>
        <w:rPr>
          <w:sz w:val="28"/>
          <w:szCs w:val="28"/>
        </w:rPr>
      </w:pPr>
      <w:r>
        <w:rPr>
          <w:rFonts w:hint="eastAsia"/>
          <w:sz w:val="28"/>
          <w:szCs w:val="28"/>
        </w:rPr>
        <w:t>公开招标失败的后续处理</w:t>
      </w:r>
    </w:p>
    <w:p w:rsidR="00C54C61" w:rsidRDefault="00BF3A17">
      <w:pPr>
        <w:spacing w:line="360" w:lineRule="auto"/>
        <w:contextualSpacing/>
        <w:rPr>
          <w:rFonts w:ascii="黑体" w:eastAsia="黑体" w:hAnsi="宋体"/>
          <w:sz w:val="24"/>
        </w:rPr>
      </w:pPr>
      <w:r>
        <w:rPr>
          <w:rFonts w:ascii="黑体" w:eastAsia="黑体" w:hAnsi="宋体" w:hint="eastAsia"/>
          <w:sz w:val="24"/>
        </w:rPr>
        <w:t>42．公开招标失败的处理</w:t>
      </w:r>
    </w:p>
    <w:p w:rsidR="00C54C61" w:rsidRDefault="00BF3A17" w:rsidP="00EE5467">
      <w:pPr>
        <w:spacing w:line="360" w:lineRule="auto"/>
        <w:ind w:firstLineChars="196" w:firstLine="412"/>
        <w:contextualSpacing/>
        <w:rPr>
          <w:rFonts w:ascii="宋体" w:hAnsi="宋体"/>
        </w:rPr>
      </w:pPr>
      <w:r>
        <w:rPr>
          <w:rFonts w:ascii="宋体" w:hAnsi="宋体" w:hint="eastAsia"/>
          <w:szCs w:val="21"/>
        </w:rPr>
        <w:t>42.1本项目公开招标过程中若由于投标截止后</w:t>
      </w:r>
      <w:r>
        <w:rPr>
          <w:rFonts w:ascii="宋体" w:hAnsi="宋体" w:hint="eastAsia"/>
        </w:rPr>
        <w:t>实际递交</w:t>
      </w:r>
      <w:r>
        <w:rPr>
          <w:rFonts w:ascii="宋体" w:hAnsi="宋体"/>
        </w:rPr>
        <w:t>投标</w:t>
      </w:r>
      <w:r>
        <w:rPr>
          <w:rFonts w:ascii="宋体" w:hAnsi="宋体" w:hint="eastAsia"/>
        </w:rPr>
        <w:t>文件的供应商数量不足、经</w:t>
      </w:r>
      <w:r>
        <w:rPr>
          <w:rFonts w:ascii="宋体" w:hAnsi="宋体" w:hint="eastAsia"/>
          <w:szCs w:val="21"/>
        </w:rPr>
        <w:t>评审委员会</w:t>
      </w:r>
      <w:r>
        <w:rPr>
          <w:rFonts w:ascii="宋体" w:hAnsi="宋体" w:hint="eastAsia"/>
        </w:rPr>
        <w:t>评审对招标文件作实质响应的供应商不足等原因造成公开招标失败，可由</w:t>
      </w:r>
      <w:r>
        <w:rPr>
          <w:rFonts w:ascii="宋体" w:hAnsi="宋体" w:cs="宋体" w:hint="eastAsia"/>
        </w:rPr>
        <w:t>采购实施机构</w:t>
      </w:r>
      <w:r>
        <w:rPr>
          <w:rFonts w:ascii="宋体" w:hAnsi="宋体" w:hint="eastAsia"/>
        </w:rPr>
        <w:t>重新组织采购。</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42.3重新组织采购有以下两种组织形式：</w:t>
      </w:r>
    </w:p>
    <w:p w:rsidR="00C54C61" w:rsidRDefault="00BF3A17" w:rsidP="00EE5467">
      <w:pPr>
        <w:spacing w:line="360" w:lineRule="auto"/>
        <w:ind w:firstLineChars="196" w:firstLine="412"/>
        <w:contextualSpacing/>
        <w:rPr>
          <w:rFonts w:ascii="宋体" w:hAnsi="宋体"/>
        </w:rPr>
      </w:pPr>
      <w:r>
        <w:rPr>
          <w:rFonts w:ascii="宋体" w:hAnsi="宋体" w:hint="eastAsia"/>
        </w:rPr>
        <w:t>（1）由</w:t>
      </w:r>
      <w:r>
        <w:rPr>
          <w:rFonts w:ascii="宋体" w:hAnsi="宋体" w:cs="宋体" w:hint="eastAsia"/>
        </w:rPr>
        <w:t>采购实施机构</w:t>
      </w:r>
      <w:r>
        <w:rPr>
          <w:rFonts w:ascii="宋体" w:hAnsi="宋体" w:hint="eastAsia"/>
        </w:rPr>
        <w:t>重新组织公开招标；</w:t>
      </w:r>
    </w:p>
    <w:p w:rsidR="00C54C61" w:rsidRDefault="00BF3A17" w:rsidP="00EE5467">
      <w:pPr>
        <w:spacing w:line="360" w:lineRule="auto"/>
        <w:ind w:firstLineChars="196" w:firstLine="412"/>
        <w:contextualSpacing/>
        <w:rPr>
          <w:rFonts w:ascii="宋体" w:hAnsi="宋体"/>
        </w:rPr>
      </w:pPr>
      <w:r>
        <w:rPr>
          <w:rFonts w:ascii="宋体" w:hAnsi="宋体" w:hint="eastAsia"/>
        </w:rPr>
        <w:t>（2）根据实际情况需要向政府采购监督管理部门提出非公开招标方式申请，经政府采购监督管理部门批准，公开招标失败采购项目可转为竞争性谈判或单一来源谈判方式采购。</w:t>
      </w:r>
    </w:p>
    <w:p w:rsidR="00C54C61" w:rsidRDefault="00BF3A17" w:rsidP="00EE5467">
      <w:pPr>
        <w:spacing w:line="360" w:lineRule="auto"/>
        <w:ind w:firstLineChars="196" w:firstLine="412"/>
        <w:contextualSpacing/>
        <w:rPr>
          <w:rFonts w:ascii="宋体" w:hAnsi="宋体"/>
        </w:rPr>
      </w:pPr>
      <w:r>
        <w:rPr>
          <w:rFonts w:ascii="宋体" w:hAnsi="宋体" w:hint="eastAsia"/>
        </w:rPr>
        <w:t>42.4公开招标失败的采购项目重新组织公开招标，由</w:t>
      </w:r>
      <w:r>
        <w:rPr>
          <w:rFonts w:ascii="宋体" w:hAnsi="宋体" w:cs="宋体" w:hint="eastAsia"/>
        </w:rPr>
        <w:t>采购实施机构</w:t>
      </w:r>
      <w:r>
        <w:rPr>
          <w:rFonts w:ascii="宋体" w:hAnsi="宋体" w:hint="eastAsia"/>
        </w:rPr>
        <w:t>重新按公开招标流程组织采购活动。</w:t>
      </w:r>
    </w:p>
    <w:p w:rsidR="00C54C61" w:rsidRDefault="00BF3A17">
      <w:pPr>
        <w:spacing w:line="360" w:lineRule="auto"/>
        <w:contextualSpacing/>
        <w:rPr>
          <w:rFonts w:ascii="宋体" w:hAnsi="宋体"/>
        </w:rPr>
      </w:pPr>
      <w:r>
        <w:rPr>
          <w:rFonts w:ascii="黑体" w:eastAsia="黑体" w:hAnsi="宋体" w:hint="eastAsia"/>
          <w:sz w:val="24"/>
        </w:rPr>
        <w:t xml:space="preserve">    </w:t>
      </w:r>
      <w:r>
        <w:rPr>
          <w:rFonts w:ascii="宋体" w:hAnsi="宋体" w:hint="eastAsia"/>
        </w:rPr>
        <w:t>42.5公开招标失败的采购项目经政府采购监督管理部门批准转为竞争性谈判或单一来源谈判方式采购的，按规定要求组织政府采购工作。</w:t>
      </w:r>
    </w:p>
    <w:p w:rsidR="00C54C61" w:rsidRDefault="00C54C61">
      <w:pPr>
        <w:spacing w:line="360" w:lineRule="auto"/>
        <w:contextualSpacing/>
        <w:rPr>
          <w:rFonts w:ascii="黑体" w:eastAsia="黑体" w:hAnsi="宋体"/>
          <w:sz w:val="24"/>
        </w:rPr>
      </w:pPr>
    </w:p>
    <w:p w:rsidR="00C54C61" w:rsidRDefault="00BF3A17">
      <w:pPr>
        <w:pStyle w:val="2"/>
        <w:numPr>
          <w:ilvl w:val="0"/>
          <w:numId w:val="13"/>
        </w:numPr>
        <w:spacing w:beforeLines="50" w:before="120" w:afterLines="50" w:after="120" w:line="360" w:lineRule="auto"/>
        <w:contextualSpacing/>
        <w:rPr>
          <w:sz w:val="28"/>
          <w:szCs w:val="28"/>
        </w:rPr>
      </w:pPr>
      <w:r>
        <w:rPr>
          <w:rFonts w:hint="eastAsia"/>
        </w:rPr>
        <w:t>合同的授予与备案</w:t>
      </w:r>
    </w:p>
    <w:p w:rsidR="00C54C61" w:rsidRDefault="00BF3A17">
      <w:pPr>
        <w:spacing w:line="360" w:lineRule="auto"/>
        <w:contextualSpacing/>
        <w:rPr>
          <w:rFonts w:ascii="黑体" w:eastAsia="黑体" w:hAnsi="宋体"/>
          <w:sz w:val="24"/>
        </w:rPr>
      </w:pPr>
      <w:bookmarkStart w:id="39" w:name="_Toc100052408"/>
      <w:bookmarkStart w:id="40" w:name="_Toc73521586"/>
      <w:bookmarkStart w:id="41" w:name="_Toc73517679"/>
      <w:bookmarkStart w:id="42" w:name="_Toc73518157"/>
      <w:bookmarkStart w:id="43" w:name="_Toc73521674"/>
      <w:r>
        <w:rPr>
          <w:rFonts w:ascii="黑体" w:eastAsia="黑体" w:hAnsi="宋体" w:hint="eastAsia"/>
          <w:sz w:val="24"/>
        </w:rPr>
        <w:t>43．合同授予标准</w:t>
      </w:r>
      <w:bookmarkEnd w:id="39"/>
      <w:bookmarkEnd w:id="40"/>
      <w:bookmarkEnd w:id="41"/>
      <w:bookmarkEnd w:id="42"/>
      <w:bookmarkEnd w:id="43"/>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本项目的合同将授予按本招标文件规定评审确定的中标人。</w:t>
      </w:r>
    </w:p>
    <w:p w:rsidR="00C54C61" w:rsidRDefault="00BF3A17">
      <w:pPr>
        <w:spacing w:line="360" w:lineRule="auto"/>
        <w:contextualSpacing/>
        <w:rPr>
          <w:rFonts w:ascii="黑体" w:eastAsia="黑体" w:hAnsi="宋体"/>
          <w:sz w:val="24"/>
        </w:rPr>
      </w:pPr>
      <w:bookmarkStart w:id="44" w:name="_Toc73521587"/>
      <w:bookmarkStart w:id="45" w:name="_Toc73518158"/>
      <w:bookmarkStart w:id="46" w:name="_Toc73517680"/>
      <w:bookmarkStart w:id="47" w:name="_Toc100052409"/>
      <w:bookmarkStart w:id="48" w:name="_Toc73521675"/>
      <w:r>
        <w:rPr>
          <w:rFonts w:ascii="黑体" w:eastAsia="黑体" w:hAnsi="宋体" w:hint="eastAsia"/>
          <w:sz w:val="24"/>
        </w:rPr>
        <w:t>44．</w:t>
      </w:r>
      <w:bookmarkEnd w:id="44"/>
      <w:bookmarkEnd w:id="45"/>
      <w:bookmarkEnd w:id="46"/>
      <w:bookmarkEnd w:id="47"/>
      <w:bookmarkEnd w:id="48"/>
      <w:r>
        <w:rPr>
          <w:rFonts w:ascii="黑体" w:eastAsia="黑体" w:hAnsi="宋体" w:hint="eastAsia"/>
          <w:sz w:val="24"/>
        </w:rPr>
        <w:t>接受和拒绝任何或所有投标的权力</w:t>
      </w:r>
    </w:p>
    <w:p w:rsidR="00C54C61" w:rsidRDefault="00BF3A17" w:rsidP="00EE5467">
      <w:pPr>
        <w:spacing w:line="360" w:lineRule="auto"/>
        <w:ind w:firstLineChars="196" w:firstLine="412"/>
        <w:contextualSpacing/>
        <w:rPr>
          <w:rFonts w:ascii="宋体" w:hAnsi="宋体"/>
          <w:szCs w:val="21"/>
        </w:rPr>
      </w:pPr>
      <w:r>
        <w:rPr>
          <w:rFonts w:ascii="宋体" w:hAnsi="宋体" w:cs="宋体" w:hint="eastAsia"/>
        </w:rPr>
        <w:t>采购实施机构</w:t>
      </w:r>
      <w:r>
        <w:rPr>
          <w:rFonts w:ascii="宋体" w:hAnsi="宋体" w:hint="eastAsia"/>
          <w:szCs w:val="21"/>
        </w:rPr>
        <w:t>和采购人保留在投标之前任何时候接受或拒绝任何投标或所有投标，以及宣布招标无效的权力，对受影响的投标人不承担任何责任，也无义务向受影响的投标人解释采取这一行动的理由。</w:t>
      </w:r>
    </w:p>
    <w:p w:rsidR="00C54C61" w:rsidRDefault="00BF3A17">
      <w:pPr>
        <w:spacing w:line="360" w:lineRule="auto"/>
        <w:contextualSpacing/>
        <w:rPr>
          <w:rFonts w:ascii="黑体" w:eastAsia="黑体" w:hAnsi="宋体"/>
          <w:sz w:val="24"/>
        </w:rPr>
      </w:pPr>
      <w:bookmarkStart w:id="49" w:name="_Toc73521589"/>
      <w:bookmarkStart w:id="50" w:name="_Toc73521677"/>
      <w:bookmarkStart w:id="51" w:name="_Toc73517682"/>
      <w:bookmarkStart w:id="52" w:name="_Toc73518160"/>
      <w:bookmarkStart w:id="53" w:name="_Toc100052410"/>
      <w:r>
        <w:rPr>
          <w:rFonts w:ascii="黑体" w:eastAsia="黑体" w:hAnsi="宋体" w:hint="eastAsia"/>
          <w:sz w:val="24"/>
        </w:rPr>
        <w:t>45．合同协议书的签订</w:t>
      </w:r>
      <w:bookmarkEnd w:id="49"/>
      <w:bookmarkEnd w:id="50"/>
      <w:bookmarkEnd w:id="51"/>
      <w:bookmarkEnd w:id="52"/>
      <w:bookmarkEnd w:id="53"/>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45.1中标人将于中标通知书发出之日起十个工作日内，按照采购文件（招标文件和投标文件等）内容与采购人签订政府采购合同；合同的实质性内容应当符合招标文件的规定；</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45.2中标人如不按本通用条款第45</w:t>
      </w:r>
      <w:r>
        <w:rPr>
          <w:rFonts w:ascii="宋体" w:hAnsi="宋体"/>
          <w:szCs w:val="21"/>
        </w:rPr>
        <w:t>.1</w:t>
      </w:r>
      <w:r>
        <w:rPr>
          <w:rFonts w:ascii="宋体" w:hAnsi="宋体" w:hint="eastAsia"/>
          <w:szCs w:val="21"/>
        </w:rPr>
        <w:t>款的规定与采购人签订合同，</w:t>
      </w:r>
      <w:r>
        <w:rPr>
          <w:rFonts w:ascii="宋体" w:hAnsi="宋体" w:cs="宋体"/>
          <w:kern w:val="0"/>
          <w:szCs w:val="21"/>
        </w:rPr>
        <w:t>情节严重的，并由主管部门记入供应商诚信档案，予以通报</w:t>
      </w:r>
      <w:r>
        <w:rPr>
          <w:rFonts w:ascii="宋体" w:hAnsi="宋体" w:hint="eastAsia"/>
          <w:szCs w:val="21"/>
        </w:rPr>
        <w:t>；</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45.3中标人应当按照合同约定履行义务，完成中标项目，不得将中标项目转让（转包）给他人。</w:t>
      </w:r>
    </w:p>
    <w:p w:rsidR="00C54C61" w:rsidRDefault="00BF3A17">
      <w:pPr>
        <w:spacing w:line="360" w:lineRule="auto"/>
        <w:contextualSpacing/>
        <w:rPr>
          <w:rFonts w:ascii="黑体" w:eastAsia="黑体" w:hAnsi="宋体"/>
          <w:sz w:val="24"/>
        </w:rPr>
      </w:pPr>
      <w:bookmarkStart w:id="54" w:name="_Toc73517683"/>
      <w:bookmarkStart w:id="55" w:name="_Toc73518161"/>
      <w:bookmarkStart w:id="56" w:name="_Toc73521590"/>
      <w:bookmarkStart w:id="57" w:name="_Toc73521678"/>
      <w:bookmarkStart w:id="58" w:name="_Toc100052411"/>
      <w:r>
        <w:rPr>
          <w:rFonts w:ascii="黑体" w:eastAsia="黑体" w:hAnsi="宋体" w:hint="eastAsia"/>
          <w:sz w:val="24"/>
        </w:rPr>
        <w:t>46．履约担保</w:t>
      </w:r>
      <w:bookmarkEnd w:id="54"/>
      <w:bookmarkEnd w:id="55"/>
      <w:bookmarkEnd w:id="56"/>
      <w:bookmarkEnd w:id="57"/>
      <w:bookmarkEnd w:id="58"/>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46.1在签订项目合同的同时，中标人应按“对通用条款的补充内容”中规定的金额向采购人提交履约保证金（除现金方式外，允许供应商自主选择以支票、汇票、本票、保函等非现金方式缴纳或提交保证金）；</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rsidR="00C54C61" w:rsidRDefault="00BF3A17">
      <w:pPr>
        <w:spacing w:line="360" w:lineRule="auto"/>
        <w:contextualSpacing/>
        <w:rPr>
          <w:rFonts w:ascii="黑体" w:eastAsia="黑体" w:hAnsi="宋体"/>
          <w:sz w:val="24"/>
        </w:rPr>
      </w:pPr>
      <w:r>
        <w:rPr>
          <w:rFonts w:ascii="黑体" w:eastAsia="黑体" w:hAnsi="宋体" w:hint="eastAsia"/>
          <w:sz w:val="24"/>
        </w:rPr>
        <w:t>47. 合同的备案</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采购人与中标人应于合同签订之日起十日内，由采购人或委托中标人将采购合同副本抄送政府集中采购机构备案。</w:t>
      </w:r>
    </w:p>
    <w:p w:rsidR="00C54C61" w:rsidRDefault="00BF3A17">
      <w:pPr>
        <w:spacing w:line="360" w:lineRule="auto"/>
        <w:contextualSpacing/>
        <w:rPr>
          <w:rFonts w:ascii="黑体" w:eastAsia="黑体" w:hAnsi="宋体"/>
          <w:sz w:val="24"/>
        </w:rPr>
      </w:pPr>
      <w:r>
        <w:rPr>
          <w:rFonts w:ascii="黑体" w:eastAsia="黑体" w:hAnsi="宋体" w:hint="eastAsia"/>
          <w:sz w:val="24"/>
        </w:rPr>
        <w:t>48. 合同的变更</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合同变更事宜按《深圳市财政局 深圳公共资源交易中心关于进一步加强市本级政府采购合同备案管理工作的通知》（深财购〔2019〕43号）相关规定执行。</w:t>
      </w:r>
    </w:p>
    <w:p w:rsidR="00C54C61" w:rsidRDefault="00BF3A17">
      <w:pPr>
        <w:spacing w:line="360" w:lineRule="auto"/>
        <w:contextualSpacing/>
        <w:rPr>
          <w:rFonts w:ascii="黑体" w:eastAsia="黑体" w:hAnsi="宋体"/>
          <w:sz w:val="24"/>
        </w:rPr>
      </w:pPr>
      <w:r>
        <w:rPr>
          <w:rFonts w:ascii="黑体" w:eastAsia="黑体" w:hAnsi="宋体" w:hint="eastAsia"/>
          <w:sz w:val="24"/>
        </w:rPr>
        <w:t>49. 履约抽检及情况的反馈</w:t>
      </w:r>
    </w:p>
    <w:p w:rsidR="00C54C61" w:rsidRDefault="00BF3A17">
      <w:pPr>
        <w:widowControl/>
        <w:spacing w:line="360" w:lineRule="auto"/>
        <w:ind w:right="176" w:firstLine="420"/>
        <w:contextualSpacing/>
        <w:jc w:val="left"/>
        <w:rPr>
          <w:rFonts w:ascii="宋体" w:hAnsi="宋体"/>
        </w:rPr>
      </w:pPr>
      <w:r>
        <w:rPr>
          <w:rFonts w:ascii="宋体" w:hAnsi="宋体" w:hint="eastAsia"/>
        </w:rPr>
        <w:t>49.1供应商必须诚信履约，采购人必须对采购项目实施组织履约验收。必要时，深圳公共资源交易中心将对采购项目进行履约抽检评价。如未按合同履约，将按《深圳经济特区政府采购条例》第五十七条有关规定、《深圳市政府采购供应商诚信管理暂行办法》及其操作细则进行处理。</w:t>
      </w:r>
    </w:p>
    <w:p w:rsidR="00C54C61" w:rsidRDefault="00BF3A17">
      <w:pPr>
        <w:widowControl/>
        <w:spacing w:line="360" w:lineRule="auto"/>
        <w:ind w:right="176" w:firstLine="420"/>
        <w:contextualSpacing/>
        <w:jc w:val="left"/>
        <w:rPr>
          <w:rFonts w:ascii="宋体" w:hAnsi="宋体"/>
        </w:rPr>
      </w:pPr>
      <w:r>
        <w:rPr>
          <w:rFonts w:ascii="宋体" w:hAnsi="宋体" w:hint="eastAsia"/>
        </w:rPr>
        <w:t>49.2</w:t>
      </w:r>
      <w:r>
        <w:rPr>
          <w:rFonts w:ascii="宋体" w:hAnsi="宋体"/>
        </w:rPr>
        <w:t>采购人和供应商应当在采购合同履行完毕三十日之内将政府采购合同履行情况和相关政府采购建议等反馈至政府集中采购机构。</w:t>
      </w:r>
    </w:p>
    <w:p w:rsidR="00C54C61" w:rsidRDefault="00BF3A17">
      <w:pPr>
        <w:spacing w:line="360" w:lineRule="auto"/>
        <w:contextualSpacing/>
        <w:rPr>
          <w:rFonts w:ascii="黑体" w:eastAsia="黑体" w:hAnsi="宋体"/>
          <w:sz w:val="24"/>
        </w:rPr>
      </w:pPr>
      <w:r>
        <w:rPr>
          <w:rFonts w:ascii="黑体" w:eastAsia="黑体" w:hAnsi="宋体" w:hint="eastAsia"/>
          <w:sz w:val="24"/>
        </w:rPr>
        <w:t>50. 宣传</w:t>
      </w:r>
    </w:p>
    <w:p w:rsidR="00C54C61" w:rsidRDefault="00BF3A17" w:rsidP="00EE5467">
      <w:pPr>
        <w:spacing w:line="360" w:lineRule="auto"/>
        <w:ind w:leftChars="100" w:left="210" w:firstLineChars="196" w:firstLine="412"/>
        <w:contextualSpacing/>
        <w:rPr>
          <w:rFonts w:ascii="宋体" w:hAnsi="宋体"/>
        </w:rPr>
      </w:pPr>
      <w:r>
        <w:rPr>
          <w:rFonts w:ascii="宋体" w:hAnsi="宋体" w:hint="eastAsia"/>
        </w:rPr>
        <w:t>凡与政府采购活动有关的宣传或广告，若当中提及政府采购，</w:t>
      </w:r>
      <w:r>
        <w:rPr>
          <w:rFonts w:ascii="宋体" w:hAnsi="宋体"/>
        </w:rPr>
        <w:t>必须事先将具体对外宣传方案报市财政委和政府集中采购机构，并征得其同意。对外市场宣传包括但不限于以下形式：</w:t>
      </w:r>
    </w:p>
    <w:p w:rsidR="00C54C61" w:rsidRDefault="00BF3A17" w:rsidP="00EE5467">
      <w:pPr>
        <w:spacing w:line="360" w:lineRule="auto"/>
        <w:ind w:leftChars="100" w:left="210" w:firstLineChars="196" w:firstLine="412"/>
        <w:contextualSpacing/>
        <w:rPr>
          <w:rFonts w:ascii="宋体" w:hAnsi="宋体"/>
        </w:rPr>
      </w:pPr>
      <w:r>
        <w:rPr>
          <w:rFonts w:ascii="宋体" w:hAnsi="宋体"/>
        </w:rPr>
        <w:t>a.名片、宣传册、广告标语等；</w:t>
      </w:r>
    </w:p>
    <w:p w:rsidR="00C54C61" w:rsidRDefault="00BF3A17" w:rsidP="00EE5467">
      <w:pPr>
        <w:spacing w:line="360" w:lineRule="auto"/>
        <w:ind w:leftChars="100" w:left="210" w:firstLineChars="196" w:firstLine="412"/>
        <w:contextualSpacing/>
        <w:rPr>
          <w:rFonts w:ascii="宋体" w:hAnsi="宋体"/>
        </w:rPr>
      </w:pPr>
      <w:r>
        <w:rPr>
          <w:rFonts w:ascii="宋体" w:hAnsi="宋体"/>
        </w:rPr>
        <w:t>b.案例介绍、推广等；</w:t>
      </w:r>
    </w:p>
    <w:p w:rsidR="00C54C61" w:rsidRDefault="00BF3A17" w:rsidP="00EE5467">
      <w:pPr>
        <w:spacing w:line="360" w:lineRule="auto"/>
        <w:ind w:leftChars="100" w:left="210" w:firstLineChars="196" w:firstLine="412"/>
        <w:contextualSpacing/>
        <w:rPr>
          <w:rFonts w:ascii="宋体" w:hAnsi="宋体"/>
        </w:rPr>
      </w:pPr>
      <w:r>
        <w:rPr>
          <w:rFonts w:ascii="宋体" w:hAnsi="宋体" w:hint="eastAsia"/>
        </w:rPr>
        <w:t>c.工作</w:t>
      </w:r>
      <w:r>
        <w:rPr>
          <w:rFonts w:ascii="宋体" w:hAnsi="宋体"/>
        </w:rPr>
        <w:t>人员向其他消费群体宣传。</w:t>
      </w:r>
    </w:p>
    <w:p w:rsidR="00C54C61" w:rsidRDefault="00BF3A17">
      <w:pPr>
        <w:spacing w:line="360" w:lineRule="auto"/>
        <w:contextualSpacing/>
        <w:rPr>
          <w:rFonts w:ascii="黑体" w:eastAsia="黑体" w:hAnsi="宋体"/>
          <w:sz w:val="24"/>
        </w:rPr>
      </w:pPr>
      <w:r>
        <w:rPr>
          <w:rFonts w:ascii="黑体" w:eastAsia="黑体" w:hAnsi="宋体" w:hint="eastAsia"/>
          <w:sz w:val="24"/>
        </w:rPr>
        <w:t>51. 供应商违法责任</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（1）在采购活动中应当回避而未回避的；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（2）未按本条例规定签订、履行采购合同，造成严重后果的；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（3）隐瞒真实情况，提供虚假资料的；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（4）以非法手段排斥其他供应商参与竞争的；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（5）与其他采购参加人串通投标的；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（6）恶意投诉的；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（7）向采购项目相关人行贿或者提供其他不当利益的；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（8）阻碍、抗拒主管部门监督检查的；</w:t>
      </w:r>
    </w:p>
    <w:p w:rsidR="00C54C61" w:rsidRDefault="00BF3A17" w:rsidP="00EE5467">
      <w:pPr>
        <w:spacing w:line="360" w:lineRule="auto"/>
        <w:ind w:firstLineChars="196" w:firstLine="412"/>
        <w:contextualSpacing/>
        <w:rPr>
          <w:rFonts w:ascii="宋体" w:hAnsi="宋体"/>
          <w:szCs w:val="21"/>
        </w:rPr>
      </w:pPr>
      <w:r>
        <w:rPr>
          <w:rFonts w:ascii="宋体" w:hAnsi="宋体" w:hint="eastAsia"/>
          <w:szCs w:val="21"/>
        </w:rPr>
        <w:t>（9）其他违反本条例规定的行为。</w:t>
      </w:r>
    </w:p>
    <w:p w:rsidR="00C54C61" w:rsidRDefault="00C54C61" w:rsidP="00EE5467">
      <w:pPr>
        <w:spacing w:line="360" w:lineRule="auto"/>
        <w:ind w:firstLineChars="196" w:firstLine="412"/>
        <w:contextualSpacing/>
        <w:rPr>
          <w:rFonts w:ascii="宋体" w:hAnsi="宋体"/>
          <w:szCs w:val="21"/>
        </w:rPr>
      </w:pPr>
    </w:p>
    <w:p w:rsidR="00C54C61" w:rsidRDefault="00BF3A17">
      <w:pPr>
        <w:pStyle w:val="2"/>
        <w:numPr>
          <w:ilvl w:val="0"/>
          <w:numId w:val="13"/>
        </w:numPr>
        <w:spacing w:beforeLines="50" w:before="120" w:afterLines="50" w:after="120" w:line="360" w:lineRule="auto"/>
        <w:ind w:left="482" w:hanging="482"/>
        <w:contextualSpacing/>
      </w:pPr>
      <w:r>
        <w:rPr>
          <w:rFonts w:hint="eastAsia"/>
        </w:rPr>
        <w:t>质疑处理</w:t>
      </w:r>
    </w:p>
    <w:p w:rsidR="00C54C61" w:rsidRDefault="00BF3A17">
      <w:pPr>
        <w:spacing w:line="360" w:lineRule="auto"/>
        <w:contextualSpacing/>
        <w:rPr>
          <w:rFonts w:ascii="黑体" w:eastAsia="黑体" w:hAnsi="宋体"/>
          <w:sz w:val="24"/>
        </w:rPr>
      </w:pPr>
      <w:r>
        <w:rPr>
          <w:rFonts w:ascii="黑体" w:eastAsia="黑体" w:hAnsi="宋体" w:hint="eastAsia"/>
          <w:sz w:val="24"/>
        </w:rPr>
        <w:t>52.质疑提出与答复</w:t>
      </w:r>
    </w:p>
    <w:p w:rsidR="00C54C61" w:rsidRDefault="00BF3A17">
      <w:pPr>
        <w:spacing w:line="360" w:lineRule="auto"/>
        <w:contextualSpacing/>
        <w:rPr>
          <w:rFonts w:ascii="宋体" w:hAnsi="宋体"/>
          <w:szCs w:val="21"/>
        </w:rPr>
      </w:pPr>
      <w:r>
        <w:rPr>
          <w:rFonts w:ascii="宋体" w:hAnsi="宋体" w:hint="eastAsia"/>
          <w:szCs w:val="21"/>
        </w:rPr>
        <w:t xml:space="preserve">    52.1提出质疑</w:t>
      </w:r>
    </w:p>
    <w:p w:rsidR="00C54C61" w:rsidRDefault="00BF3A17">
      <w:pPr>
        <w:spacing w:line="360" w:lineRule="auto"/>
        <w:contextualSpacing/>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参与政府采购活动的供应商认为自己的权益在采购活动中受到损害的，应当自知道或者应当知道其权益受到损害之日起七个工作日内向采购人、采购实施机构以书面形式提出质疑。</w:t>
      </w:r>
    </w:p>
    <w:p w:rsidR="00C54C61" w:rsidRDefault="00BF3A17">
      <w:pPr>
        <w:spacing w:line="360" w:lineRule="auto"/>
        <w:contextualSpacing/>
        <w:rPr>
          <w:rFonts w:ascii="宋体" w:hAnsi="宋体"/>
          <w:szCs w:val="21"/>
        </w:rPr>
      </w:pPr>
      <w:r>
        <w:rPr>
          <w:rFonts w:ascii="宋体" w:hAnsi="宋体" w:hint="eastAsia"/>
          <w:szCs w:val="21"/>
        </w:rPr>
        <w:t xml:space="preserve">    52.2</w:t>
      </w:r>
      <w:r>
        <w:rPr>
          <w:rFonts w:ascii="宋体" w:hAnsi="宋体"/>
          <w:szCs w:val="21"/>
        </w:rPr>
        <w:t>法律依据</w:t>
      </w:r>
    </w:p>
    <w:p w:rsidR="00C54C61" w:rsidRDefault="00BF3A17">
      <w:pPr>
        <w:spacing w:line="360" w:lineRule="auto"/>
        <w:contextualSpacing/>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rsidR="00C54C61" w:rsidRDefault="00BF3A17">
      <w:pPr>
        <w:spacing w:line="360" w:lineRule="auto"/>
        <w:contextualSpacing/>
        <w:rPr>
          <w:rFonts w:ascii="宋体" w:hAnsi="宋体"/>
          <w:szCs w:val="21"/>
        </w:rPr>
      </w:pPr>
      <w:r>
        <w:rPr>
          <w:rFonts w:ascii="宋体" w:hAnsi="宋体" w:hint="eastAsia"/>
          <w:szCs w:val="21"/>
        </w:rPr>
        <w:t xml:space="preserve">    52.3质疑条件</w:t>
      </w:r>
    </w:p>
    <w:p w:rsidR="00C54C61" w:rsidRDefault="00BF3A17">
      <w:pPr>
        <w:spacing w:line="360" w:lineRule="auto"/>
        <w:contextualSpacing/>
        <w:rPr>
          <w:rFonts w:ascii="宋体" w:hAnsi="宋体"/>
          <w:szCs w:val="21"/>
        </w:rPr>
      </w:pPr>
      <w:r>
        <w:rPr>
          <w:rFonts w:ascii="宋体" w:hAnsi="宋体" w:hint="eastAsia"/>
          <w:szCs w:val="21"/>
        </w:rPr>
        <w:t xml:space="preserve">    52.3.1提出质疑的供应商应当是参与所质疑项目采购活动的供应商；</w:t>
      </w:r>
    </w:p>
    <w:p w:rsidR="00C54C61" w:rsidRDefault="00BF3A17">
      <w:pPr>
        <w:spacing w:line="360" w:lineRule="auto"/>
        <w:contextualSpacing/>
        <w:textAlignment w:val="center"/>
        <w:rPr>
          <w:rFonts w:ascii="宋体" w:hAnsi="宋体"/>
          <w:szCs w:val="21"/>
        </w:rPr>
      </w:pPr>
      <w:r>
        <w:rPr>
          <w:rFonts w:ascii="宋体" w:hAnsi="宋体" w:hint="eastAsia"/>
          <w:szCs w:val="21"/>
        </w:rPr>
        <w:t xml:space="preserve">    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C54C61" w:rsidRDefault="00BF3A17">
      <w:pPr>
        <w:spacing w:line="360" w:lineRule="auto"/>
        <w:contextualSpacing/>
        <w:rPr>
          <w:rFonts w:ascii="宋体" w:hAnsi="宋体"/>
          <w:szCs w:val="21"/>
        </w:rPr>
      </w:pPr>
      <w:r>
        <w:rPr>
          <w:rFonts w:ascii="宋体" w:hAnsi="宋体" w:hint="eastAsia"/>
          <w:szCs w:val="21"/>
        </w:rPr>
        <w:t xml:space="preserve">    52.3.3应提交书面质疑函，质疑函应当包括以下内容：（1）具体、明确的质疑事项和与质疑事项相关的请求；（2）合理的事实和依据；（3）必要的证明材料和法律依据。注：质疑函范本可在深圳公共资源交易中心网站下载。</w:t>
      </w:r>
    </w:p>
    <w:p w:rsidR="00C54C61" w:rsidRDefault="00BF3A17">
      <w:pPr>
        <w:spacing w:line="360" w:lineRule="auto"/>
        <w:contextualSpacing/>
        <w:rPr>
          <w:rFonts w:ascii="宋体" w:hAnsi="宋体"/>
          <w:szCs w:val="21"/>
        </w:rPr>
      </w:pPr>
      <w:r>
        <w:rPr>
          <w:rFonts w:ascii="宋体" w:hAnsi="宋体" w:hint="eastAsia"/>
          <w:szCs w:val="21"/>
        </w:rPr>
        <w:t xml:space="preserve">    52.4提交</w:t>
      </w:r>
      <w:r>
        <w:rPr>
          <w:rFonts w:ascii="宋体" w:hAnsi="宋体"/>
          <w:szCs w:val="21"/>
        </w:rPr>
        <w:t>材料</w:t>
      </w:r>
    </w:p>
    <w:p w:rsidR="00C54C61" w:rsidRDefault="00BF3A17">
      <w:pPr>
        <w:spacing w:line="360" w:lineRule="auto"/>
        <w:contextualSpacing/>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rsidR="00C54C61" w:rsidRDefault="00BF3A17">
      <w:pPr>
        <w:spacing w:line="360" w:lineRule="auto"/>
        <w:contextualSpacing/>
        <w:rPr>
          <w:rFonts w:ascii="宋体" w:hAnsi="宋体"/>
          <w:szCs w:val="21"/>
        </w:rPr>
      </w:pPr>
      <w:r>
        <w:rPr>
          <w:rFonts w:ascii="宋体" w:hAnsi="宋体" w:hint="eastAsia"/>
          <w:szCs w:val="21"/>
        </w:rPr>
        <w:t xml:space="preserve">    52.5收文部门</w:t>
      </w:r>
    </w:p>
    <w:p w:rsidR="00C54C61" w:rsidRDefault="00BF3A17">
      <w:pPr>
        <w:spacing w:line="360" w:lineRule="auto"/>
        <w:contextualSpacing/>
        <w:rPr>
          <w:rFonts w:ascii="宋体" w:hAnsi="宋体"/>
          <w:szCs w:val="21"/>
        </w:rPr>
      </w:pPr>
      <w:r>
        <w:rPr>
          <w:rFonts w:ascii="宋体" w:hAnsi="宋体" w:hint="eastAsia"/>
          <w:szCs w:val="21"/>
        </w:rPr>
        <w:t xml:space="preserve">    采购实施机构联系电话：0755- 23962384；0755-23906834，地址：深圳市福田区福田街道福安社区民田路178号华融大厦1007、1008。</w:t>
      </w:r>
    </w:p>
    <w:p w:rsidR="00C54C61" w:rsidRDefault="00BF3A17">
      <w:pPr>
        <w:spacing w:line="360" w:lineRule="auto"/>
        <w:contextualSpacing/>
        <w:rPr>
          <w:rFonts w:ascii="宋体" w:hAnsi="宋体"/>
          <w:szCs w:val="21"/>
        </w:rPr>
      </w:pPr>
      <w:r>
        <w:rPr>
          <w:rFonts w:ascii="宋体" w:hAnsi="宋体" w:hint="eastAsia"/>
          <w:szCs w:val="21"/>
        </w:rPr>
        <w:t xml:space="preserve">    52.6收文办理</w:t>
      </w:r>
      <w:r>
        <w:rPr>
          <w:rFonts w:ascii="宋体" w:hAnsi="宋体"/>
          <w:szCs w:val="21"/>
        </w:rPr>
        <w:t>程序</w:t>
      </w:r>
    </w:p>
    <w:p w:rsidR="00C54C61" w:rsidRDefault="00BF3A17">
      <w:pPr>
        <w:spacing w:line="360" w:lineRule="auto"/>
        <w:contextualSpacing/>
        <w:rPr>
          <w:rFonts w:ascii="宋体" w:hAnsi="宋体"/>
          <w:szCs w:val="21"/>
        </w:rPr>
      </w:pPr>
      <w:r>
        <w:rPr>
          <w:rFonts w:ascii="宋体" w:hAnsi="宋体" w:hint="eastAsia"/>
          <w:szCs w:val="21"/>
        </w:rPr>
        <w:t xml:space="preserve">    52.6.1供应商提交的质疑材料符合质疑条件的办理收文，出具收文回执；</w:t>
      </w:r>
    </w:p>
    <w:p w:rsidR="00C54C61" w:rsidRDefault="00BF3A17">
      <w:pPr>
        <w:spacing w:line="360" w:lineRule="auto"/>
        <w:contextualSpacing/>
        <w:rPr>
          <w:rFonts w:ascii="宋体" w:hAnsi="宋体"/>
          <w:szCs w:val="21"/>
        </w:rPr>
      </w:pPr>
      <w:r>
        <w:rPr>
          <w:rFonts w:ascii="宋体" w:hAnsi="宋体" w:hint="eastAsia"/>
          <w:szCs w:val="21"/>
        </w:rPr>
        <w:t xml:space="preserve">    52.6.2供应商提交的质疑材料不符合质疑条件的，视情况处理：（1）质疑主体、时限不符合的，不予收文；（2）质疑函内容、提交人身份证明不符合的，开具补正告知书，供应商可在质疑期内补正后重新提交。</w:t>
      </w:r>
    </w:p>
    <w:p w:rsidR="00C54C61" w:rsidRDefault="00BF3A17">
      <w:pPr>
        <w:spacing w:line="360" w:lineRule="auto"/>
        <w:contextualSpacing/>
        <w:rPr>
          <w:rFonts w:ascii="宋体" w:hAnsi="宋体"/>
          <w:szCs w:val="21"/>
        </w:rPr>
      </w:pPr>
      <w:r>
        <w:rPr>
          <w:rFonts w:ascii="宋体" w:hAnsi="宋体" w:hint="eastAsia"/>
          <w:szCs w:val="21"/>
        </w:rPr>
        <w:t xml:space="preserve">    52.7质疑答复时限</w:t>
      </w:r>
    </w:p>
    <w:p w:rsidR="00C54C61" w:rsidRDefault="00BF3A17">
      <w:pPr>
        <w:spacing w:line="360" w:lineRule="auto"/>
        <w:contextualSpacing/>
        <w:rPr>
          <w:rFonts w:ascii="宋体" w:hAnsi="宋体"/>
          <w:szCs w:val="21"/>
        </w:rPr>
      </w:pPr>
      <w:r>
        <w:rPr>
          <w:rFonts w:ascii="宋体" w:hAnsi="宋体" w:hint="eastAsia"/>
          <w:szCs w:val="21"/>
        </w:rPr>
        <w:t xml:space="preserve">    自收文之日起七个工作日内。</w:t>
      </w:r>
    </w:p>
    <w:p w:rsidR="00C54C61" w:rsidRDefault="00BF3A17">
      <w:pPr>
        <w:spacing w:line="360" w:lineRule="auto"/>
        <w:contextualSpacing/>
        <w:rPr>
          <w:rFonts w:ascii="宋体" w:hAnsi="宋体"/>
          <w:szCs w:val="21"/>
        </w:rPr>
      </w:pPr>
      <w:r>
        <w:rPr>
          <w:rFonts w:ascii="宋体" w:hAnsi="宋体" w:hint="eastAsia"/>
          <w:szCs w:val="21"/>
        </w:rPr>
        <w:t xml:space="preserve">    52.8投诉</w:t>
      </w:r>
    </w:p>
    <w:p w:rsidR="00C54C61" w:rsidRDefault="00BF3A17">
      <w:pPr>
        <w:spacing w:line="360" w:lineRule="auto"/>
        <w:contextualSpacing/>
        <w:rPr>
          <w:rFonts w:ascii="宋体" w:hAnsi="宋体"/>
          <w:szCs w:val="21"/>
        </w:rPr>
      </w:pPr>
      <w:r>
        <w:rPr>
          <w:rFonts w:ascii="宋体" w:hAnsi="宋体" w:hint="eastAsia"/>
          <w:szCs w:val="21"/>
        </w:rPr>
        <w:t xml:space="preserve">    对质疑答复不满意或者未在规定时间内答复的，提出质疑的供应商可以在答复期满后15个工作日内向深圳市财政局投诉。</w:t>
      </w:r>
    </w:p>
    <w:p w:rsidR="00C54C61" w:rsidRDefault="00BF3A17">
      <w:pPr>
        <w:spacing w:line="360" w:lineRule="auto"/>
        <w:contextualSpacing/>
        <w:rPr>
          <w:rFonts w:ascii="黑体" w:eastAsia="黑体" w:hAnsi="宋体"/>
          <w:sz w:val="24"/>
        </w:rPr>
      </w:pPr>
      <w:r>
        <w:rPr>
          <w:rFonts w:ascii="黑体" w:eastAsia="黑体" w:hAnsi="宋体" w:hint="eastAsia"/>
          <w:sz w:val="24"/>
        </w:rPr>
        <w:t>53. 质疑后续处理</w:t>
      </w:r>
    </w:p>
    <w:p w:rsidR="00C54C61" w:rsidRDefault="00BF3A17">
      <w:pPr>
        <w:spacing w:line="360" w:lineRule="auto"/>
        <w:contextualSpacing/>
        <w:rPr>
          <w:rFonts w:ascii="宋体" w:hAnsi="宋体"/>
          <w:szCs w:val="21"/>
        </w:rPr>
      </w:pPr>
      <w:r>
        <w:rPr>
          <w:rFonts w:ascii="宋体" w:hAnsi="宋体" w:hint="eastAsia"/>
          <w:szCs w:val="21"/>
        </w:rPr>
        <w:t xml:space="preserve">    53.1供应商质疑不成立，或者成立但未对中标、成交结果构成影响的，继续开展采购活动。</w:t>
      </w:r>
    </w:p>
    <w:p w:rsidR="00C54C61" w:rsidRDefault="00BF3A17">
      <w:pPr>
        <w:spacing w:line="360" w:lineRule="auto"/>
        <w:contextualSpacing/>
        <w:rPr>
          <w:rFonts w:ascii="宋体" w:hAnsi="宋体"/>
          <w:szCs w:val="21"/>
        </w:rPr>
      </w:pPr>
      <w:r>
        <w:rPr>
          <w:rFonts w:ascii="宋体" w:hAnsi="宋体" w:hint="eastAsia"/>
          <w:szCs w:val="21"/>
        </w:rPr>
        <w:t xml:space="preserve">    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rsidR="00C54C61" w:rsidRDefault="00C54C61">
      <w:pPr>
        <w:spacing w:line="360" w:lineRule="auto"/>
        <w:contextualSpacing/>
        <w:rPr>
          <w:rFonts w:ascii="宋体" w:hAnsi="宋体"/>
          <w:szCs w:val="21"/>
        </w:rPr>
      </w:pPr>
    </w:p>
    <w:sectPr w:rsidR="00C54C61">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A17" w:rsidRDefault="00BF3A17">
      <w:r>
        <w:separator/>
      </w:r>
    </w:p>
  </w:endnote>
  <w:endnote w:type="continuationSeparator" w:id="0">
    <w:p w:rsidR="00BF3A17" w:rsidRDefault="00BF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隶书">
    <w:altName w:val="微软雅黑"/>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auto"/>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黑体"/>
    <w:charset w:val="86"/>
    <w:family w:val="auto"/>
    <w:pitch w:val="default"/>
    <w:sig w:usb0="00000000" w:usb1="00000000" w:usb2="00000010" w:usb3="00000000" w:csb0="00040000" w:csb1="00000000"/>
  </w:font>
  <w:font w:name="幼圆">
    <w:altName w:val="Malgun Gothic Semilight"/>
    <w:charset w:val="86"/>
    <w:family w:val="modern"/>
    <w:pitch w:val="default"/>
    <w:sig w:usb0="00000000" w:usb1="00000000" w:usb2="00000000" w:usb3="00000000" w:csb0="00040000" w:csb1="00000000"/>
  </w:font>
  <w:font w:name="Arial Narrow">
    <w:altName w:val="Arial"/>
    <w:charset w:val="00"/>
    <w:family w:val="swiss"/>
    <w:pitch w:val="default"/>
    <w:sig w:usb0="00000000" w:usb1="00000000" w:usb2="00000000" w:usb3="00000000" w:csb0="2000009F" w:csb1="DFD7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C61" w:rsidRDefault="00BF3A17">
    <w:pPr>
      <w:pStyle w:val="af0"/>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C54C61" w:rsidRDefault="00C54C61">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C61" w:rsidRDefault="00BF3A17">
    <w:pPr>
      <w:pStyle w:val="af0"/>
      <w:framePr w:wrap="around" w:vAnchor="text" w:hAnchor="margin" w:xAlign="center" w:y="1"/>
      <w:rPr>
        <w:rStyle w:val="afa"/>
      </w:rPr>
    </w:pPr>
    <w:r>
      <w:t xml:space="preserve">- </w:t>
    </w:r>
    <w:r>
      <w:fldChar w:fldCharType="begin"/>
    </w:r>
    <w:r>
      <w:instrText xml:space="preserve"> PAGE </w:instrText>
    </w:r>
    <w:r>
      <w:fldChar w:fldCharType="separate"/>
    </w:r>
    <w:r w:rsidR="0008573E">
      <w:rPr>
        <w:noProof/>
      </w:rPr>
      <w:t>6</w:t>
    </w:r>
    <w:r>
      <w:fldChar w:fldCharType="end"/>
    </w:r>
    <w:r>
      <w:t xml:space="preserve"> -</w:t>
    </w:r>
  </w:p>
  <w:p w:rsidR="00C54C61" w:rsidRDefault="00C54C6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A17" w:rsidRDefault="00BF3A17">
      <w:r>
        <w:separator/>
      </w:r>
    </w:p>
  </w:footnote>
  <w:footnote w:type="continuationSeparator" w:id="0">
    <w:p w:rsidR="00BF3A17" w:rsidRDefault="00BF3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C61" w:rsidRDefault="00C54C61">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594761"/>
    <w:multiLevelType w:val="singleLevel"/>
    <w:tmpl w:val="D4594761"/>
    <w:lvl w:ilvl="0">
      <w:start w:val="1"/>
      <w:numFmt w:val="decimal"/>
      <w:suff w:val="nothing"/>
      <w:lvlText w:val="（%1）"/>
      <w:lvlJc w:val="left"/>
      <w:pPr>
        <w:ind w:left="0" w:firstLine="0"/>
      </w:pPr>
    </w:lvl>
  </w:abstractNum>
  <w:abstractNum w:abstractNumId="1">
    <w:nsid w:val="DCCC771D"/>
    <w:multiLevelType w:val="singleLevel"/>
    <w:tmpl w:val="DCCC771D"/>
    <w:lvl w:ilvl="0">
      <w:start w:val="1"/>
      <w:numFmt w:val="decimal"/>
      <w:suff w:val="nothing"/>
      <w:lvlText w:val="%1、"/>
      <w:lvlJc w:val="left"/>
    </w:lvl>
  </w:abstractNum>
  <w:abstractNum w:abstractNumId="2">
    <w:nsid w:val="F7BC329B"/>
    <w:multiLevelType w:val="singleLevel"/>
    <w:tmpl w:val="F7BC329B"/>
    <w:lvl w:ilvl="0">
      <w:start w:val="1"/>
      <w:numFmt w:val="chineseCounting"/>
      <w:suff w:val="nothing"/>
      <w:lvlText w:val="（%1）"/>
      <w:lvlJc w:val="left"/>
      <w:pPr>
        <w:ind w:left="0" w:firstLine="0"/>
      </w:pPr>
    </w:lvl>
  </w:abstractNum>
  <w:abstractNum w:abstractNumId="3">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4">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936D5B"/>
    <w:multiLevelType w:val="multilevel"/>
    <w:tmpl w:val="0D936D5B"/>
    <w:lvl w:ilvl="0">
      <w:start w:val="1"/>
      <w:numFmt w:val="decimalEnclosedCircle"/>
      <w:lvlText w:val="%1"/>
      <w:lvlJc w:val="left"/>
      <w:pPr>
        <w:ind w:left="360" w:hanging="360"/>
      </w:pPr>
      <w:rPr>
        <w:rFonts w:ascii="宋体" w:eastAsia="宋体" w:hAnsi="宋体"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9">
    <w:nsid w:val="1C7200C5"/>
    <w:multiLevelType w:val="multilevel"/>
    <w:tmpl w:val="6A9EA1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56A68999"/>
    <w:multiLevelType w:val="singleLevel"/>
    <w:tmpl w:val="56A68999"/>
    <w:lvl w:ilvl="0">
      <w:start w:val="1"/>
      <w:numFmt w:val="decimal"/>
      <w:suff w:val="nothing"/>
      <w:lvlText w:val="%1、"/>
      <w:lvlJc w:val="left"/>
    </w:lvl>
  </w:abstractNum>
  <w:abstractNum w:abstractNumId="13">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3"/>
  </w:num>
  <w:num w:numId="3">
    <w:abstractNumId w:val="8"/>
  </w:num>
  <w:num w:numId="4">
    <w:abstractNumId w:val="7"/>
  </w:num>
  <w:num w:numId="5">
    <w:abstractNumId w:val="13"/>
  </w:num>
  <w:num w:numId="6">
    <w:abstractNumId w:val="10"/>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num>
  <w:num w:numId="10">
    <w:abstractNumId w:val="0"/>
    <w:lvlOverride w:ilvl="0">
      <w:startOverride w:val="1"/>
    </w:lvlOverride>
  </w:num>
  <w:num w:numId="11">
    <w:abstractNumId w:val="12"/>
  </w:num>
  <w:num w:numId="12">
    <w:abstractNumId w:val="1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AD9"/>
    <w:rsid w:val="000043C0"/>
    <w:rsid w:val="00004F2D"/>
    <w:rsid w:val="000050CA"/>
    <w:rsid w:val="000051C6"/>
    <w:rsid w:val="00005215"/>
    <w:rsid w:val="00005A10"/>
    <w:rsid w:val="00005D3D"/>
    <w:rsid w:val="0000667D"/>
    <w:rsid w:val="00006F7B"/>
    <w:rsid w:val="00007951"/>
    <w:rsid w:val="00010063"/>
    <w:rsid w:val="00010102"/>
    <w:rsid w:val="0001019E"/>
    <w:rsid w:val="00011EA6"/>
    <w:rsid w:val="00012640"/>
    <w:rsid w:val="00012B21"/>
    <w:rsid w:val="0001300F"/>
    <w:rsid w:val="0001480D"/>
    <w:rsid w:val="00014A5C"/>
    <w:rsid w:val="00015388"/>
    <w:rsid w:val="0001716B"/>
    <w:rsid w:val="00017F81"/>
    <w:rsid w:val="000211EA"/>
    <w:rsid w:val="000234B2"/>
    <w:rsid w:val="00025AE4"/>
    <w:rsid w:val="0002684B"/>
    <w:rsid w:val="00026A57"/>
    <w:rsid w:val="00027645"/>
    <w:rsid w:val="000300AE"/>
    <w:rsid w:val="000300EE"/>
    <w:rsid w:val="000302B6"/>
    <w:rsid w:val="0003106D"/>
    <w:rsid w:val="00031700"/>
    <w:rsid w:val="00031F6E"/>
    <w:rsid w:val="0003277F"/>
    <w:rsid w:val="00032948"/>
    <w:rsid w:val="00032B0A"/>
    <w:rsid w:val="0003315D"/>
    <w:rsid w:val="00033DE7"/>
    <w:rsid w:val="0003541F"/>
    <w:rsid w:val="00036A2B"/>
    <w:rsid w:val="00040D3C"/>
    <w:rsid w:val="00042C84"/>
    <w:rsid w:val="00043621"/>
    <w:rsid w:val="00043739"/>
    <w:rsid w:val="00043A89"/>
    <w:rsid w:val="00045739"/>
    <w:rsid w:val="00046D30"/>
    <w:rsid w:val="000510B6"/>
    <w:rsid w:val="00051133"/>
    <w:rsid w:val="00051F3F"/>
    <w:rsid w:val="000521D8"/>
    <w:rsid w:val="00052BC1"/>
    <w:rsid w:val="00053A89"/>
    <w:rsid w:val="0005582B"/>
    <w:rsid w:val="00055BD9"/>
    <w:rsid w:val="00056247"/>
    <w:rsid w:val="00056292"/>
    <w:rsid w:val="00056C11"/>
    <w:rsid w:val="00057302"/>
    <w:rsid w:val="00057332"/>
    <w:rsid w:val="00057D00"/>
    <w:rsid w:val="00061D20"/>
    <w:rsid w:val="0006267A"/>
    <w:rsid w:val="0006335B"/>
    <w:rsid w:val="00063C25"/>
    <w:rsid w:val="00064892"/>
    <w:rsid w:val="00066026"/>
    <w:rsid w:val="0006660A"/>
    <w:rsid w:val="0006670C"/>
    <w:rsid w:val="00067960"/>
    <w:rsid w:val="0007003A"/>
    <w:rsid w:val="00070210"/>
    <w:rsid w:val="000707BF"/>
    <w:rsid w:val="00072CB4"/>
    <w:rsid w:val="000734CD"/>
    <w:rsid w:val="00074403"/>
    <w:rsid w:val="000750DC"/>
    <w:rsid w:val="0007583C"/>
    <w:rsid w:val="00075E26"/>
    <w:rsid w:val="00076057"/>
    <w:rsid w:val="000770EC"/>
    <w:rsid w:val="00080613"/>
    <w:rsid w:val="00082667"/>
    <w:rsid w:val="00082AD2"/>
    <w:rsid w:val="00083DC6"/>
    <w:rsid w:val="00083F6B"/>
    <w:rsid w:val="00083FFB"/>
    <w:rsid w:val="00084857"/>
    <w:rsid w:val="000850AF"/>
    <w:rsid w:val="000852EB"/>
    <w:rsid w:val="0008573E"/>
    <w:rsid w:val="000869D8"/>
    <w:rsid w:val="00086CA6"/>
    <w:rsid w:val="00090213"/>
    <w:rsid w:val="00092FC7"/>
    <w:rsid w:val="00093133"/>
    <w:rsid w:val="0009395E"/>
    <w:rsid w:val="00094CFF"/>
    <w:rsid w:val="000954D5"/>
    <w:rsid w:val="00095723"/>
    <w:rsid w:val="00095A74"/>
    <w:rsid w:val="0009618D"/>
    <w:rsid w:val="0009709B"/>
    <w:rsid w:val="000975E3"/>
    <w:rsid w:val="000A1DD1"/>
    <w:rsid w:val="000A21A5"/>
    <w:rsid w:val="000A2FAD"/>
    <w:rsid w:val="000A3908"/>
    <w:rsid w:val="000A4C29"/>
    <w:rsid w:val="000A6E2B"/>
    <w:rsid w:val="000A79D3"/>
    <w:rsid w:val="000B05E2"/>
    <w:rsid w:val="000B2568"/>
    <w:rsid w:val="000B41BB"/>
    <w:rsid w:val="000B5357"/>
    <w:rsid w:val="000B597F"/>
    <w:rsid w:val="000B634D"/>
    <w:rsid w:val="000B73D2"/>
    <w:rsid w:val="000B7465"/>
    <w:rsid w:val="000C14CB"/>
    <w:rsid w:val="000C18BC"/>
    <w:rsid w:val="000C1EE4"/>
    <w:rsid w:val="000C1FF9"/>
    <w:rsid w:val="000C4151"/>
    <w:rsid w:val="000C4425"/>
    <w:rsid w:val="000C4B12"/>
    <w:rsid w:val="000C5FA7"/>
    <w:rsid w:val="000C7E71"/>
    <w:rsid w:val="000D16AA"/>
    <w:rsid w:val="000D1A7D"/>
    <w:rsid w:val="000D2309"/>
    <w:rsid w:val="000D2CCA"/>
    <w:rsid w:val="000D366B"/>
    <w:rsid w:val="000D38F9"/>
    <w:rsid w:val="000D5515"/>
    <w:rsid w:val="000D5D6B"/>
    <w:rsid w:val="000D7A20"/>
    <w:rsid w:val="000E161C"/>
    <w:rsid w:val="000E2C39"/>
    <w:rsid w:val="000E355C"/>
    <w:rsid w:val="000E4445"/>
    <w:rsid w:val="000E470B"/>
    <w:rsid w:val="000E4DE8"/>
    <w:rsid w:val="000E50F5"/>
    <w:rsid w:val="000E5E99"/>
    <w:rsid w:val="000E6A66"/>
    <w:rsid w:val="000F0C3B"/>
    <w:rsid w:val="000F0E9F"/>
    <w:rsid w:val="000F1540"/>
    <w:rsid w:val="000F1D4A"/>
    <w:rsid w:val="000F2065"/>
    <w:rsid w:val="000F2A88"/>
    <w:rsid w:val="000F2C23"/>
    <w:rsid w:val="000F2D1B"/>
    <w:rsid w:val="000F3658"/>
    <w:rsid w:val="000F3B37"/>
    <w:rsid w:val="000F3C85"/>
    <w:rsid w:val="000F3F12"/>
    <w:rsid w:val="000F565B"/>
    <w:rsid w:val="000F5C6C"/>
    <w:rsid w:val="000F5CBB"/>
    <w:rsid w:val="000F5F3F"/>
    <w:rsid w:val="00100570"/>
    <w:rsid w:val="00101CE5"/>
    <w:rsid w:val="00101DD0"/>
    <w:rsid w:val="00102555"/>
    <w:rsid w:val="0010291B"/>
    <w:rsid w:val="00102B4B"/>
    <w:rsid w:val="00103AB9"/>
    <w:rsid w:val="00103E80"/>
    <w:rsid w:val="00107187"/>
    <w:rsid w:val="00107272"/>
    <w:rsid w:val="00107D54"/>
    <w:rsid w:val="00110383"/>
    <w:rsid w:val="00110B62"/>
    <w:rsid w:val="00111581"/>
    <w:rsid w:val="00111CEB"/>
    <w:rsid w:val="0011245C"/>
    <w:rsid w:val="0011500F"/>
    <w:rsid w:val="00115A55"/>
    <w:rsid w:val="0011665D"/>
    <w:rsid w:val="00116AAC"/>
    <w:rsid w:val="00117D55"/>
    <w:rsid w:val="001204B2"/>
    <w:rsid w:val="001212EF"/>
    <w:rsid w:val="001217DC"/>
    <w:rsid w:val="00121F81"/>
    <w:rsid w:val="0012203F"/>
    <w:rsid w:val="00123CC6"/>
    <w:rsid w:val="00125689"/>
    <w:rsid w:val="00125C8A"/>
    <w:rsid w:val="001261FC"/>
    <w:rsid w:val="001306FE"/>
    <w:rsid w:val="00130827"/>
    <w:rsid w:val="001308A2"/>
    <w:rsid w:val="00131140"/>
    <w:rsid w:val="0013281E"/>
    <w:rsid w:val="00132FD3"/>
    <w:rsid w:val="001339CF"/>
    <w:rsid w:val="0013673A"/>
    <w:rsid w:val="001410EB"/>
    <w:rsid w:val="00143554"/>
    <w:rsid w:val="00143653"/>
    <w:rsid w:val="00143934"/>
    <w:rsid w:val="00143B3A"/>
    <w:rsid w:val="00143E43"/>
    <w:rsid w:val="00143FFC"/>
    <w:rsid w:val="00145760"/>
    <w:rsid w:val="00146ABB"/>
    <w:rsid w:val="00147338"/>
    <w:rsid w:val="00147A48"/>
    <w:rsid w:val="00150143"/>
    <w:rsid w:val="001509AB"/>
    <w:rsid w:val="00152E91"/>
    <w:rsid w:val="0015460B"/>
    <w:rsid w:val="00154736"/>
    <w:rsid w:val="00156CA9"/>
    <w:rsid w:val="00157465"/>
    <w:rsid w:val="00157E23"/>
    <w:rsid w:val="00157FC3"/>
    <w:rsid w:val="00160ACE"/>
    <w:rsid w:val="00161C4F"/>
    <w:rsid w:val="00161C84"/>
    <w:rsid w:val="00161F2A"/>
    <w:rsid w:val="00161FDF"/>
    <w:rsid w:val="001626BD"/>
    <w:rsid w:val="00162C33"/>
    <w:rsid w:val="0016340E"/>
    <w:rsid w:val="001634F8"/>
    <w:rsid w:val="00164E23"/>
    <w:rsid w:val="0016595F"/>
    <w:rsid w:val="00166A2C"/>
    <w:rsid w:val="00166BF2"/>
    <w:rsid w:val="00166CC3"/>
    <w:rsid w:val="00170A9E"/>
    <w:rsid w:val="0017121A"/>
    <w:rsid w:val="00171401"/>
    <w:rsid w:val="00171777"/>
    <w:rsid w:val="001719FB"/>
    <w:rsid w:val="00172B65"/>
    <w:rsid w:val="00172EF5"/>
    <w:rsid w:val="001732E1"/>
    <w:rsid w:val="0017613E"/>
    <w:rsid w:val="00177167"/>
    <w:rsid w:val="00177753"/>
    <w:rsid w:val="00181A71"/>
    <w:rsid w:val="00182329"/>
    <w:rsid w:val="0018261B"/>
    <w:rsid w:val="001834A7"/>
    <w:rsid w:val="0018373B"/>
    <w:rsid w:val="00183C79"/>
    <w:rsid w:val="00183C8B"/>
    <w:rsid w:val="00183E75"/>
    <w:rsid w:val="001845CF"/>
    <w:rsid w:val="001865BB"/>
    <w:rsid w:val="00186EAE"/>
    <w:rsid w:val="00187518"/>
    <w:rsid w:val="00187743"/>
    <w:rsid w:val="0019096C"/>
    <w:rsid w:val="00191EA7"/>
    <w:rsid w:val="00192164"/>
    <w:rsid w:val="00192883"/>
    <w:rsid w:val="00194C98"/>
    <w:rsid w:val="00194FB7"/>
    <w:rsid w:val="00195D28"/>
    <w:rsid w:val="00196B4E"/>
    <w:rsid w:val="001975A1"/>
    <w:rsid w:val="001979D3"/>
    <w:rsid w:val="001A027A"/>
    <w:rsid w:val="001A08E4"/>
    <w:rsid w:val="001A0D2C"/>
    <w:rsid w:val="001A12B5"/>
    <w:rsid w:val="001A1C72"/>
    <w:rsid w:val="001A3980"/>
    <w:rsid w:val="001A422B"/>
    <w:rsid w:val="001A440A"/>
    <w:rsid w:val="001A4A55"/>
    <w:rsid w:val="001A5C6F"/>
    <w:rsid w:val="001A6A4F"/>
    <w:rsid w:val="001A76B7"/>
    <w:rsid w:val="001B015C"/>
    <w:rsid w:val="001B1339"/>
    <w:rsid w:val="001B17D9"/>
    <w:rsid w:val="001B1B58"/>
    <w:rsid w:val="001B1F55"/>
    <w:rsid w:val="001B2049"/>
    <w:rsid w:val="001B2934"/>
    <w:rsid w:val="001B4A37"/>
    <w:rsid w:val="001B5963"/>
    <w:rsid w:val="001B6FAD"/>
    <w:rsid w:val="001C04B2"/>
    <w:rsid w:val="001C14C1"/>
    <w:rsid w:val="001C1FDE"/>
    <w:rsid w:val="001C2063"/>
    <w:rsid w:val="001C21E1"/>
    <w:rsid w:val="001C3426"/>
    <w:rsid w:val="001C4675"/>
    <w:rsid w:val="001C4768"/>
    <w:rsid w:val="001C5839"/>
    <w:rsid w:val="001C6AF6"/>
    <w:rsid w:val="001C7129"/>
    <w:rsid w:val="001C77E1"/>
    <w:rsid w:val="001C7ADA"/>
    <w:rsid w:val="001C7B48"/>
    <w:rsid w:val="001D121D"/>
    <w:rsid w:val="001D3543"/>
    <w:rsid w:val="001D4151"/>
    <w:rsid w:val="001D58E5"/>
    <w:rsid w:val="001D7299"/>
    <w:rsid w:val="001E0FAB"/>
    <w:rsid w:val="001E2084"/>
    <w:rsid w:val="001E2502"/>
    <w:rsid w:val="001E292F"/>
    <w:rsid w:val="001E351C"/>
    <w:rsid w:val="001E474D"/>
    <w:rsid w:val="001E5194"/>
    <w:rsid w:val="001E5A81"/>
    <w:rsid w:val="001E62FB"/>
    <w:rsid w:val="001E6A0B"/>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2000B8"/>
    <w:rsid w:val="002005CD"/>
    <w:rsid w:val="00200B4C"/>
    <w:rsid w:val="00202F46"/>
    <w:rsid w:val="00203267"/>
    <w:rsid w:val="00203897"/>
    <w:rsid w:val="0020391D"/>
    <w:rsid w:val="00205F9C"/>
    <w:rsid w:val="002060F7"/>
    <w:rsid w:val="00207BC6"/>
    <w:rsid w:val="00210771"/>
    <w:rsid w:val="00210EE2"/>
    <w:rsid w:val="00211885"/>
    <w:rsid w:val="00212ADF"/>
    <w:rsid w:val="002134CF"/>
    <w:rsid w:val="00213A60"/>
    <w:rsid w:val="0021429B"/>
    <w:rsid w:val="00215699"/>
    <w:rsid w:val="002159DE"/>
    <w:rsid w:val="00215E99"/>
    <w:rsid w:val="0021667D"/>
    <w:rsid w:val="002166A1"/>
    <w:rsid w:val="002166A6"/>
    <w:rsid w:val="00216BB6"/>
    <w:rsid w:val="0022048B"/>
    <w:rsid w:val="0022175C"/>
    <w:rsid w:val="00222261"/>
    <w:rsid w:val="002227DF"/>
    <w:rsid w:val="00223AC8"/>
    <w:rsid w:val="00223C96"/>
    <w:rsid w:val="00224852"/>
    <w:rsid w:val="0022634D"/>
    <w:rsid w:val="00227512"/>
    <w:rsid w:val="0022766E"/>
    <w:rsid w:val="0022777A"/>
    <w:rsid w:val="002278D5"/>
    <w:rsid w:val="00227C13"/>
    <w:rsid w:val="00227D49"/>
    <w:rsid w:val="00227FC7"/>
    <w:rsid w:val="00233A54"/>
    <w:rsid w:val="00234440"/>
    <w:rsid w:val="002347C9"/>
    <w:rsid w:val="00236E72"/>
    <w:rsid w:val="0023738E"/>
    <w:rsid w:val="002411BD"/>
    <w:rsid w:val="00244711"/>
    <w:rsid w:val="00244AE4"/>
    <w:rsid w:val="00245EBE"/>
    <w:rsid w:val="002472C1"/>
    <w:rsid w:val="002473F4"/>
    <w:rsid w:val="00247D64"/>
    <w:rsid w:val="00250F42"/>
    <w:rsid w:val="00252EBA"/>
    <w:rsid w:val="0025361A"/>
    <w:rsid w:val="002545EF"/>
    <w:rsid w:val="00254B44"/>
    <w:rsid w:val="00254E99"/>
    <w:rsid w:val="00255B9B"/>
    <w:rsid w:val="00256596"/>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70B4E"/>
    <w:rsid w:val="00271500"/>
    <w:rsid w:val="00272E57"/>
    <w:rsid w:val="00274663"/>
    <w:rsid w:val="00275641"/>
    <w:rsid w:val="0027569A"/>
    <w:rsid w:val="002767D9"/>
    <w:rsid w:val="00280382"/>
    <w:rsid w:val="00280F4B"/>
    <w:rsid w:val="002821E9"/>
    <w:rsid w:val="002827D2"/>
    <w:rsid w:val="00282E18"/>
    <w:rsid w:val="002835B7"/>
    <w:rsid w:val="00284C1F"/>
    <w:rsid w:val="002851AF"/>
    <w:rsid w:val="00286129"/>
    <w:rsid w:val="0028787B"/>
    <w:rsid w:val="00290263"/>
    <w:rsid w:val="002908A7"/>
    <w:rsid w:val="00291768"/>
    <w:rsid w:val="00291796"/>
    <w:rsid w:val="00292F66"/>
    <w:rsid w:val="0029315D"/>
    <w:rsid w:val="00293A33"/>
    <w:rsid w:val="0029449E"/>
    <w:rsid w:val="0029488D"/>
    <w:rsid w:val="0029530C"/>
    <w:rsid w:val="00296020"/>
    <w:rsid w:val="00296695"/>
    <w:rsid w:val="0029693F"/>
    <w:rsid w:val="002969C6"/>
    <w:rsid w:val="00296BE2"/>
    <w:rsid w:val="00296F46"/>
    <w:rsid w:val="00296F8A"/>
    <w:rsid w:val="002A11CE"/>
    <w:rsid w:val="002A13E2"/>
    <w:rsid w:val="002A180F"/>
    <w:rsid w:val="002A1B36"/>
    <w:rsid w:val="002A37E6"/>
    <w:rsid w:val="002A4DFC"/>
    <w:rsid w:val="002B18D6"/>
    <w:rsid w:val="002B22D4"/>
    <w:rsid w:val="002B3984"/>
    <w:rsid w:val="002B4BF3"/>
    <w:rsid w:val="002B55C8"/>
    <w:rsid w:val="002B5E4B"/>
    <w:rsid w:val="002B660D"/>
    <w:rsid w:val="002B7969"/>
    <w:rsid w:val="002C0031"/>
    <w:rsid w:val="002C0485"/>
    <w:rsid w:val="002C0762"/>
    <w:rsid w:val="002C257A"/>
    <w:rsid w:val="002C2BEC"/>
    <w:rsid w:val="002C30C0"/>
    <w:rsid w:val="002C4F4B"/>
    <w:rsid w:val="002C6EC0"/>
    <w:rsid w:val="002C7258"/>
    <w:rsid w:val="002D0356"/>
    <w:rsid w:val="002D07C0"/>
    <w:rsid w:val="002D0F98"/>
    <w:rsid w:val="002D1DFB"/>
    <w:rsid w:val="002D45BF"/>
    <w:rsid w:val="002D4A85"/>
    <w:rsid w:val="002D6162"/>
    <w:rsid w:val="002D64DF"/>
    <w:rsid w:val="002D750A"/>
    <w:rsid w:val="002E242E"/>
    <w:rsid w:val="002E2FEC"/>
    <w:rsid w:val="002E38DB"/>
    <w:rsid w:val="002E3BEB"/>
    <w:rsid w:val="002E441D"/>
    <w:rsid w:val="002E4AB1"/>
    <w:rsid w:val="002E4F8A"/>
    <w:rsid w:val="002E505D"/>
    <w:rsid w:val="002E6F69"/>
    <w:rsid w:val="002E7296"/>
    <w:rsid w:val="002E73B8"/>
    <w:rsid w:val="002F0823"/>
    <w:rsid w:val="002F2471"/>
    <w:rsid w:val="002F2B7A"/>
    <w:rsid w:val="002F3105"/>
    <w:rsid w:val="002F5E6C"/>
    <w:rsid w:val="002F72FF"/>
    <w:rsid w:val="00300BF3"/>
    <w:rsid w:val="0030143F"/>
    <w:rsid w:val="00301A2B"/>
    <w:rsid w:val="00301BCD"/>
    <w:rsid w:val="00303ACF"/>
    <w:rsid w:val="0030463E"/>
    <w:rsid w:val="00304ED6"/>
    <w:rsid w:val="00306654"/>
    <w:rsid w:val="00306D5D"/>
    <w:rsid w:val="00306FF4"/>
    <w:rsid w:val="00310EE1"/>
    <w:rsid w:val="003122B0"/>
    <w:rsid w:val="00312390"/>
    <w:rsid w:val="00313487"/>
    <w:rsid w:val="003138EB"/>
    <w:rsid w:val="00315880"/>
    <w:rsid w:val="00315A06"/>
    <w:rsid w:val="0031678B"/>
    <w:rsid w:val="0031683C"/>
    <w:rsid w:val="00316EDB"/>
    <w:rsid w:val="00317146"/>
    <w:rsid w:val="00317565"/>
    <w:rsid w:val="003176EA"/>
    <w:rsid w:val="00317D36"/>
    <w:rsid w:val="00321473"/>
    <w:rsid w:val="003225FB"/>
    <w:rsid w:val="00323A7C"/>
    <w:rsid w:val="00323BE9"/>
    <w:rsid w:val="00323C32"/>
    <w:rsid w:val="00323CC7"/>
    <w:rsid w:val="00324A1D"/>
    <w:rsid w:val="00324C55"/>
    <w:rsid w:val="003250B4"/>
    <w:rsid w:val="00325742"/>
    <w:rsid w:val="00327224"/>
    <w:rsid w:val="00327AB3"/>
    <w:rsid w:val="00327F9E"/>
    <w:rsid w:val="00330527"/>
    <w:rsid w:val="003318A6"/>
    <w:rsid w:val="003321A8"/>
    <w:rsid w:val="00332EB1"/>
    <w:rsid w:val="00333E63"/>
    <w:rsid w:val="00334044"/>
    <w:rsid w:val="00335188"/>
    <w:rsid w:val="00335234"/>
    <w:rsid w:val="003373B8"/>
    <w:rsid w:val="003413F4"/>
    <w:rsid w:val="00342DC1"/>
    <w:rsid w:val="00342EF7"/>
    <w:rsid w:val="003432B6"/>
    <w:rsid w:val="00343F41"/>
    <w:rsid w:val="00344BF3"/>
    <w:rsid w:val="00345CC1"/>
    <w:rsid w:val="00345EA7"/>
    <w:rsid w:val="0034652C"/>
    <w:rsid w:val="00346606"/>
    <w:rsid w:val="00346E73"/>
    <w:rsid w:val="00347CA2"/>
    <w:rsid w:val="0035067B"/>
    <w:rsid w:val="00350681"/>
    <w:rsid w:val="00350B6E"/>
    <w:rsid w:val="00351A4A"/>
    <w:rsid w:val="00351D95"/>
    <w:rsid w:val="00351FB4"/>
    <w:rsid w:val="00353860"/>
    <w:rsid w:val="00354CD9"/>
    <w:rsid w:val="003556C1"/>
    <w:rsid w:val="00355EEE"/>
    <w:rsid w:val="00357883"/>
    <w:rsid w:val="0036005D"/>
    <w:rsid w:val="00360494"/>
    <w:rsid w:val="00360C00"/>
    <w:rsid w:val="00361633"/>
    <w:rsid w:val="00361935"/>
    <w:rsid w:val="003626AE"/>
    <w:rsid w:val="0036292A"/>
    <w:rsid w:val="00362AF3"/>
    <w:rsid w:val="00364BEE"/>
    <w:rsid w:val="0036508D"/>
    <w:rsid w:val="003651C8"/>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AC"/>
    <w:rsid w:val="00377F6C"/>
    <w:rsid w:val="00380094"/>
    <w:rsid w:val="00380256"/>
    <w:rsid w:val="0038165D"/>
    <w:rsid w:val="00383071"/>
    <w:rsid w:val="00385175"/>
    <w:rsid w:val="00385444"/>
    <w:rsid w:val="003859F6"/>
    <w:rsid w:val="00385F39"/>
    <w:rsid w:val="00386070"/>
    <w:rsid w:val="00390006"/>
    <w:rsid w:val="003900A5"/>
    <w:rsid w:val="003917AD"/>
    <w:rsid w:val="00391FAB"/>
    <w:rsid w:val="00392539"/>
    <w:rsid w:val="00392677"/>
    <w:rsid w:val="00393322"/>
    <w:rsid w:val="00393431"/>
    <w:rsid w:val="00393633"/>
    <w:rsid w:val="003945E2"/>
    <w:rsid w:val="00394981"/>
    <w:rsid w:val="00395100"/>
    <w:rsid w:val="003953A8"/>
    <w:rsid w:val="003958E6"/>
    <w:rsid w:val="00395D76"/>
    <w:rsid w:val="00396F7B"/>
    <w:rsid w:val="00396FA3"/>
    <w:rsid w:val="0039788E"/>
    <w:rsid w:val="00397F0D"/>
    <w:rsid w:val="003A0DC3"/>
    <w:rsid w:val="003A1CF5"/>
    <w:rsid w:val="003A2812"/>
    <w:rsid w:val="003A2D0C"/>
    <w:rsid w:val="003A3304"/>
    <w:rsid w:val="003A3551"/>
    <w:rsid w:val="003A38F0"/>
    <w:rsid w:val="003A443D"/>
    <w:rsid w:val="003A4DE4"/>
    <w:rsid w:val="003A6A5A"/>
    <w:rsid w:val="003A72E9"/>
    <w:rsid w:val="003B175A"/>
    <w:rsid w:val="003B3231"/>
    <w:rsid w:val="003B357A"/>
    <w:rsid w:val="003B499C"/>
    <w:rsid w:val="003B4CCD"/>
    <w:rsid w:val="003B53D4"/>
    <w:rsid w:val="003B56D7"/>
    <w:rsid w:val="003B7298"/>
    <w:rsid w:val="003C0FF8"/>
    <w:rsid w:val="003C1D0C"/>
    <w:rsid w:val="003C3B23"/>
    <w:rsid w:val="003C4FD5"/>
    <w:rsid w:val="003C582B"/>
    <w:rsid w:val="003C6BFF"/>
    <w:rsid w:val="003D2333"/>
    <w:rsid w:val="003D3241"/>
    <w:rsid w:val="003D39AE"/>
    <w:rsid w:val="003D4804"/>
    <w:rsid w:val="003D5413"/>
    <w:rsid w:val="003D7685"/>
    <w:rsid w:val="003D7E9A"/>
    <w:rsid w:val="003E0366"/>
    <w:rsid w:val="003E100C"/>
    <w:rsid w:val="003E2FFE"/>
    <w:rsid w:val="003E37AA"/>
    <w:rsid w:val="003E4310"/>
    <w:rsid w:val="003E47DE"/>
    <w:rsid w:val="003E4FFA"/>
    <w:rsid w:val="003E6E11"/>
    <w:rsid w:val="003F0536"/>
    <w:rsid w:val="003F10D3"/>
    <w:rsid w:val="003F1548"/>
    <w:rsid w:val="003F23A6"/>
    <w:rsid w:val="003F2B3D"/>
    <w:rsid w:val="003F2FBA"/>
    <w:rsid w:val="003F3105"/>
    <w:rsid w:val="003F3C44"/>
    <w:rsid w:val="003F4172"/>
    <w:rsid w:val="003F4249"/>
    <w:rsid w:val="003F4768"/>
    <w:rsid w:val="003F4E3B"/>
    <w:rsid w:val="003F5086"/>
    <w:rsid w:val="003F5108"/>
    <w:rsid w:val="003F5D2C"/>
    <w:rsid w:val="003F7679"/>
    <w:rsid w:val="00400C13"/>
    <w:rsid w:val="00401924"/>
    <w:rsid w:val="00402311"/>
    <w:rsid w:val="0040239F"/>
    <w:rsid w:val="00402C97"/>
    <w:rsid w:val="00403364"/>
    <w:rsid w:val="0040415C"/>
    <w:rsid w:val="00404AA4"/>
    <w:rsid w:val="00404C61"/>
    <w:rsid w:val="004050C9"/>
    <w:rsid w:val="004051F0"/>
    <w:rsid w:val="00406314"/>
    <w:rsid w:val="00406376"/>
    <w:rsid w:val="00406896"/>
    <w:rsid w:val="00410E83"/>
    <w:rsid w:val="00411B37"/>
    <w:rsid w:val="004125ED"/>
    <w:rsid w:val="00413B39"/>
    <w:rsid w:val="0041450E"/>
    <w:rsid w:val="0041456E"/>
    <w:rsid w:val="00415370"/>
    <w:rsid w:val="00415781"/>
    <w:rsid w:val="00416485"/>
    <w:rsid w:val="00416F40"/>
    <w:rsid w:val="00417769"/>
    <w:rsid w:val="00417F0D"/>
    <w:rsid w:val="00421E98"/>
    <w:rsid w:val="00421EF2"/>
    <w:rsid w:val="00422668"/>
    <w:rsid w:val="00424946"/>
    <w:rsid w:val="0042602D"/>
    <w:rsid w:val="004261DA"/>
    <w:rsid w:val="00427004"/>
    <w:rsid w:val="00431540"/>
    <w:rsid w:val="00431AC1"/>
    <w:rsid w:val="00431DE1"/>
    <w:rsid w:val="004329C9"/>
    <w:rsid w:val="00432CD5"/>
    <w:rsid w:val="00432EF0"/>
    <w:rsid w:val="00433CDB"/>
    <w:rsid w:val="00435D27"/>
    <w:rsid w:val="00435D29"/>
    <w:rsid w:val="004363FA"/>
    <w:rsid w:val="004364CC"/>
    <w:rsid w:val="00437141"/>
    <w:rsid w:val="004405B0"/>
    <w:rsid w:val="00440853"/>
    <w:rsid w:val="00441905"/>
    <w:rsid w:val="00441FF9"/>
    <w:rsid w:val="0044382F"/>
    <w:rsid w:val="00443B96"/>
    <w:rsid w:val="00443E1D"/>
    <w:rsid w:val="004442EB"/>
    <w:rsid w:val="00444FA3"/>
    <w:rsid w:val="00446553"/>
    <w:rsid w:val="00446A92"/>
    <w:rsid w:val="004501B4"/>
    <w:rsid w:val="0045082F"/>
    <w:rsid w:val="00450C00"/>
    <w:rsid w:val="0045135E"/>
    <w:rsid w:val="00452434"/>
    <w:rsid w:val="00452C53"/>
    <w:rsid w:val="004539C7"/>
    <w:rsid w:val="00454597"/>
    <w:rsid w:val="004548E6"/>
    <w:rsid w:val="0045543A"/>
    <w:rsid w:val="0045543C"/>
    <w:rsid w:val="004556FB"/>
    <w:rsid w:val="00455880"/>
    <w:rsid w:val="004561F9"/>
    <w:rsid w:val="0045637C"/>
    <w:rsid w:val="004569A3"/>
    <w:rsid w:val="004578ED"/>
    <w:rsid w:val="00457A41"/>
    <w:rsid w:val="0046064C"/>
    <w:rsid w:val="00460679"/>
    <w:rsid w:val="004611B6"/>
    <w:rsid w:val="00461997"/>
    <w:rsid w:val="00463F8B"/>
    <w:rsid w:val="004649AD"/>
    <w:rsid w:val="004650E7"/>
    <w:rsid w:val="0046687B"/>
    <w:rsid w:val="00466CB4"/>
    <w:rsid w:val="00470418"/>
    <w:rsid w:val="004704EA"/>
    <w:rsid w:val="0047071D"/>
    <w:rsid w:val="004727C4"/>
    <w:rsid w:val="00472F62"/>
    <w:rsid w:val="00473579"/>
    <w:rsid w:val="00473E50"/>
    <w:rsid w:val="00474E5A"/>
    <w:rsid w:val="0047558F"/>
    <w:rsid w:val="00475FD5"/>
    <w:rsid w:val="0047725A"/>
    <w:rsid w:val="004812F4"/>
    <w:rsid w:val="0048231B"/>
    <w:rsid w:val="004838D4"/>
    <w:rsid w:val="004845AC"/>
    <w:rsid w:val="00484C31"/>
    <w:rsid w:val="00485E3C"/>
    <w:rsid w:val="00486F09"/>
    <w:rsid w:val="004877FB"/>
    <w:rsid w:val="004906DB"/>
    <w:rsid w:val="00490C0F"/>
    <w:rsid w:val="00491FF2"/>
    <w:rsid w:val="004925EE"/>
    <w:rsid w:val="00492735"/>
    <w:rsid w:val="00493926"/>
    <w:rsid w:val="004945E8"/>
    <w:rsid w:val="00494FC9"/>
    <w:rsid w:val="00495228"/>
    <w:rsid w:val="004959D4"/>
    <w:rsid w:val="004963B6"/>
    <w:rsid w:val="004A1AB1"/>
    <w:rsid w:val="004A2013"/>
    <w:rsid w:val="004A201B"/>
    <w:rsid w:val="004A2B7A"/>
    <w:rsid w:val="004A3EB3"/>
    <w:rsid w:val="004A4377"/>
    <w:rsid w:val="004A57EB"/>
    <w:rsid w:val="004A5824"/>
    <w:rsid w:val="004A59D3"/>
    <w:rsid w:val="004A6D7C"/>
    <w:rsid w:val="004A6F11"/>
    <w:rsid w:val="004A74DD"/>
    <w:rsid w:val="004B00D1"/>
    <w:rsid w:val="004B0B57"/>
    <w:rsid w:val="004B0BBE"/>
    <w:rsid w:val="004B0EB0"/>
    <w:rsid w:val="004B1246"/>
    <w:rsid w:val="004B1CAB"/>
    <w:rsid w:val="004B2FF9"/>
    <w:rsid w:val="004B3506"/>
    <w:rsid w:val="004B36ED"/>
    <w:rsid w:val="004B40DB"/>
    <w:rsid w:val="004B4EF6"/>
    <w:rsid w:val="004B612E"/>
    <w:rsid w:val="004B623B"/>
    <w:rsid w:val="004B6554"/>
    <w:rsid w:val="004B6B22"/>
    <w:rsid w:val="004B6C50"/>
    <w:rsid w:val="004C0DA0"/>
    <w:rsid w:val="004C3E02"/>
    <w:rsid w:val="004C422D"/>
    <w:rsid w:val="004C4CEB"/>
    <w:rsid w:val="004C5CBA"/>
    <w:rsid w:val="004C64F7"/>
    <w:rsid w:val="004C6C09"/>
    <w:rsid w:val="004C6EA3"/>
    <w:rsid w:val="004D000F"/>
    <w:rsid w:val="004D055D"/>
    <w:rsid w:val="004D1240"/>
    <w:rsid w:val="004D3E71"/>
    <w:rsid w:val="004D49EE"/>
    <w:rsid w:val="004D4AE0"/>
    <w:rsid w:val="004D4C0B"/>
    <w:rsid w:val="004D69FC"/>
    <w:rsid w:val="004D72BA"/>
    <w:rsid w:val="004D77BD"/>
    <w:rsid w:val="004D77DE"/>
    <w:rsid w:val="004D7BF4"/>
    <w:rsid w:val="004D7C92"/>
    <w:rsid w:val="004E295C"/>
    <w:rsid w:val="004E38B2"/>
    <w:rsid w:val="004E3936"/>
    <w:rsid w:val="004E490B"/>
    <w:rsid w:val="004E57F7"/>
    <w:rsid w:val="004E5D9C"/>
    <w:rsid w:val="004E65FD"/>
    <w:rsid w:val="004E6707"/>
    <w:rsid w:val="004E6B8E"/>
    <w:rsid w:val="004F0543"/>
    <w:rsid w:val="004F0D33"/>
    <w:rsid w:val="004F2385"/>
    <w:rsid w:val="004F246C"/>
    <w:rsid w:val="004F3A97"/>
    <w:rsid w:val="004F5591"/>
    <w:rsid w:val="004F5D14"/>
    <w:rsid w:val="004F68DC"/>
    <w:rsid w:val="004F7F44"/>
    <w:rsid w:val="00500F7A"/>
    <w:rsid w:val="005012AD"/>
    <w:rsid w:val="005016E5"/>
    <w:rsid w:val="00501A56"/>
    <w:rsid w:val="00502317"/>
    <w:rsid w:val="005027BB"/>
    <w:rsid w:val="00503415"/>
    <w:rsid w:val="005037E1"/>
    <w:rsid w:val="00503B5C"/>
    <w:rsid w:val="0050456A"/>
    <w:rsid w:val="005068E1"/>
    <w:rsid w:val="005070B6"/>
    <w:rsid w:val="005077C5"/>
    <w:rsid w:val="005105CD"/>
    <w:rsid w:val="00510B80"/>
    <w:rsid w:val="0051168A"/>
    <w:rsid w:val="005117D2"/>
    <w:rsid w:val="005118A6"/>
    <w:rsid w:val="005122F4"/>
    <w:rsid w:val="0051405F"/>
    <w:rsid w:val="00514109"/>
    <w:rsid w:val="0051444F"/>
    <w:rsid w:val="005156A6"/>
    <w:rsid w:val="00516393"/>
    <w:rsid w:val="00516669"/>
    <w:rsid w:val="005179A5"/>
    <w:rsid w:val="00520B4F"/>
    <w:rsid w:val="00524AD7"/>
    <w:rsid w:val="005254FD"/>
    <w:rsid w:val="005268A9"/>
    <w:rsid w:val="0052720F"/>
    <w:rsid w:val="00527421"/>
    <w:rsid w:val="005275C4"/>
    <w:rsid w:val="00527D36"/>
    <w:rsid w:val="00530DE3"/>
    <w:rsid w:val="00531076"/>
    <w:rsid w:val="00531D28"/>
    <w:rsid w:val="005328A8"/>
    <w:rsid w:val="005338EE"/>
    <w:rsid w:val="00533920"/>
    <w:rsid w:val="00535141"/>
    <w:rsid w:val="00535324"/>
    <w:rsid w:val="00535504"/>
    <w:rsid w:val="005363B4"/>
    <w:rsid w:val="0053712D"/>
    <w:rsid w:val="005403F4"/>
    <w:rsid w:val="00541076"/>
    <w:rsid w:val="00541136"/>
    <w:rsid w:val="0054216F"/>
    <w:rsid w:val="00542F18"/>
    <w:rsid w:val="0054343C"/>
    <w:rsid w:val="00544853"/>
    <w:rsid w:val="00544CA5"/>
    <w:rsid w:val="005450E2"/>
    <w:rsid w:val="00545B19"/>
    <w:rsid w:val="00547404"/>
    <w:rsid w:val="0055035F"/>
    <w:rsid w:val="005507FD"/>
    <w:rsid w:val="005511C0"/>
    <w:rsid w:val="00551E3C"/>
    <w:rsid w:val="0055232C"/>
    <w:rsid w:val="0055278E"/>
    <w:rsid w:val="00552BC3"/>
    <w:rsid w:val="00554240"/>
    <w:rsid w:val="00555488"/>
    <w:rsid w:val="0055549A"/>
    <w:rsid w:val="00555B18"/>
    <w:rsid w:val="00555C9C"/>
    <w:rsid w:val="00556A4D"/>
    <w:rsid w:val="00557319"/>
    <w:rsid w:val="0055764E"/>
    <w:rsid w:val="00560528"/>
    <w:rsid w:val="00560699"/>
    <w:rsid w:val="00561923"/>
    <w:rsid w:val="005622F8"/>
    <w:rsid w:val="0056310A"/>
    <w:rsid w:val="0056336F"/>
    <w:rsid w:val="00565AF7"/>
    <w:rsid w:val="00566024"/>
    <w:rsid w:val="0057060C"/>
    <w:rsid w:val="0057189C"/>
    <w:rsid w:val="00571BD2"/>
    <w:rsid w:val="00571CD7"/>
    <w:rsid w:val="00571D59"/>
    <w:rsid w:val="00572E3E"/>
    <w:rsid w:val="005737FC"/>
    <w:rsid w:val="0057420B"/>
    <w:rsid w:val="0057593B"/>
    <w:rsid w:val="005762CE"/>
    <w:rsid w:val="00580280"/>
    <w:rsid w:val="00580B9E"/>
    <w:rsid w:val="00580DAB"/>
    <w:rsid w:val="0058135A"/>
    <w:rsid w:val="005817D9"/>
    <w:rsid w:val="00581F7C"/>
    <w:rsid w:val="00583358"/>
    <w:rsid w:val="005839BF"/>
    <w:rsid w:val="00584058"/>
    <w:rsid w:val="005844A5"/>
    <w:rsid w:val="005846B4"/>
    <w:rsid w:val="005850E5"/>
    <w:rsid w:val="005851E0"/>
    <w:rsid w:val="00585571"/>
    <w:rsid w:val="005856F9"/>
    <w:rsid w:val="00585B91"/>
    <w:rsid w:val="00586BB0"/>
    <w:rsid w:val="00586BF1"/>
    <w:rsid w:val="00587DC4"/>
    <w:rsid w:val="005903E4"/>
    <w:rsid w:val="005907D5"/>
    <w:rsid w:val="005910C0"/>
    <w:rsid w:val="005913EE"/>
    <w:rsid w:val="00592461"/>
    <w:rsid w:val="005950D6"/>
    <w:rsid w:val="0059519C"/>
    <w:rsid w:val="00595524"/>
    <w:rsid w:val="005974F3"/>
    <w:rsid w:val="0059751C"/>
    <w:rsid w:val="00597919"/>
    <w:rsid w:val="005A0B9F"/>
    <w:rsid w:val="005A0EFC"/>
    <w:rsid w:val="005A44E7"/>
    <w:rsid w:val="005A5D8E"/>
    <w:rsid w:val="005A63D8"/>
    <w:rsid w:val="005A7C14"/>
    <w:rsid w:val="005A7DBE"/>
    <w:rsid w:val="005B152C"/>
    <w:rsid w:val="005B1C64"/>
    <w:rsid w:val="005B1DE8"/>
    <w:rsid w:val="005B2807"/>
    <w:rsid w:val="005B3606"/>
    <w:rsid w:val="005B3E08"/>
    <w:rsid w:val="005B49B6"/>
    <w:rsid w:val="005B56EE"/>
    <w:rsid w:val="005B672C"/>
    <w:rsid w:val="005B747D"/>
    <w:rsid w:val="005B7733"/>
    <w:rsid w:val="005B7A22"/>
    <w:rsid w:val="005C0602"/>
    <w:rsid w:val="005C0D5D"/>
    <w:rsid w:val="005C1415"/>
    <w:rsid w:val="005C191A"/>
    <w:rsid w:val="005C2AA9"/>
    <w:rsid w:val="005C330D"/>
    <w:rsid w:val="005C40C7"/>
    <w:rsid w:val="005C4114"/>
    <w:rsid w:val="005C4EFF"/>
    <w:rsid w:val="005C4F43"/>
    <w:rsid w:val="005C6E71"/>
    <w:rsid w:val="005D0B55"/>
    <w:rsid w:val="005D4A04"/>
    <w:rsid w:val="005D4CF7"/>
    <w:rsid w:val="005D5347"/>
    <w:rsid w:val="005D5CC5"/>
    <w:rsid w:val="005D5FE6"/>
    <w:rsid w:val="005D61EA"/>
    <w:rsid w:val="005D74D8"/>
    <w:rsid w:val="005D787B"/>
    <w:rsid w:val="005E031D"/>
    <w:rsid w:val="005E03AC"/>
    <w:rsid w:val="005E04B5"/>
    <w:rsid w:val="005E0621"/>
    <w:rsid w:val="005E12BE"/>
    <w:rsid w:val="005E285A"/>
    <w:rsid w:val="005E2C81"/>
    <w:rsid w:val="005E4D3C"/>
    <w:rsid w:val="005E7158"/>
    <w:rsid w:val="005E7ECB"/>
    <w:rsid w:val="005F0C00"/>
    <w:rsid w:val="005F1037"/>
    <w:rsid w:val="005F2BF8"/>
    <w:rsid w:val="005F2EA8"/>
    <w:rsid w:val="005F5D1D"/>
    <w:rsid w:val="005F60C9"/>
    <w:rsid w:val="005F64C6"/>
    <w:rsid w:val="006008F1"/>
    <w:rsid w:val="00601714"/>
    <w:rsid w:val="00601735"/>
    <w:rsid w:val="00602BD2"/>
    <w:rsid w:val="0060466F"/>
    <w:rsid w:val="00604980"/>
    <w:rsid w:val="0060614D"/>
    <w:rsid w:val="00610871"/>
    <w:rsid w:val="00610E48"/>
    <w:rsid w:val="00610FE0"/>
    <w:rsid w:val="00613C47"/>
    <w:rsid w:val="00615086"/>
    <w:rsid w:val="00616201"/>
    <w:rsid w:val="00616225"/>
    <w:rsid w:val="0061705E"/>
    <w:rsid w:val="00617914"/>
    <w:rsid w:val="00617A8B"/>
    <w:rsid w:val="00621904"/>
    <w:rsid w:val="00622248"/>
    <w:rsid w:val="00622FEA"/>
    <w:rsid w:val="006230BA"/>
    <w:rsid w:val="00623CDF"/>
    <w:rsid w:val="00623DB1"/>
    <w:rsid w:val="006245F3"/>
    <w:rsid w:val="00624DBE"/>
    <w:rsid w:val="00625450"/>
    <w:rsid w:val="0062557A"/>
    <w:rsid w:val="0062624F"/>
    <w:rsid w:val="006319CA"/>
    <w:rsid w:val="00633B3E"/>
    <w:rsid w:val="00634EC0"/>
    <w:rsid w:val="0063627F"/>
    <w:rsid w:val="006376C4"/>
    <w:rsid w:val="006403E7"/>
    <w:rsid w:val="00642D72"/>
    <w:rsid w:val="006443CB"/>
    <w:rsid w:val="006448B8"/>
    <w:rsid w:val="00644F80"/>
    <w:rsid w:val="00645874"/>
    <w:rsid w:val="00646FD2"/>
    <w:rsid w:val="00647673"/>
    <w:rsid w:val="00647CEE"/>
    <w:rsid w:val="00650F81"/>
    <w:rsid w:val="00650FC7"/>
    <w:rsid w:val="00651F86"/>
    <w:rsid w:val="0065395E"/>
    <w:rsid w:val="00653C24"/>
    <w:rsid w:val="00653D68"/>
    <w:rsid w:val="00653E4E"/>
    <w:rsid w:val="00654275"/>
    <w:rsid w:val="0065446D"/>
    <w:rsid w:val="00654891"/>
    <w:rsid w:val="00654894"/>
    <w:rsid w:val="00655104"/>
    <w:rsid w:val="00656067"/>
    <w:rsid w:val="00660693"/>
    <w:rsid w:val="006611D6"/>
    <w:rsid w:val="00661918"/>
    <w:rsid w:val="00662A5A"/>
    <w:rsid w:val="006636D0"/>
    <w:rsid w:val="00663834"/>
    <w:rsid w:val="00663BF1"/>
    <w:rsid w:val="006643BE"/>
    <w:rsid w:val="006647D7"/>
    <w:rsid w:val="00664F1B"/>
    <w:rsid w:val="006653D7"/>
    <w:rsid w:val="00665BFF"/>
    <w:rsid w:val="006665BA"/>
    <w:rsid w:val="00666A4F"/>
    <w:rsid w:val="00667477"/>
    <w:rsid w:val="006703D9"/>
    <w:rsid w:val="00672DFC"/>
    <w:rsid w:val="00672F5B"/>
    <w:rsid w:val="00673DEE"/>
    <w:rsid w:val="00674E69"/>
    <w:rsid w:val="006751FB"/>
    <w:rsid w:val="0067738E"/>
    <w:rsid w:val="00677F23"/>
    <w:rsid w:val="0068055B"/>
    <w:rsid w:val="00680936"/>
    <w:rsid w:val="00680D8C"/>
    <w:rsid w:val="00680D99"/>
    <w:rsid w:val="006821B2"/>
    <w:rsid w:val="00682725"/>
    <w:rsid w:val="00682A1B"/>
    <w:rsid w:val="00682D73"/>
    <w:rsid w:val="00682ED3"/>
    <w:rsid w:val="00683993"/>
    <w:rsid w:val="006846E8"/>
    <w:rsid w:val="00685EBD"/>
    <w:rsid w:val="006861C3"/>
    <w:rsid w:val="00686AF3"/>
    <w:rsid w:val="00686EB0"/>
    <w:rsid w:val="00690F1F"/>
    <w:rsid w:val="006915BD"/>
    <w:rsid w:val="00692582"/>
    <w:rsid w:val="00692592"/>
    <w:rsid w:val="00692A2F"/>
    <w:rsid w:val="0069322C"/>
    <w:rsid w:val="00693652"/>
    <w:rsid w:val="006939E7"/>
    <w:rsid w:val="00693D3E"/>
    <w:rsid w:val="006942F7"/>
    <w:rsid w:val="006956FB"/>
    <w:rsid w:val="00697D85"/>
    <w:rsid w:val="006A1A71"/>
    <w:rsid w:val="006A1D3D"/>
    <w:rsid w:val="006A2150"/>
    <w:rsid w:val="006A2216"/>
    <w:rsid w:val="006A241D"/>
    <w:rsid w:val="006A3288"/>
    <w:rsid w:val="006A43E6"/>
    <w:rsid w:val="006A4AEE"/>
    <w:rsid w:val="006A70BE"/>
    <w:rsid w:val="006A7934"/>
    <w:rsid w:val="006B0001"/>
    <w:rsid w:val="006B054B"/>
    <w:rsid w:val="006B059F"/>
    <w:rsid w:val="006B2048"/>
    <w:rsid w:val="006B2AD6"/>
    <w:rsid w:val="006B342E"/>
    <w:rsid w:val="006B3812"/>
    <w:rsid w:val="006B3B80"/>
    <w:rsid w:val="006B6EF0"/>
    <w:rsid w:val="006B6F32"/>
    <w:rsid w:val="006B7130"/>
    <w:rsid w:val="006B73CC"/>
    <w:rsid w:val="006B7695"/>
    <w:rsid w:val="006C0176"/>
    <w:rsid w:val="006C2994"/>
    <w:rsid w:val="006C35EC"/>
    <w:rsid w:val="006C4150"/>
    <w:rsid w:val="006C4382"/>
    <w:rsid w:val="006C4891"/>
    <w:rsid w:val="006C513D"/>
    <w:rsid w:val="006C5683"/>
    <w:rsid w:val="006C5E33"/>
    <w:rsid w:val="006C5E48"/>
    <w:rsid w:val="006C6434"/>
    <w:rsid w:val="006C6CD8"/>
    <w:rsid w:val="006C70BB"/>
    <w:rsid w:val="006C7EB1"/>
    <w:rsid w:val="006D013F"/>
    <w:rsid w:val="006D017F"/>
    <w:rsid w:val="006D08BD"/>
    <w:rsid w:val="006D0F8E"/>
    <w:rsid w:val="006D1416"/>
    <w:rsid w:val="006D1D3F"/>
    <w:rsid w:val="006D253B"/>
    <w:rsid w:val="006D325A"/>
    <w:rsid w:val="006D386A"/>
    <w:rsid w:val="006D4242"/>
    <w:rsid w:val="006D45F0"/>
    <w:rsid w:val="006D4C8F"/>
    <w:rsid w:val="006D52A0"/>
    <w:rsid w:val="006D57CB"/>
    <w:rsid w:val="006D5819"/>
    <w:rsid w:val="006D5E6F"/>
    <w:rsid w:val="006D693F"/>
    <w:rsid w:val="006D6CDD"/>
    <w:rsid w:val="006D7604"/>
    <w:rsid w:val="006D765E"/>
    <w:rsid w:val="006D76CB"/>
    <w:rsid w:val="006E0455"/>
    <w:rsid w:val="006E4123"/>
    <w:rsid w:val="006E4238"/>
    <w:rsid w:val="006E4551"/>
    <w:rsid w:val="006E5F01"/>
    <w:rsid w:val="006E7033"/>
    <w:rsid w:val="006E7404"/>
    <w:rsid w:val="006E7B97"/>
    <w:rsid w:val="006F05B9"/>
    <w:rsid w:val="006F1EA3"/>
    <w:rsid w:val="006F2627"/>
    <w:rsid w:val="006F3187"/>
    <w:rsid w:val="006F3568"/>
    <w:rsid w:val="006F40AD"/>
    <w:rsid w:val="006F53EB"/>
    <w:rsid w:val="006F6360"/>
    <w:rsid w:val="006F6436"/>
    <w:rsid w:val="006F65C5"/>
    <w:rsid w:val="006F687A"/>
    <w:rsid w:val="006F68EF"/>
    <w:rsid w:val="006F6D4C"/>
    <w:rsid w:val="006F6E67"/>
    <w:rsid w:val="006F7157"/>
    <w:rsid w:val="006F78E0"/>
    <w:rsid w:val="007023EA"/>
    <w:rsid w:val="00702B1B"/>
    <w:rsid w:val="007032B3"/>
    <w:rsid w:val="00704164"/>
    <w:rsid w:val="007063BD"/>
    <w:rsid w:val="00706A58"/>
    <w:rsid w:val="00707517"/>
    <w:rsid w:val="007078ED"/>
    <w:rsid w:val="00710187"/>
    <w:rsid w:val="007110E1"/>
    <w:rsid w:val="00711B18"/>
    <w:rsid w:val="007126D1"/>
    <w:rsid w:val="00714394"/>
    <w:rsid w:val="00714C87"/>
    <w:rsid w:val="00714ED6"/>
    <w:rsid w:val="00715E8D"/>
    <w:rsid w:val="00721C26"/>
    <w:rsid w:val="00721F7E"/>
    <w:rsid w:val="00722E29"/>
    <w:rsid w:val="00723ECB"/>
    <w:rsid w:val="00724606"/>
    <w:rsid w:val="00724A36"/>
    <w:rsid w:val="00724A60"/>
    <w:rsid w:val="00724E85"/>
    <w:rsid w:val="0072525D"/>
    <w:rsid w:val="00726E8A"/>
    <w:rsid w:val="00727047"/>
    <w:rsid w:val="00727A0E"/>
    <w:rsid w:val="00734510"/>
    <w:rsid w:val="00734887"/>
    <w:rsid w:val="007365B6"/>
    <w:rsid w:val="00737394"/>
    <w:rsid w:val="007401E2"/>
    <w:rsid w:val="00740205"/>
    <w:rsid w:val="007411E5"/>
    <w:rsid w:val="00741605"/>
    <w:rsid w:val="00742788"/>
    <w:rsid w:val="007436F2"/>
    <w:rsid w:val="0074436D"/>
    <w:rsid w:val="00746951"/>
    <w:rsid w:val="00746F65"/>
    <w:rsid w:val="007472C3"/>
    <w:rsid w:val="007476A6"/>
    <w:rsid w:val="0074791E"/>
    <w:rsid w:val="00750948"/>
    <w:rsid w:val="0075115D"/>
    <w:rsid w:val="00751A33"/>
    <w:rsid w:val="00753890"/>
    <w:rsid w:val="007555DF"/>
    <w:rsid w:val="00756126"/>
    <w:rsid w:val="0075634D"/>
    <w:rsid w:val="007569DC"/>
    <w:rsid w:val="0075711E"/>
    <w:rsid w:val="007579F2"/>
    <w:rsid w:val="00761434"/>
    <w:rsid w:val="00761FD5"/>
    <w:rsid w:val="00762BB6"/>
    <w:rsid w:val="0076341D"/>
    <w:rsid w:val="0076446D"/>
    <w:rsid w:val="007647EF"/>
    <w:rsid w:val="00765DD8"/>
    <w:rsid w:val="00766B33"/>
    <w:rsid w:val="00766D36"/>
    <w:rsid w:val="00767607"/>
    <w:rsid w:val="00767ACD"/>
    <w:rsid w:val="007705B5"/>
    <w:rsid w:val="0077270D"/>
    <w:rsid w:val="00773874"/>
    <w:rsid w:val="0077393B"/>
    <w:rsid w:val="00775D3B"/>
    <w:rsid w:val="0077615A"/>
    <w:rsid w:val="007806A0"/>
    <w:rsid w:val="00782346"/>
    <w:rsid w:val="007838CD"/>
    <w:rsid w:val="007840F3"/>
    <w:rsid w:val="0078482F"/>
    <w:rsid w:val="007849BE"/>
    <w:rsid w:val="00785491"/>
    <w:rsid w:val="007858C0"/>
    <w:rsid w:val="0078679A"/>
    <w:rsid w:val="007871FE"/>
    <w:rsid w:val="007876E6"/>
    <w:rsid w:val="00787C89"/>
    <w:rsid w:val="007908ED"/>
    <w:rsid w:val="00790F74"/>
    <w:rsid w:val="00792288"/>
    <w:rsid w:val="00792447"/>
    <w:rsid w:val="007928C6"/>
    <w:rsid w:val="00792E73"/>
    <w:rsid w:val="0079694C"/>
    <w:rsid w:val="007A0187"/>
    <w:rsid w:val="007A19AC"/>
    <w:rsid w:val="007A268F"/>
    <w:rsid w:val="007A29EC"/>
    <w:rsid w:val="007A4A53"/>
    <w:rsid w:val="007A4C93"/>
    <w:rsid w:val="007A4E17"/>
    <w:rsid w:val="007A7F6D"/>
    <w:rsid w:val="007B0FBD"/>
    <w:rsid w:val="007B1BAF"/>
    <w:rsid w:val="007B20C3"/>
    <w:rsid w:val="007B2FE8"/>
    <w:rsid w:val="007B35F7"/>
    <w:rsid w:val="007B4DD5"/>
    <w:rsid w:val="007B4F72"/>
    <w:rsid w:val="007B5148"/>
    <w:rsid w:val="007B5A16"/>
    <w:rsid w:val="007B71AA"/>
    <w:rsid w:val="007B7F09"/>
    <w:rsid w:val="007C03FE"/>
    <w:rsid w:val="007C0E04"/>
    <w:rsid w:val="007C17D3"/>
    <w:rsid w:val="007C1FA2"/>
    <w:rsid w:val="007C2827"/>
    <w:rsid w:val="007C3A26"/>
    <w:rsid w:val="007C4032"/>
    <w:rsid w:val="007C4CE1"/>
    <w:rsid w:val="007C537A"/>
    <w:rsid w:val="007C57D1"/>
    <w:rsid w:val="007C6100"/>
    <w:rsid w:val="007C6B3E"/>
    <w:rsid w:val="007C7130"/>
    <w:rsid w:val="007C74E5"/>
    <w:rsid w:val="007C7F57"/>
    <w:rsid w:val="007D0348"/>
    <w:rsid w:val="007D0E43"/>
    <w:rsid w:val="007D13E7"/>
    <w:rsid w:val="007D1A3E"/>
    <w:rsid w:val="007D1E37"/>
    <w:rsid w:val="007D2335"/>
    <w:rsid w:val="007D358B"/>
    <w:rsid w:val="007D3619"/>
    <w:rsid w:val="007D370E"/>
    <w:rsid w:val="007D4624"/>
    <w:rsid w:val="007D563E"/>
    <w:rsid w:val="007D5A49"/>
    <w:rsid w:val="007D5FC1"/>
    <w:rsid w:val="007D6EB6"/>
    <w:rsid w:val="007D715A"/>
    <w:rsid w:val="007E08DB"/>
    <w:rsid w:val="007E0B17"/>
    <w:rsid w:val="007E0D90"/>
    <w:rsid w:val="007E0E9E"/>
    <w:rsid w:val="007E12DC"/>
    <w:rsid w:val="007E1760"/>
    <w:rsid w:val="007E21FB"/>
    <w:rsid w:val="007E3B9D"/>
    <w:rsid w:val="007E420B"/>
    <w:rsid w:val="007E4932"/>
    <w:rsid w:val="007E4CAD"/>
    <w:rsid w:val="007E502C"/>
    <w:rsid w:val="007E516A"/>
    <w:rsid w:val="007E5BD7"/>
    <w:rsid w:val="007E6761"/>
    <w:rsid w:val="007E75F0"/>
    <w:rsid w:val="007E7968"/>
    <w:rsid w:val="007E79C4"/>
    <w:rsid w:val="007F013A"/>
    <w:rsid w:val="007F0730"/>
    <w:rsid w:val="007F1D54"/>
    <w:rsid w:val="007F2D90"/>
    <w:rsid w:val="007F3F6F"/>
    <w:rsid w:val="007F48A9"/>
    <w:rsid w:val="007F4E28"/>
    <w:rsid w:val="007F4F82"/>
    <w:rsid w:val="007F6758"/>
    <w:rsid w:val="007F6D96"/>
    <w:rsid w:val="00800D05"/>
    <w:rsid w:val="00801D7A"/>
    <w:rsid w:val="008020F2"/>
    <w:rsid w:val="00803F74"/>
    <w:rsid w:val="00804653"/>
    <w:rsid w:val="00804C48"/>
    <w:rsid w:val="0080505A"/>
    <w:rsid w:val="008060B3"/>
    <w:rsid w:val="00806639"/>
    <w:rsid w:val="00806A84"/>
    <w:rsid w:val="008073A4"/>
    <w:rsid w:val="00807C6C"/>
    <w:rsid w:val="008115ED"/>
    <w:rsid w:val="0081254B"/>
    <w:rsid w:val="0081340B"/>
    <w:rsid w:val="00815822"/>
    <w:rsid w:val="00815B93"/>
    <w:rsid w:val="00816585"/>
    <w:rsid w:val="0081760E"/>
    <w:rsid w:val="00817BB4"/>
    <w:rsid w:val="00817E4F"/>
    <w:rsid w:val="00820F5B"/>
    <w:rsid w:val="00821021"/>
    <w:rsid w:val="008214BB"/>
    <w:rsid w:val="00821B58"/>
    <w:rsid w:val="00822D4E"/>
    <w:rsid w:val="00822FBA"/>
    <w:rsid w:val="0082398C"/>
    <w:rsid w:val="008243E6"/>
    <w:rsid w:val="00824FF1"/>
    <w:rsid w:val="00825196"/>
    <w:rsid w:val="00826F4C"/>
    <w:rsid w:val="008303A6"/>
    <w:rsid w:val="008310B4"/>
    <w:rsid w:val="00831573"/>
    <w:rsid w:val="00831C7F"/>
    <w:rsid w:val="00833C51"/>
    <w:rsid w:val="00834577"/>
    <w:rsid w:val="008349A6"/>
    <w:rsid w:val="00835271"/>
    <w:rsid w:val="00835679"/>
    <w:rsid w:val="008377DA"/>
    <w:rsid w:val="00841F21"/>
    <w:rsid w:val="00842991"/>
    <w:rsid w:val="008429B0"/>
    <w:rsid w:val="00843900"/>
    <w:rsid w:val="00844C5B"/>
    <w:rsid w:val="00845A15"/>
    <w:rsid w:val="0084632F"/>
    <w:rsid w:val="008474A9"/>
    <w:rsid w:val="00851180"/>
    <w:rsid w:val="00852528"/>
    <w:rsid w:val="0085331C"/>
    <w:rsid w:val="0085434F"/>
    <w:rsid w:val="008543F7"/>
    <w:rsid w:val="008545DC"/>
    <w:rsid w:val="00854A7E"/>
    <w:rsid w:val="00855B06"/>
    <w:rsid w:val="00856B95"/>
    <w:rsid w:val="00856D1A"/>
    <w:rsid w:val="00857D29"/>
    <w:rsid w:val="0086161C"/>
    <w:rsid w:val="008617AF"/>
    <w:rsid w:val="00861DB0"/>
    <w:rsid w:val="00861E83"/>
    <w:rsid w:val="0086225C"/>
    <w:rsid w:val="008629A8"/>
    <w:rsid w:val="00863225"/>
    <w:rsid w:val="00863ADA"/>
    <w:rsid w:val="00864DDD"/>
    <w:rsid w:val="00865BAA"/>
    <w:rsid w:val="008677CB"/>
    <w:rsid w:val="0087056E"/>
    <w:rsid w:val="00870CB6"/>
    <w:rsid w:val="008737AE"/>
    <w:rsid w:val="00873FEA"/>
    <w:rsid w:val="0087419B"/>
    <w:rsid w:val="008744CC"/>
    <w:rsid w:val="00874592"/>
    <w:rsid w:val="008751C1"/>
    <w:rsid w:val="00876C1B"/>
    <w:rsid w:val="00876E70"/>
    <w:rsid w:val="008804E1"/>
    <w:rsid w:val="008815B6"/>
    <w:rsid w:val="008818F6"/>
    <w:rsid w:val="00881D45"/>
    <w:rsid w:val="0088398E"/>
    <w:rsid w:val="00885182"/>
    <w:rsid w:val="008858B7"/>
    <w:rsid w:val="0088647E"/>
    <w:rsid w:val="00886D52"/>
    <w:rsid w:val="00887215"/>
    <w:rsid w:val="00887E02"/>
    <w:rsid w:val="00890382"/>
    <w:rsid w:val="0089046A"/>
    <w:rsid w:val="00891106"/>
    <w:rsid w:val="00892833"/>
    <w:rsid w:val="008929C4"/>
    <w:rsid w:val="00893479"/>
    <w:rsid w:val="0089375D"/>
    <w:rsid w:val="008943CB"/>
    <w:rsid w:val="008946B9"/>
    <w:rsid w:val="008A0882"/>
    <w:rsid w:val="008A10C1"/>
    <w:rsid w:val="008A181A"/>
    <w:rsid w:val="008A183F"/>
    <w:rsid w:val="008A1C47"/>
    <w:rsid w:val="008A2289"/>
    <w:rsid w:val="008A3766"/>
    <w:rsid w:val="008A4F66"/>
    <w:rsid w:val="008A5290"/>
    <w:rsid w:val="008A593A"/>
    <w:rsid w:val="008A6A60"/>
    <w:rsid w:val="008A6C5A"/>
    <w:rsid w:val="008A6CCA"/>
    <w:rsid w:val="008B1B8C"/>
    <w:rsid w:val="008B2C59"/>
    <w:rsid w:val="008B2DF3"/>
    <w:rsid w:val="008B376A"/>
    <w:rsid w:val="008B444E"/>
    <w:rsid w:val="008B569F"/>
    <w:rsid w:val="008B7220"/>
    <w:rsid w:val="008C0669"/>
    <w:rsid w:val="008C08A5"/>
    <w:rsid w:val="008C1DD7"/>
    <w:rsid w:val="008C26FA"/>
    <w:rsid w:val="008C2BC1"/>
    <w:rsid w:val="008C4566"/>
    <w:rsid w:val="008C46B6"/>
    <w:rsid w:val="008C522A"/>
    <w:rsid w:val="008C5E71"/>
    <w:rsid w:val="008C64E3"/>
    <w:rsid w:val="008C6A8B"/>
    <w:rsid w:val="008C77F7"/>
    <w:rsid w:val="008D00EA"/>
    <w:rsid w:val="008D0D1E"/>
    <w:rsid w:val="008D1175"/>
    <w:rsid w:val="008D1627"/>
    <w:rsid w:val="008D1DA0"/>
    <w:rsid w:val="008D2828"/>
    <w:rsid w:val="008D284E"/>
    <w:rsid w:val="008D4ED3"/>
    <w:rsid w:val="008D54BF"/>
    <w:rsid w:val="008D5DC6"/>
    <w:rsid w:val="008D6A11"/>
    <w:rsid w:val="008E0D4B"/>
    <w:rsid w:val="008E12F7"/>
    <w:rsid w:val="008E1C27"/>
    <w:rsid w:val="008E1E54"/>
    <w:rsid w:val="008E2057"/>
    <w:rsid w:val="008E31EC"/>
    <w:rsid w:val="008E3C88"/>
    <w:rsid w:val="008E4E17"/>
    <w:rsid w:val="008E5337"/>
    <w:rsid w:val="008E610D"/>
    <w:rsid w:val="008E69A2"/>
    <w:rsid w:val="008E78F2"/>
    <w:rsid w:val="008E7B12"/>
    <w:rsid w:val="008E7DA6"/>
    <w:rsid w:val="008F022C"/>
    <w:rsid w:val="008F152D"/>
    <w:rsid w:val="008F2A60"/>
    <w:rsid w:val="008F310D"/>
    <w:rsid w:val="008F3888"/>
    <w:rsid w:val="008F3B22"/>
    <w:rsid w:val="008F43C7"/>
    <w:rsid w:val="008F4823"/>
    <w:rsid w:val="008F606D"/>
    <w:rsid w:val="008F7150"/>
    <w:rsid w:val="008F71CC"/>
    <w:rsid w:val="008F721C"/>
    <w:rsid w:val="00900662"/>
    <w:rsid w:val="00901953"/>
    <w:rsid w:val="00902166"/>
    <w:rsid w:val="00903C31"/>
    <w:rsid w:val="009040A1"/>
    <w:rsid w:val="0090473B"/>
    <w:rsid w:val="0090487F"/>
    <w:rsid w:val="00904EAC"/>
    <w:rsid w:val="00905282"/>
    <w:rsid w:val="00905908"/>
    <w:rsid w:val="009075A4"/>
    <w:rsid w:val="009101AF"/>
    <w:rsid w:val="00911808"/>
    <w:rsid w:val="009145FB"/>
    <w:rsid w:val="0091555E"/>
    <w:rsid w:val="00915786"/>
    <w:rsid w:val="0091746C"/>
    <w:rsid w:val="00917816"/>
    <w:rsid w:val="00917D06"/>
    <w:rsid w:val="009207DB"/>
    <w:rsid w:val="00922024"/>
    <w:rsid w:val="009222A3"/>
    <w:rsid w:val="00922D24"/>
    <w:rsid w:val="00924853"/>
    <w:rsid w:val="009252E0"/>
    <w:rsid w:val="009252EE"/>
    <w:rsid w:val="00925501"/>
    <w:rsid w:val="00926982"/>
    <w:rsid w:val="00926D4C"/>
    <w:rsid w:val="009270C4"/>
    <w:rsid w:val="0093083B"/>
    <w:rsid w:val="0093092B"/>
    <w:rsid w:val="009319D7"/>
    <w:rsid w:val="009325F7"/>
    <w:rsid w:val="00932BCF"/>
    <w:rsid w:val="00933396"/>
    <w:rsid w:val="00934D73"/>
    <w:rsid w:val="00935042"/>
    <w:rsid w:val="009354F5"/>
    <w:rsid w:val="0093740F"/>
    <w:rsid w:val="00937B4A"/>
    <w:rsid w:val="00937BE9"/>
    <w:rsid w:val="00937C1D"/>
    <w:rsid w:val="00940804"/>
    <w:rsid w:val="00940E9B"/>
    <w:rsid w:val="00940FC3"/>
    <w:rsid w:val="009410B3"/>
    <w:rsid w:val="0094131D"/>
    <w:rsid w:val="0094166C"/>
    <w:rsid w:val="00942120"/>
    <w:rsid w:val="00942292"/>
    <w:rsid w:val="0094245E"/>
    <w:rsid w:val="009425F7"/>
    <w:rsid w:val="00942AB1"/>
    <w:rsid w:val="00943BC0"/>
    <w:rsid w:val="00944BF0"/>
    <w:rsid w:val="00946136"/>
    <w:rsid w:val="00946CD9"/>
    <w:rsid w:val="00946E7C"/>
    <w:rsid w:val="00947046"/>
    <w:rsid w:val="00950297"/>
    <w:rsid w:val="009505F4"/>
    <w:rsid w:val="00951216"/>
    <w:rsid w:val="0095279B"/>
    <w:rsid w:val="009533C3"/>
    <w:rsid w:val="00954282"/>
    <w:rsid w:val="00954427"/>
    <w:rsid w:val="0095611C"/>
    <w:rsid w:val="009564ED"/>
    <w:rsid w:val="00956CA2"/>
    <w:rsid w:val="0096079B"/>
    <w:rsid w:val="0096218D"/>
    <w:rsid w:val="00964509"/>
    <w:rsid w:val="0096501B"/>
    <w:rsid w:val="0096662B"/>
    <w:rsid w:val="009666AF"/>
    <w:rsid w:val="00967180"/>
    <w:rsid w:val="0096797D"/>
    <w:rsid w:val="00970704"/>
    <w:rsid w:val="00970B65"/>
    <w:rsid w:val="00971127"/>
    <w:rsid w:val="0097119E"/>
    <w:rsid w:val="009718E9"/>
    <w:rsid w:val="009734B8"/>
    <w:rsid w:val="00973514"/>
    <w:rsid w:val="009739F9"/>
    <w:rsid w:val="009741E7"/>
    <w:rsid w:val="00975C75"/>
    <w:rsid w:val="00977506"/>
    <w:rsid w:val="00977DFD"/>
    <w:rsid w:val="0098177A"/>
    <w:rsid w:val="00983583"/>
    <w:rsid w:val="00983EFD"/>
    <w:rsid w:val="009855B0"/>
    <w:rsid w:val="009859A8"/>
    <w:rsid w:val="00986257"/>
    <w:rsid w:val="0098658A"/>
    <w:rsid w:val="00986861"/>
    <w:rsid w:val="00987CBC"/>
    <w:rsid w:val="00991EB0"/>
    <w:rsid w:val="0099212B"/>
    <w:rsid w:val="0099245F"/>
    <w:rsid w:val="00995768"/>
    <w:rsid w:val="00995F21"/>
    <w:rsid w:val="00996203"/>
    <w:rsid w:val="00996326"/>
    <w:rsid w:val="00996F95"/>
    <w:rsid w:val="00997B35"/>
    <w:rsid w:val="00997EA5"/>
    <w:rsid w:val="009A07D5"/>
    <w:rsid w:val="009A1FE7"/>
    <w:rsid w:val="009A2967"/>
    <w:rsid w:val="009A36B7"/>
    <w:rsid w:val="009A3720"/>
    <w:rsid w:val="009A392B"/>
    <w:rsid w:val="009A42CF"/>
    <w:rsid w:val="009A44E8"/>
    <w:rsid w:val="009A581E"/>
    <w:rsid w:val="009A698D"/>
    <w:rsid w:val="009B1DA5"/>
    <w:rsid w:val="009B1E1D"/>
    <w:rsid w:val="009B28FD"/>
    <w:rsid w:val="009B2AD6"/>
    <w:rsid w:val="009B3172"/>
    <w:rsid w:val="009B461D"/>
    <w:rsid w:val="009B4F1F"/>
    <w:rsid w:val="009B5594"/>
    <w:rsid w:val="009B59ED"/>
    <w:rsid w:val="009B6405"/>
    <w:rsid w:val="009B729E"/>
    <w:rsid w:val="009B7498"/>
    <w:rsid w:val="009C264B"/>
    <w:rsid w:val="009C34F1"/>
    <w:rsid w:val="009C3B80"/>
    <w:rsid w:val="009C3D84"/>
    <w:rsid w:val="009C48C6"/>
    <w:rsid w:val="009C5D76"/>
    <w:rsid w:val="009C5DFB"/>
    <w:rsid w:val="009C5FDE"/>
    <w:rsid w:val="009C6046"/>
    <w:rsid w:val="009C7B1D"/>
    <w:rsid w:val="009C7F10"/>
    <w:rsid w:val="009C7FF8"/>
    <w:rsid w:val="009D03F1"/>
    <w:rsid w:val="009D0921"/>
    <w:rsid w:val="009D101B"/>
    <w:rsid w:val="009D118E"/>
    <w:rsid w:val="009D1CF4"/>
    <w:rsid w:val="009D380F"/>
    <w:rsid w:val="009D57A7"/>
    <w:rsid w:val="009D65EE"/>
    <w:rsid w:val="009D6903"/>
    <w:rsid w:val="009E0525"/>
    <w:rsid w:val="009E199C"/>
    <w:rsid w:val="009E20A6"/>
    <w:rsid w:val="009E233F"/>
    <w:rsid w:val="009E323A"/>
    <w:rsid w:val="009E328B"/>
    <w:rsid w:val="009E68C1"/>
    <w:rsid w:val="009E6DD0"/>
    <w:rsid w:val="009E6DEE"/>
    <w:rsid w:val="009E700C"/>
    <w:rsid w:val="009F082A"/>
    <w:rsid w:val="009F0BD9"/>
    <w:rsid w:val="009F12B4"/>
    <w:rsid w:val="009F33FA"/>
    <w:rsid w:val="009F347C"/>
    <w:rsid w:val="009F3F14"/>
    <w:rsid w:val="009F54D7"/>
    <w:rsid w:val="009F5B9D"/>
    <w:rsid w:val="009F6619"/>
    <w:rsid w:val="009F68FF"/>
    <w:rsid w:val="00A00E77"/>
    <w:rsid w:val="00A01A4C"/>
    <w:rsid w:val="00A01C1F"/>
    <w:rsid w:val="00A01C98"/>
    <w:rsid w:val="00A020F7"/>
    <w:rsid w:val="00A025E5"/>
    <w:rsid w:val="00A054CB"/>
    <w:rsid w:val="00A05E8F"/>
    <w:rsid w:val="00A06A54"/>
    <w:rsid w:val="00A10423"/>
    <w:rsid w:val="00A10A6F"/>
    <w:rsid w:val="00A115B1"/>
    <w:rsid w:val="00A118B4"/>
    <w:rsid w:val="00A129C6"/>
    <w:rsid w:val="00A14BDD"/>
    <w:rsid w:val="00A15A52"/>
    <w:rsid w:val="00A1706F"/>
    <w:rsid w:val="00A1721D"/>
    <w:rsid w:val="00A20630"/>
    <w:rsid w:val="00A20956"/>
    <w:rsid w:val="00A210DB"/>
    <w:rsid w:val="00A21667"/>
    <w:rsid w:val="00A220FB"/>
    <w:rsid w:val="00A22177"/>
    <w:rsid w:val="00A223A5"/>
    <w:rsid w:val="00A241FD"/>
    <w:rsid w:val="00A24BC5"/>
    <w:rsid w:val="00A2504C"/>
    <w:rsid w:val="00A26CA4"/>
    <w:rsid w:val="00A26E5D"/>
    <w:rsid w:val="00A276A6"/>
    <w:rsid w:val="00A276FF"/>
    <w:rsid w:val="00A30C82"/>
    <w:rsid w:val="00A31A01"/>
    <w:rsid w:val="00A32211"/>
    <w:rsid w:val="00A33FDC"/>
    <w:rsid w:val="00A34114"/>
    <w:rsid w:val="00A34C81"/>
    <w:rsid w:val="00A34E19"/>
    <w:rsid w:val="00A35C90"/>
    <w:rsid w:val="00A362F9"/>
    <w:rsid w:val="00A36F35"/>
    <w:rsid w:val="00A373CC"/>
    <w:rsid w:val="00A3760C"/>
    <w:rsid w:val="00A37704"/>
    <w:rsid w:val="00A378A0"/>
    <w:rsid w:val="00A37E59"/>
    <w:rsid w:val="00A40108"/>
    <w:rsid w:val="00A40D0C"/>
    <w:rsid w:val="00A41302"/>
    <w:rsid w:val="00A41C59"/>
    <w:rsid w:val="00A4350C"/>
    <w:rsid w:val="00A43644"/>
    <w:rsid w:val="00A4383B"/>
    <w:rsid w:val="00A44BB6"/>
    <w:rsid w:val="00A45734"/>
    <w:rsid w:val="00A45B90"/>
    <w:rsid w:val="00A462F7"/>
    <w:rsid w:val="00A46659"/>
    <w:rsid w:val="00A46F1A"/>
    <w:rsid w:val="00A47029"/>
    <w:rsid w:val="00A477C3"/>
    <w:rsid w:val="00A50299"/>
    <w:rsid w:val="00A5067A"/>
    <w:rsid w:val="00A50D10"/>
    <w:rsid w:val="00A533D5"/>
    <w:rsid w:val="00A5510E"/>
    <w:rsid w:val="00A559F4"/>
    <w:rsid w:val="00A56173"/>
    <w:rsid w:val="00A56547"/>
    <w:rsid w:val="00A57079"/>
    <w:rsid w:val="00A570E0"/>
    <w:rsid w:val="00A606A0"/>
    <w:rsid w:val="00A60943"/>
    <w:rsid w:val="00A60A2E"/>
    <w:rsid w:val="00A60A60"/>
    <w:rsid w:val="00A61263"/>
    <w:rsid w:val="00A614AD"/>
    <w:rsid w:val="00A61886"/>
    <w:rsid w:val="00A61E92"/>
    <w:rsid w:val="00A63D89"/>
    <w:rsid w:val="00A650F1"/>
    <w:rsid w:val="00A6526E"/>
    <w:rsid w:val="00A65DA4"/>
    <w:rsid w:val="00A66E04"/>
    <w:rsid w:val="00A67194"/>
    <w:rsid w:val="00A671B3"/>
    <w:rsid w:val="00A67864"/>
    <w:rsid w:val="00A7040E"/>
    <w:rsid w:val="00A7286F"/>
    <w:rsid w:val="00A734F2"/>
    <w:rsid w:val="00A739E7"/>
    <w:rsid w:val="00A73DEE"/>
    <w:rsid w:val="00A74678"/>
    <w:rsid w:val="00A75AEA"/>
    <w:rsid w:val="00A76063"/>
    <w:rsid w:val="00A767EB"/>
    <w:rsid w:val="00A771BF"/>
    <w:rsid w:val="00A77299"/>
    <w:rsid w:val="00A803C1"/>
    <w:rsid w:val="00A815B6"/>
    <w:rsid w:val="00A81953"/>
    <w:rsid w:val="00A823D7"/>
    <w:rsid w:val="00A827C9"/>
    <w:rsid w:val="00A85B31"/>
    <w:rsid w:val="00A861F3"/>
    <w:rsid w:val="00A86C48"/>
    <w:rsid w:val="00A90DB1"/>
    <w:rsid w:val="00A9147B"/>
    <w:rsid w:val="00A91BA8"/>
    <w:rsid w:val="00A91EF1"/>
    <w:rsid w:val="00A91EF2"/>
    <w:rsid w:val="00A9325C"/>
    <w:rsid w:val="00A93680"/>
    <w:rsid w:val="00A9430B"/>
    <w:rsid w:val="00A94483"/>
    <w:rsid w:val="00A959CA"/>
    <w:rsid w:val="00A96FC6"/>
    <w:rsid w:val="00A97A16"/>
    <w:rsid w:val="00A97B61"/>
    <w:rsid w:val="00A97C2E"/>
    <w:rsid w:val="00A97CE3"/>
    <w:rsid w:val="00A97E0C"/>
    <w:rsid w:val="00AA01DA"/>
    <w:rsid w:val="00AA11BA"/>
    <w:rsid w:val="00AA2D62"/>
    <w:rsid w:val="00AA2E2C"/>
    <w:rsid w:val="00AA2E90"/>
    <w:rsid w:val="00AA3077"/>
    <w:rsid w:val="00AA375B"/>
    <w:rsid w:val="00AA38AF"/>
    <w:rsid w:val="00AA450C"/>
    <w:rsid w:val="00AA4B62"/>
    <w:rsid w:val="00AA5EB3"/>
    <w:rsid w:val="00AA6916"/>
    <w:rsid w:val="00AB040A"/>
    <w:rsid w:val="00AB110E"/>
    <w:rsid w:val="00AB11CF"/>
    <w:rsid w:val="00AB1287"/>
    <w:rsid w:val="00AB1CE8"/>
    <w:rsid w:val="00AB2F06"/>
    <w:rsid w:val="00AB4FFF"/>
    <w:rsid w:val="00AB5190"/>
    <w:rsid w:val="00AB5513"/>
    <w:rsid w:val="00AB6070"/>
    <w:rsid w:val="00AB6DFC"/>
    <w:rsid w:val="00AB7354"/>
    <w:rsid w:val="00AB7C46"/>
    <w:rsid w:val="00AB7DD5"/>
    <w:rsid w:val="00AC3637"/>
    <w:rsid w:val="00AC3D4F"/>
    <w:rsid w:val="00AC3DB7"/>
    <w:rsid w:val="00AC4699"/>
    <w:rsid w:val="00AC5650"/>
    <w:rsid w:val="00AC59DF"/>
    <w:rsid w:val="00AC72C7"/>
    <w:rsid w:val="00AC7899"/>
    <w:rsid w:val="00AD0EB2"/>
    <w:rsid w:val="00AD13D6"/>
    <w:rsid w:val="00AD4087"/>
    <w:rsid w:val="00AD6A21"/>
    <w:rsid w:val="00AD6BE0"/>
    <w:rsid w:val="00AD752F"/>
    <w:rsid w:val="00AE0C8D"/>
    <w:rsid w:val="00AE0E2A"/>
    <w:rsid w:val="00AE1411"/>
    <w:rsid w:val="00AE19B4"/>
    <w:rsid w:val="00AE2330"/>
    <w:rsid w:val="00AE55BC"/>
    <w:rsid w:val="00AE62E7"/>
    <w:rsid w:val="00AE686D"/>
    <w:rsid w:val="00AE6B27"/>
    <w:rsid w:val="00AF0DC0"/>
    <w:rsid w:val="00AF0F96"/>
    <w:rsid w:val="00AF21D7"/>
    <w:rsid w:val="00AF28EB"/>
    <w:rsid w:val="00AF2E05"/>
    <w:rsid w:val="00AF31BA"/>
    <w:rsid w:val="00AF36B6"/>
    <w:rsid w:val="00AF4803"/>
    <w:rsid w:val="00AF4D10"/>
    <w:rsid w:val="00AF58CB"/>
    <w:rsid w:val="00AF5D0E"/>
    <w:rsid w:val="00AF726F"/>
    <w:rsid w:val="00B00506"/>
    <w:rsid w:val="00B00ED5"/>
    <w:rsid w:val="00B0128C"/>
    <w:rsid w:val="00B02315"/>
    <w:rsid w:val="00B02BF0"/>
    <w:rsid w:val="00B034DD"/>
    <w:rsid w:val="00B03AB4"/>
    <w:rsid w:val="00B05B91"/>
    <w:rsid w:val="00B06ED4"/>
    <w:rsid w:val="00B077CC"/>
    <w:rsid w:val="00B07A28"/>
    <w:rsid w:val="00B102E7"/>
    <w:rsid w:val="00B12A63"/>
    <w:rsid w:val="00B13397"/>
    <w:rsid w:val="00B1400D"/>
    <w:rsid w:val="00B147C9"/>
    <w:rsid w:val="00B15BB2"/>
    <w:rsid w:val="00B16EBE"/>
    <w:rsid w:val="00B20E3B"/>
    <w:rsid w:val="00B21D0E"/>
    <w:rsid w:val="00B22C57"/>
    <w:rsid w:val="00B23C76"/>
    <w:rsid w:val="00B23EEE"/>
    <w:rsid w:val="00B27298"/>
    <w:rsid w:val="00B27384"/>
    <w:rsid w:val="00B276E4"/>
    <w:rsid w:val="00B27A6D"/>
    <w:rsid w:val="00B309F9"/>
    <w:rsid w:val="00B30DAD"/>
    <w:rsid w:val="00B31782"/>
    <w:rsid w:val="00B360B7"/>
    <w:rsid w:val="00B36928"/>
    <w:rsid w:val="00B37293"/>
    <w:rsid w:val="00B4076A"/>
    <w:rsid w:val="00B413EB"/>
    <w:rsid w:val="00B42C20"/>
    <w:rsid w:val="00B43287"/>
    <w:rsid w:val="00B43864"/>
    <w:rsid w:val="00B43AD9"/>
    <w:rsid w:val="00B443D5"/>
    <w:rsid w:val="00B44482"/>
    <w:rsid w:val="00B450D9"/>
    <w:rsid w:val="00B45CE8"/>
    <w:rsid w:val="00B46FF2"/>
    <w:rsid w:val="00B51068"/>
    <w:rsid w:val="00B51B75"/>
    <w:rsid w:val="00B52AD3"/>
    <w:rsid w:val="00B539EB"/>
    <w:rsid w:val="00B54B76"/>
    <w:rsid w:val="00B55ECC"/>
    <w:rsid w:val="00B560E5"/>
    <w:rsid w:val="00B576E1"/>
    <w:rsid w:val="00B6088D"/>
    <w:rsid w:val="00B608F1"/>
    <w:rsid w:val="00B60F79"/>
    <w:rsid w:val="00B6252C"/>
    <w:rsid w:val="00B62CBE"/>
    <w:rsid w:val="00B62EFD"/>
    <w:rsid w:val="00B63999"/>
    <w:rsid w:val="00B63B4A"/>
    <w:rsid w:val="00B63E1F"/>
    <w:rsid w:val="00B641C5"/>
    <w:rsid w:val="00B64F8D"/>
    <w:rsid w:val="00B6533C"/>
    <w:rsid w:val="00B6731A"/>
    <w:rsid w:val="00B673CA"/>
    <w:rsid w:val="00B70903"/>
    <w:rsid w:val="00B7108D"/>
    <w:rsid w:val="00B7117A"/>
    <w:rsid w:val="00B713F0"/>
    <w:rsid w:val="00B72053"/>
    <w:rsid w:val="00B73BEF"/>
    <w:rsid w:val="00B74530"/>
    <w:rsid w:val="00B7456A"/>
    <w:rsid w:val="00B74E4D"/>
    <w:rsid w:val="00B75D3F"/>
    <w:rsid w:val="00B75D4C"/>
    <w:rsid w:val="00B76F2C"/>
    <w:rsid w:val="00B77723"/>
    <w:rsid w:val="00B77863"/>
    <w:rsid w:val="00B801AC"/>
    <w:rsid w:val="00B815D3"/>
    <w:rsid w:val="00B8270D"/>
    <w:rsid w:val="00B82B33"/>
    <w:rsid w:val="00B8384C"/>
    <w:rsid w:val="00B843A1"/>
    <w:rsid w:val="00B854BE"/>
    <w:rsid w:val="00B85704"/>
    <w:rsid w:val="00B866BF"/>
    <w:rsid w:val="00B868D6"/>
    <w:rsid w:val="00B86D0A"/>
    <w:rsid w:val="00B8748B"/>
    <w:rsid w:val="00B87B3F"/>
    <w:rsid w:val="00B91818"/>
    <w:rsid w:val="00B922D6"/>
    <w:rsid w:val="00B93E18"/>
    <w:rsid w:val="00B93E2C"/>
    <w:rsid w:val="00B94BE5"/>
    <w:rsid w:val="00B96069"/>
    <w:rsid w:val="00BA0A76"/>
    <w:rsid w:val="00BA11A9"/>
    <w:rsid w:val="00BA1642"/>
    <w:rsid w:val="00BA30C2"/>
    <w:rsid w:val="00BA31C6"/>
    <w:rsid w:val="00BA4B0A"/>
    <w:rsid w:val="00BA4FE7"/>
    <w:rsid w:val="00BA699B"/>
    <w:rsid w:val="00BA76AB"/>
    <w:rsid w:val="00BB0225"/>
    <w:rsid w:val="00BB0423"/>
    <w:rsid w:val="00BB0C2E"/>
    <w:rsid w:val="00BB1D73"/>
    <w:rsid w:val="00BB2CE4"/>
    <w:rsid w:val="00BB2D1B"/>
    <w:rsid w:val="00BB42D2"/>
    <w:rsid w:val="00BB6ECF"/>
    <w:rsid w:val="00BB74B3"/>
    <w:rsid w:val="00BB777A"/>
    <w:rsid w:val="00BC06FE"/>
    <w:rsid w:val="00BC1765"/>
    <w:rsid w:val="00BC1FD6"/>
    <w:rsid w:val="00BC25D7"/>
    <w:rsid w:val="00BC320C"/>
    <w:rsid w:val="00BC4883"/>
    <w:rsid w:val="00BC5454"/>
    <w:rsid w:val="00BC5F7F"/>
    <w:rsid w:val="00BC74EE"/>
    <w:rsid w:val="00BC777E"/>
    <w:rsid w:val="00BD219A"/>
    <w:rsid w:val="00BD2C42"/>
    <w:rsid w:val="00BD2EF9"/>
    <w:rsid w:val="00BD2F1D"/>
    <w:rsid w:val="00BD3997"/>
    <w:rsid w:val="00BD5D7E"/>
    <w:rsid w:val="00BD6EF9"/>
    <w:rsid w:val="00BD754C"/>
    <w:rsid w:val="00BD78C6"/>
    <w:rsid w:val="00BE01E1"/>
    <w:rsid w:val="00BE07A5"/>
    <w:rsid w:val="00BE15DA"/>
    <w:rsid w:val="00BE19AD"/>
    <w:rsid w:val="00BE369C"/>
    <w:rsid w:val="00BE4FBC"/>
    <w:rsid w:val="00BE5B7C"/>
    <w:rsid w:val="00BE72FD"/>
    <w:rsid w:val="00BE733C"/>
    <w:rsid w:val="00BE73D4"/>
    <w:rsid w:val="00BE7AF2"/>
    <w:rsid w:val="00BF1EF8"/>
    <w:rsid w:val="00BF25A9"/>
    <w:rsid w:val="00BF2DE5"/>
    <w:rsid w:val="00BF3A17"/>
    <w:rsid w:val="00BF4429"/>
    <w:rsid w:val="00BF4C49"/>
    <w:rsid w:val="00BF4D1A"/>
    <w:rsid w:val="00BF5168"/>
    <w:rsid w:val="00BF51C9"/>
    <w:rsid w:val="00BF5A5B"/>
    <w:rsid w:val="00BF6338"/>
    <w:rsid w:val="00BF6D56"/>
    <w:rsid w:val="00C00D03"/>
    <w:rsid w:val="00C00D9C"/>
    <w:rsid w:val="00C01DFC"/>
    <w:rsid w:val="00C0270E"/>
    <w:rsid w:val="00C0282B"/>
    <w:rsid w:val="00C03262"/>
    <w:rsid w:val="00C047A4"/>
    <w:rsid w:val="00C05013"/>
    <w:rsid w:val="00C06787"/>
    <w:rsid w:val="00C067E0"/>
    <w:rsid w:val="00C0773D"/>
    <w:rsid w:val="00C1025D"/>
    <w:rsid w:val="00C11733"/>
    <w:rsid w:val="00C12CC1"/>
    <w:rsid w:val="00C12D93"/>
    <w:rsid w:val="00C12EE2"/>
    <w:rsid w:val="00C12EE5"/>
    <w:rsid w:val="00C1324B"/>
    <w:rsid w:val="00C139DE"/>
    <w:rsid w:val="00C13B55"/>
    <w:rsid w:val="00C13CB8"/>
    <w:rsid w:val="00C151CE"/>
    <w:rsid w:val="00C15BBB"/>
    <w:rsid w:val="00C2092E"/>
    <w:rsid w:val="00C20F37"/>
    <w:rsid w:val="00C213FD"/>
    <w:rsid w:val="00C21C42"/>
    <w:rsid w:val="00C23520"/>
    <w:rsid w:val="00C24AE3"/>
    <w:rsid w:val="00C25082"/>
    <w:rsid w:val="00C2570A"/>
    <w:rsid w:val="00C265D4"/>
    <w:rsid w:val="00C26DC6"/>
    <w:rsid w:val="00C27447"/>
    <w:rsid w:val="00C275FC"/>
    <w:rsid w:val="00C30615"/>
    <w:rsid w:val="00C30715"/>
    <w:rsid w:val="00C30D84"/>
    <w:rsid w:val="00C3131B"/>
    <w:rsid w:val="00C317A7"/>
    <w:rsid w:val="00C33614"/>
    <w:rsid w:val="00C33AEC"/>
    <w:rsid w:val="00C357CB"/>
    <w:rsid w:val="00C35C8E"/>
    <w:rsid w:val="00C36B1D"/>
    <w:rsid w:val="00C3742C"/>
    <w:rsid w:val="00C410D2"/>
    <w:rsid w:val="00C41363"/>
    <w:rsid w:val="00C42A78"/>
    <w:rsid w:val="00C437D6"/>
    <w:rsid w:val="00C4601D"/>
    <w:rsid w:val="00C509D2"/>
    <w:rsid w:val="00C51CCA"/>
    <w:rsid w:val="00C53131"/>
    <w:rsid w:val="00C54473"/>
    <w:rsid w:val="00C54789"/>
    <w:rsid w:val="00C54C61"/>
    <w:rsid w:val="00C55945"/>
    <w:rsid w:val="00C55D94"/>
    <w:rsid w:val="00C55DCB"/>
    <w:rsid w:val="00C55FBB"/>
    <w:rsid w:val="00C57582"/>
    <w:rsid w:val="00C608EF"/>
    <w:rsid w:val="00C60D60"/>
    <w:rsid w:val="00C612BB"/>
    <w:rsid w:val="00C612BF"/>
    <w:rsid w:val="00C61338"/>
    <w:rsid w:val="00C6207E"/>
    <w:rsid w:val="00C6324D"/>
    <w:rsid w:val="00C64FAE"/>
    <w:rsid w:val="00C66344"/>
    <w:rsid w:val="00C66EDC"/>
    <w:rsid w:val="00C674F7"/>
    <w:rsid w:val="00C67D05"/>
    <w:rsid w:val="00C714EE"/>
    <w:rsid w:val="00C731E1"/>
    <w:rsid w:val="00C7443F"/>
    <w:rsid w:val="00C745D7"/>
    <w:rsid w:val="00C7702A"/>
    <w:rsid w:val="00C7732F"/>
    <w:rsid w:val="00C773C8"/>
    <w:rsid w:val="00C80A25"/>
    <w:rsid w:val="00C80E5E"/>
    <w:rsid w:val="00C82930"/>
    <w:rsid w:val="00C82C9E"/>
    <w:rsid w:val="00C841BF"/>
    <w:rsid w:val="00C8531E"/>
    <w:rsid w:val="00C85560"/>
    <w:rsid w:val="00C85A50"/>
    <w:rsid w:val="00C85B6C"/>
    <w:rsid w:val="00C85ECE"/>
    <w:rsid w:val="00C86BFE"/>
    <w:rsid w:val="00C86D8A"/>
    <w:rsid w:val="00C86FF3"/>
    <w:rsid w:val="00C87E2F"/>
    <w:rsid w:val="00C900B0"/>
    <w:rsid w:val="00C9080B"/>
    <w:rsid w:val="00C90EA7"/>
    <w:rsid w:val="00C90EF9"/>
    <w:rsid w:val="00C9146C"/>
    <w:rsid w:val="00C91711"/>
    <w:rsid w:val="00C92931"/>
    <w:rsid w:val="00C92949"/>
    <w:rsid w:val="00C9312F"/>
    <w:rsid w:val="00C94499"/>
    <w:rsid w:val="00C9491A"/>
    <w:rsid w:val="00C94BE9"/>
    <w:rsid w:val="00C95DD7"/>
    <w:rsid w:val="00C95ED6"/>
    <w:rsid w:val="00C96BBB"/>
    <w:rsid w:val="00CA04D5"/>
    <w:rsid w:val="00CA1AC8"/>
    <w:rsid w:val="00CA1FB0"/>
    <w:rsid w:val="00CA24D1"/>
    <w:rsid w:val="00CA2AD9"/>
    <w:rsid w:val="00CA39CC"/>
    <w:rsid w:val="00CA403D"/>
    <w:rsid w:val="00CA4743"/>
    <w:rsid w:val="00CA57FE"/>
    <w:rsid w:val="00CA5FF6"/>
    <w:rsid w:val="00CA6F32"/>
    <w:rsid w:val="00CA735E"/>
    <w:rsid w:val="00CB01B1"/>
    <w:rsid w:val="00CB0556"/>
    <w:rsid w:val="00CB138F"/>
    <w:rsid w:val="00CB13CF"/>
    <w:rsid w:val="00CB13E0"/>
    <w:rsid w:val="00CB2F02"/>
    <w:rsid w:val="00CB44CC"/>
    <w:rsid w:val="00CB4522"/>
    <w:rsid w:val="00CB76B8"/>
    <w:rsid w:val="00CB7703"/>
    <w:rsid w:val="00CB77EE"/>
    <w:rsid w:val="00CB783B"/>
    <w:rsid w:val="00CB7AE2"/>
    <w:rsid w:val="00CC1C1E"/>
    <w:rsid w:val="00CC2611"/>
    <w:rsid w:val="00CC2803"/>
    <w:rsid w:val="00CC295E"/>
    <w:rsid w:val="00CC48D6"/>
    <w:rsid w:val="00CC544C"/>
    <w:rsid w:val="00CC559E"/>
    <w:rsid w:val="00CC707F"/>
    <w:rsid w:val="00CC708A"/>
    <w:rsid w:val="00CC79CD"/>
    <w:rsid w:val="00CD0365"/>
    <w:rsid w:val="00CD1447"/>
    <w:rsid w:val="00CD1841"/>
    <w:rsid w:val="00CD1BF1"/>
    <w:rsid w:val="00CD1D2E"/>
    <w:rsid w:val="00CD27CD"/>
    <w:rsid w:val="00CD4BF8"/>
    <w:rsid w:val="00CD52CD"/>
    <w:rsid w:val="00CD652E"/>
    <w:rsid w:val="00CD68DD"/>
    <w:rsid w:val="00CD7B8B"/>
    <w:rsid w:val="00CE01F8"/>
    <w:rsid w:val="00CE24B9"/>
    <w:rsid w:val="00CE2B04"/>
    <w:rsid w:val="00CE3E18"/>
    <w:rsid w:val="00CE3E8B"/>
    <w:rsid w:val="00CE47DC"/>
    <w:rsid w:val="00CE5298"/>
    <w:rsid w:val="00CE5322"/>
    <w:rsid w:val="00CE58EB"/>
    <w:rsid w:val="00CE705F"/>
    <w:rsid w:val="00CF0041"/>
    <w:rsid w:val="00CF0D4B"/>
    <w:rsid w:val="00CF2605"/>
    <w:rsid w:val="00CF2804"/>
    <w:rsid w:val="00CF35B2"/>
    <w:rsid w:val="00CF36C4"/>
    <w:rsid w:val="00CF38D4"/>
    <w:rsid w:val="00CF5C07"/>
    <w:rsid w:val="00CF5CFC"/>
    <w:rsid w:val="00D00AF5"/>
    <w:rsid w:val="00D00E75"/>
    <w:rsid w:val="00D00EE2"/>
    <w:rsid w:val="00D01917"/>
    <w:rsid w:val="00D01EBC"/>
    <w:rsid w:val="00D03DE1"/>
    <w:rsid w:val="00D03EDD"/>
    <w:rsid w:val="00D03EEF"/>
    <w:rsid w:val="00D04F08"/>
    <w:rsid w:val="00D050BB"/>
    <w:rsid w:val="00D07010"/>
    <w:rsid w:val="00D07087"/>
    <w:rsid w:val="00D07A1B"/>
    <w:rsid w:val="00D07E2A"/>
    <w:rsid w:val="00D11666"/>
    <w:rsid w:val="00D11D07"/>
    <w:rsid w:val="00D138F2"/>
    <w:rsid w:val="00D1489F"/>
    <w:rsid w:val="00D159F8"/>
    <w:rsid w:val="00D15DD2"/>
    <w:rsid w:val="00D16E55"/>
    <w:rsid w:val="00D16ECF"/>
    <w:rsid w:val="00D17564"/>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BD"/>
    <w:rsid w:val="00D34305"/>
    <w:rsid w:val="00D34E83"/>
    <w:rsid w:val="00D35189"/>
    <w:rsid w:val="00D352D0"/>
    <w:rsid w:val="00D37354"/>
    <w:rsid w:val="00D404B1"/>
    <w:rsid w:val="00D4104F"/>
    <w:rsid w:val="00D43988"/>
    <w:rsid w:val="00D46890"/>
    <w:rsid w:val="00D4707E"/>
    <w:rsid w:val="00D47238"/>
    <w:rsid w:val="00D4762C"/>
    <w:rsid w:val="00D47867"/>
    <w:rsid w:val="00D47EAF"/>
    <w:rsid w:val="00D50B2A"/>
    <w:rsid w:val="00D5144A"/>
    <w:rsid w:val="00D51517"/>
    <w:rsid w:val="00D52D7F"/>
    <w:rsid w:val="00D53034"/>
    <w:rsid w:val="00D541A8"/>
    <w:rsid w:val="00D55A05"/>
    <w:rsid w:val="00D562A8"/>
    <w:rsid w:val="00D61A9F"/>
    <w:rsid w:val="00D61EDD"/>
    <w:rsid w:val="00D628AF"/>
    <w:rsid w:val="00D6294B"/>
    <w:rsid w:val="00D654F8"/>
    <w:rsid w:val="00D65EE0"/>
    <w:rsid w:val="00D66697"/>
    <w:rsid w:val="00D676B3"/>
    <w:rsid w:val="00D6787A"/>
    <w:rsid w:val="00D67ACA"/>
    <w:rsid w:val="00D67F69"/>
    <w:rsid w:val="00D71103"/>
    <w:rsid w:val="00D71213"/>
    <w:rsid w:val="00D713E4"/>
    <w:rsid w:val="00D72FAD"/>
    <w:rsid w:val="00D7314F"/>
    <w:rsid w:val="00D73259"/>
    <w:rsid w:val="00D732D3"/>
    <w:rsid w:val="00D73678"/>
    <w:rsid w:val="00D73AF1"/>
    <w:rsid w:val="00D73E64"/>
    <w:rsid w:val="00D74504"/>
    <w:rsid w:val="00D74639"/>
    <w:rsid w:val="00D74926"/>
    <w:rsid w:val="00D75407"/>
    <w:rsid w:val="00D75449"/>
    <w:rsid w:val="00D770D5"/>
    <w:rsid w:val="00D809B7"/>
    <w:rsid w:val="00D812A9"/>
    <w:rsid w:val="00D813B0"/>
    <w:rsid w:val="00D8141C"/>
    <w:rsid w:val="00D81A57"/>
    <w:rsid w:val="00D81A98"/>
    <w:rsid w:val="00D8269A"/>
    <w:rsid w:val="00D82962"/>
    <w:rsid w:val="00D82A4C"/>
    <w:rsid w:val="00D83A65"/>
    <w:rsid w:val="00D846CF"/>
    <w:rsid w:val="00D84999"/>
    <w:rsid w:val="00D85683"/>
    <w:rsid w:val="00D86D21"/>
    <w:rsid w:val="00D8772B"/>
    <w:rsid w:val="00D90824"/>
    <w:rsid w:val="00D90F8A"/>
    <w:rsid w:val="00D91621"/>
    <w:rsid w:val="00D9180B"/>
    <w:rsid w:val="00D925BC"/>
    <w:rsid w:val="00D9323B"/>
    <w:rsid w:val="00D94EB6"/>
    <w:rsid w:val="00D95111"/>
    <w:rsid w:val="00D954B6"/>
    <w:rsid w:val="00D9553A"/>
    <w:rsid w:val="00D958D2"/>
    <w:rsid w:val="00D95C5C"/>
    <w:rsid w:val="00D96B91"/>
    <w:rsid w:val="00D9740F"/>
    <w:rsid w:val="00D97545"/>
    <w:rsid w:val="00D9787B"/>
    <w:rsid w:val="00D97BA1"/>
    <w:rsid w:val="00DA09FC"/>
    <w:rsid w:val="00DA16AA"/>
    <w:rsid w:val="00DA1C4A"/>
    <w:rsid w:val="00DA28A7"/>
    <w:rsid w:val="00DA2BB0"/>
    <w:rsid w:val="00DA2FCA"/>
    <w:rsid w:val="00DA348E"/>
    <w:rsid w:val="00DA373A"/>
    <w:rsid w:val="00DA59D2"/>
    <w:rsid w:val="00DA5A9C"/>
    <w:rsid w:val="00DA5F60"/>
    <w:rsid w:val="00DA6E9D"/>
    <w:rsid w:val="00DA6FF3"/>
    <w:rsid w:val="00DB0066"/>
    <w:rsid w:val="00DB0A67"/>
    <w:rsid w:val="00DB0F33"/>
    <w:rsid w:val="00DB1595"/>
    <w:rsid w:val="00DB297D"/>
    <w:rsid w:val="00DB2B7E"/>
    <w:rsid w:val="00DB2BA7"/>
    <w:rsid w:val="00DB2F6C"/>
    <w:rsid w:val="00DB345D"/>
    <w:rsid w:val="00DB5719"/>
    <w:rsid w:val="00DB624E"/>
    <w:rsid w:val="00DB7C6B"/>
    <w:rsid w:val="00DC02EA"/>
    <w:rsid w:val="00DC1309"/>
    <w:rsid w:val="00DC16F9"/>
    <w:rsid w:val="00DC1CA6"/>
    <w:rsid w:val="00DC20CF"/>
    <w:rsid w:val="00DC3472"/>
    <w:rsid w:val="00DC4B44"/>
    <w:rsid w:val="00DC5C38"/>
    <w:rsid w:val="00DC61A3"/>
    <w:rsid w:val="00DC76E7"/>
    <w:rsid w:val="00DC7E69"/>
    <w:rsid w:val="00DD0467"/>
    <w:rsid w:val="00DD15EF"/>
    <w:rsid w:val="00DD1738"/>
    <w:rsid w:val="00DD190E"/>
    <w:rsid w:val="00DD3316"/>
    <w:rsid w:val="00DD3E02"/>
    <w:rsid w:val="00DD45AF"/>
    <w:rsid w:val="00DD5654"/>
    <w:rsid w:val="00DD5E57"/>
    <w:rsid w:val="00DD60E3"/>
    <w:rsid w:val="00DD7F9B"/>
    <w:rsid w:val="00DE1C74"/>
    <w:rsid w:val="00DE3385"/>
    <w:rsid w:val="00DE3CA1"/>
    <w:rsid w:val="00DE4007"/>
    <w:rsid w:val="00DE4638"/>
    <w:rsid w:val="00DE4651"/>
    <w:rsid w:val="00DE534A"/>
    <w:rsid w:val="00DE55FD"/>
    <w:rsid w:val="00DE60A8"/>
    <w:rsid w:val="00DE7265"/>
    <w:rsid w:val="00DE7525"/>
    <w:rsid w:val="00DE7C1C"/>
    <w:rsid w:val="00DF0111"/>
    <w:rsid w:val="00DF01E6"/>
    <w:rsid w:val="00DF2247"/>
    <w:rsid w:val="00DF2353"/>
    <w:rsid w:val="00DF3AB2"/>
    <w:rsid w:val="00DF4116"/>
    <w:rsid w:val="00DF5129"/>
    <w:rsid w:val="00DF5784"/>
    <w:rsid w:val="00DF58B8"/>
    <w:rsid w:val="00DF5FF8"/>
    <w:rsid w:val="00DF60B8"/>
    <w:rsid w:val="00DF6EE5"/>
    <w:rsid w:val="00E0077B"/>
    <w:rsid w:val="00E00898"/>
    <w:rsid w:val="00E03634"/>
    <w:rsid w:val="00E050B6"/>
    <w:rsid w:val="00E0557E"/>
    <w:rsid w:val="00E05D14"/>
    <w:rsid w:val="00E0628E"/>
    <w:rsid w:val="00E06460"/>
    <w:rsid w:val="00E073CF"/>
    <w:rsid w:val="00E07997"/>
    <w:rsid w:val="00E07A6A"/>
    <w:rsid w:val="00E07EB8"/>
    <w:rsid w:val="00E107B2"/>
    <w:rsid w:val="00E10EB1"/>
    <w:rsid w:val="00E114CF"/>
    <w:rsid w:val="00E120E4"/>
    <w:rsid w:val="00E13636"/>
    <w:rsid w:val="00E149F4"/>
    <w:rsid w:val="00E17F53"/>
    <w:rsid w:val="00E20354"/>
    <w:rsid w:val="00E207DB"/>
    <w:rsid w:val="00E20B34"/>
    <w:rsid w:val="00E21F5A"/>
    <w:rsid w:val="00E221D8"/>
    <w:rsid w:val="00E23BDA"/>
    <w:rsid w:val="00E25124"/>
    <w:rsid w:val="00E261F8"/>
    <w:rsid w:val="00E26E25"/>
    <w:rsid w:val="00E27DF3"/>
    <w:rsid w:val="00E3110A"/>
    <w:rsid w:val="00E319DC"/>
    <w:rsid w:val="00E324AD"/>
    <w:rsid w:val="00E3342D"/>
    <w:rsid w:val="00E33683"/>
    <w:rsid w:val="00E33734"/>
    <w:rsid w:val="00E34AA9"/>
    <w:rsid w:val="00E36A4F"/>
    <w:rsid w:val="00E376C4"/>
    <w:rsid w:val="00E37D5F"/>
    <w:rsid w:val="00E429A0"/>
    <w:rsid w:val="00E42D39"/>
    <w:rsid w:val="00E44CD4"/>
    <w:rsid w:val="00E45B91"/>
    <w:rsid w:val="00E46804"/>
    <w:rsid w:val="00E46C57"/>
    <w:rsid w:val="00E513EE"/>
    <w:rsid w:val="00E5176B"/>
    <w:rsid w:val="00E527C9"/>
    <w:rsid w:val="00E528BA"/>
    <w:rsid w:val="00E52A91"/>
    <w:rsid w:val="00E53497"/>
    <w:rsid w:val="00E534DF"/>
    <w:rsid w:val="00E55A50"/>
    <w:rsid w:val="00E565C2"/>
    <w:rsid w:val="00E56C9D"/>
    <w:rsid w:val="00E5723E"/>
    <w:rsid w:val="00E57362"/>
    <w:rsid w:val="00E60269"/>
    <w:rsid w:val="00E60887"/>
    <w:rsid w:val="00E60C32"/>
    <w:rsid w:val="00E61619"/>
    <w:rsid w:val="00E61E25"/>
    <w:rsid w:val="00E6272B"/>
    <w:rsid w:val="00E627F6"/>
    <w:rsid w:val="00E62F1A"/>
    <w:rsid w:val="00E63F1D"/>
    <w:rsid w:val="00E646D5"/>
    <w:rsid w:val="00E64BB7"/>
    <w:rsid w:val="00E64EEE"/>
    <w:rsid w:val="00E66F49"/>
    <w:rsid w:val="00E721A9"/>
    <w:rsid w:val="00E73549"/>
    <w:rsid w:val="00E73AFE"/>
    <w:rsid w:val="00E7484F"/>
    <w:rsid w:val="00E74861"/>
    <w:rsid w:val="00E74B50"/>
    <w:rsid w:val="00E74EC9"/>
    <w:rsid w:val="00E75733"/>
    <w:rsid w:val="00E75A9D"/>
    <w:rsid w:val="00E77754"/>
    <w:rsid w:val="00E80CF7"/>
    <w:rsid w:val="00E80FB4"/>
    <w:rsid w:val="00E81B8E"/>
    <w:rsid w:val="00E81ED7"/>
    <w:rsid w:val="00E8369B"/>
    <w:rsid w:val="00E8377F"/>
    <w:rsid w:val="00E83850"/>
    <w:rsid w:val="00E85244"/>
    <w:rsid w:val="00E856E5"/>
    <w:rsid w:val="00E85A96"/>
    <w:rsid w:val="00E86159"/>
    <w:rsid w:val="00E86741"/>
    <w:rsid w:val="00E87AE4"/>
    <w:rsid w:val="00E90C1F"/>
    <w:rsid w:val="00E9124A"/>
    <w:rsid w:val="00E9222C"/>
    <w:rsid w:val="00E9296D"/>
    <w:rsid w:val="00E92AA5"/>
    <w:rsid w:val="00E94509"/>
    <w:rsid w:val="00E9558B"/>
    <w:rsid w:val="00E95D1B"/>
    <w:rsid w:val="00E969A4"/>
    <w:rsid w:val="00E9735C"/>
    <w:rsid w:val="00EA234B"/>
    <w:rsid w:val="00EA274B"/>
    <w:rsid w:val="00EA2EFA"/>
    <w:rsid w:val="00EA3184"/>
    <w:rsid w:val="00EA3732"/>
    <w:rsid w:val="00EA3CDD"/>
    <w:rsid w:val="00EA4124"/>
    <w:rsid w:val="00EA5028"/>
    <w:rsid w:val="00EA50D6"/>
    <w:rsid w:val="00EA5714"/>
    <w:rsid w:val="00EA5E70"/>
    <w:rsid w:val="00EA60EF"/>
    <w:rsid w:val="00EA6A30"/>
    <w:rsid w:val="00EA6A41"/>
    <w:rsid w:val="00EA7662"/>
    <w:rsid w:val="00EA7CC3"/>
    <w:rsid w:val="00EB016F"/>
    <w:rsid w:val="00EB04F4"/>
    <w:rsid w:val="00EB05E3"/>
    <w:rsid w:val="00EB2216"/>
    <w:rsid w:val="00EB27D1"/>
    <w:rsid w:val="00EB33F4"/>
    <w:rsid w:val="00EB3B9C"/>
    <w:rsid w:val="00EB4C04"/>
    <w:rsid w:val="00EB6502"/>
    <w:rsid w:val="00EB7D9C"/>
    <w:rsid w:val="00EC1406"/>
    <w:rsid w:val="00EC1526"/>
    <w:rsid w:val="00EC23F3"/>
    <w:rsid w:val="00EC2677"/>
    <w:rsid w:val="00EC2AB5"/>
    <w:rsid w:val="00EC36F2"/>
    <w:rsid w:val="00EC4B79"/>
    <w:rsid w:val="00EC4F33"/>
    <w:rsid w:val="00EC7E82"/>
    <w:rsid w:val="00ED0B81"/>
    <w:rsid w:val="00ED19B3"/>
    <w:rsid w:val="00ED1A64"/>
    <w:rsid w:val="00ED28DD"/>
    <w:rsid w:val="00ED421C"/>
    <w:rsid w:val="00ED43A6"/>
    <w:rsid w:val="00ED502A"/>
    <w:rsid w:val="00ED69B3"/>
    <w:rsid w:val="00ED6FB9"/>
    <w:rsid w:val="00ED7371"/>
    <w:rsid w:val="00ED7E2F"/>
    <w:rsid w:val="00ED7EA8"/>
    <w:rsid w:val="00EE1313"/>
    <w:rsid w:val="00EE2126"/>
    <w:rsid w:val="00EE3363"/>
    <w:rsid w:val="00EE3F3C"/>
    <w:rsid w:val="00EE4C7E"/>
    <w:rsid w:val="00EE5467"/>
    <w:rsid w:val="00EE556D"/>
    <w:rsid w:val="00EE60A2"/>
    <w:rsid w:val="00EE6184"/>
    <w:rsid w:val="00EE679C"/>
    <w:rsid w:val="00EE7A2C"/>
    <w:rsid w:val="00EF06D3"/>
    <w:rsid w:val="00EF09D3"/>
    <w:rsid w:val="00EF108A"/>
    <w:rsid w:val="00EF1240"/>
    <w:rsid w:val="00EF1F75"/>
    <w:rsid w:val="00EF2240"/>
    <w:rsid w:val="00EF2632"/>
    <w:rsid w:val="00EF3069"/>
    <w:rsid w:val="00EF31A5"/>
    <w:rsid w:val="00EF3742"/>
    <w:rsid w:val="00EF3ADA"/>
    <w:rsid w:val="00EF3EB5"/>
    <w:rsid w:val="00EF57B9"/>
    <w:rsid w:val="00EF57DF"/>
    <w:rsid w:val="00EF632B"/>
    <w:rsid w:val="00EF6556"/>
    <w:rsid w:val="00EF689A"/>
    <w:rsid w:val="00F02BAD"/>
    <w:rsid w:val="00F0319D"/>
    <w:rsid w:val="00F07890"/>
    <w:rsid w:val="00F07B03"/>
    <w:rsid w:val="00F11635"/>
    <w:rsid w:val="00F12D86"/>
    <w:rsid w:val="00F131AA"/>
    <w:rsid w:val="00F131FD"/>
    <w:rsid w:val="00F1350B"/>
    <w:rsid w:val="00F13B05"/>
    <w:rsid w:val="00F13B5A"/>
    <w:rsid w:val="00F13EED"/>
    <w:rsid w:val="00F15AF2"/>
    <w:rsid w:val="00F21290"/>
    <w:rsid w:val="00F2299F"/>
    <w:rsid w:val="00F231F0"/>
    <w:rsid w:val="00F23EED"/>
    <w:rsid w:val="00F24787"/>
    <w:rsid w:val="00F259A5"/>
    <w:rsid w:val="00F263E5"/>
    <w:rsid w:val="00F301E0"/>
    <w:rsid w:val="00F307CC"/>
    <w:rsid w:val="00F30BBA"/>
    <w:rsid w:val="00F31630"/>
    <w:rsid w:val="00F31A8F"/>
    <w:rsid w:val="00F320C0"/>
    <w:rsid w:val="00F32D63"/>
    <w:rsid w:val="00F34012"/>
    <w:rsid w:val="00F343A3"/>
    <w:rsid w:val="00F34C99"/>
    <w:rsid w:val="00F3531A"/>
    <w:rsid w:val="00F41DB0"/>
    <w:rsid w:val="00F439BB"/>
    <w:rsid w:val="00F43CEB"/>
    <w:rsid w:val="00F449D7"/>
    <w:rsid w:val="00F460C4"/>
    <w:rsid w:val="00F461AE"/>
    <w:rsid w:val="00F467F9"/>
    <w:rsid w:val="00F47426"/>
    <w:rsid w:val="00F5184D"/>
    <w:rsid w:val="00F51B88"/>
    <w:rsid w:val="00F51CB2"/>
    <w:rsid w:val="00F534D3"/>
    <w:rsid w:val="00F5421D"/>
    <w:rsid w:val="00F55022"/>
    <w:rsid w:val="00F55184"/>
    <w:rsid w:val="00F5704A"/>
    <w:rsid w:val="00F60DF3"/>
    <w:rsid w:val="00F62057"/>
    <w:rsid w:val="00F62597"/>
    <w:rsid w:val="00F6264B"/>
    <w:rsid w:val="00F6290C"/>
    <w:rsid w:val="00F646C8"/>
    <w:rsid w:val="00F67988"/>
    <w:rsid w:val="00F67C01"/>
    <w:rsid w:val="00F70909"/>
    <w:rsid w:val="00F7114B"/>
    <w:rsid w:val="00F721EF"/>
    <w:rsid w:val="00F72AC2"/>
    <w:rsid w:val="00F72F17"/>
    <w:rsid w:val="00F73429"/>
    <w:rsid w:val="00F74168"/>
    <w:rsid w:val="00F742F1"/>
    <w:rsid w:val="00F7470C"/>
    <w:rsid w:val="00F74942"/>
    <w:rsid w:val="00F7534A"/>
    <w:rsid w:val="00F76037"/>
    <w:rsid w:val="00F761E0"/>
    <w:rsid w:val="00F76832"/>
    <w:rsid w:val="00F76B53"/>
    <w:rsid w:val="00F76DA6"/>
    <w:rsid w:val="00F7761D"/>
    <w:rsid w:val="00F77724"/>
    <w:rsid w:val="00F77839"/>
    <w:rsid w:val="00F77AF3"/>
    <w:rsid w:val="00F77CE6"/>
    <w:rsid w:val="00F77DD1"/>
    <w:rsid w:val="00F8023F"/>
    <w:rsid w:val="00F8032A"/>
    <w:rsid w:val="00F8192F"/>
    <w:rsid w:val="00F81A48"/>
    <w:rsid w:val="00F82021"/>
    <w:rsid w:val="00F82080"/>
    <w:rsid w:val="00F82A7B"/>
    <w:rsid w:val="00F8476C"/>
    <w:rsid w:val="00F850A1"/>
    <w:rsid w:val="00F85CBD"/>
    <w:rsid w:val="00F87810"/>
    <w:rsid w:val="00F905B8"/>
    <w:rsid w:val="00F91164"/>
    <w:rsid w:val="00F91D47"/>
    <w:rsid w:val="00F92B0F"/>
    <w:rsid w:val="00F9354E"/>
    <w:rsid w:val="00F941FC"/>
    <w:rsid w:val="00F96D24"/>
    <w:rsid w:val="00F97093"/>
    <w:rsid w:val="00F97FF3"/>
    <w:rsid w:val="00FA0091"/>
    <w:rsid w:val="00FA1AA9"/>
    <w:rsid w:val="00FA2C8B"/>
    <w:rsid w:val="00FA3E0C"/>
    <w:rsid w:val="00FA4FBA"/>
    <w:rsid w:val="00FA5580"/>
    <w:rsid w:val="00FA655A"/>
    <w:rsid w:val="00FA69C3"/>
    <w:rsid w:val="00FA6AAC"/>
    <w:rsid w:val="00FA6CBC"/>
    <w:rsid w:val="00FA6D48"/>
    <w:rsid w:val="00FA7027"/>
    <w:rsid w:val="00FA7775"/>
    <w:rsid w:val="00FA7EC0"/>
    <w:rsid w:val="00FB0351"/>
    <w:rsid w:val="00FB1729"/>
    <w:rsid w:val="00FB30A2"/>
    <w:rsid w:val="00FC072E"/>
    <w:rsid w:val="00FC4323"/>
    <w:rsid w:val="00FC51AE"/>
    <w:rsid w:val="00FC550A"/>
    <w:rsid w:val="00FC551E"/>
    <w:rsid w:val="00FC5790"/>
    <w:rsid w:val="00FC6275"/>
    <w:rsid w:val="00FD039F"/>
    <w:rsid w:val="00FD053B"/>
    <w:rsid w:val="00FD0910"/>
    <w:rsid w:val="00FD0A92"/>
    <w:rsid w:val="00FD0AF0"/>
    <w:rsid w:val="00FD1234"/>
    <w:rsid w:val="00FD18F3"/>
    <w:rsid w:val="00FD194F"/>
    <w:rsid w:val="00FD1995"/>
    <w:rsid w:val="00FD2333"/>
    <w:rsid w:val="00FD25E1"/>
    <w:rsid w:val="00FD5688"/>
    <w:rsid w:val="00FD5725"/>
    <w:rsid w:val="00FD5E1C"/>
    <w:rsid w:val="00FD5F36"/>
    <w:rsid w:val="00FD7F6B"/>
    <w:rsid w:val="00FE0948"/>
    <w:rsid w:val="00FE1880"/>
    <w:rsid w:val="00FE3256"/>
    <w:rsid w:val="00FE3F8E"/>
    <w:rsid w:val="00FE445D"/>
    <w:rsid w:val="00FE47ED"/>
    <w:rsid w:val="00FE5101"/>
    <w:rsid w:val="00FE61DC"/>
    <w:rsid w:val="00FE67D0"/>
    <w:rsid w:val="00FE689B"/>
    <w:rsid w:val="00FE7081"/>
    <w:rsid w:val="00FE79CE"/>
    <w:rsid w:val="00FF06FA"/>
    <w:rsid w:val="00FF081E"/>
    <w:rsid w:val="00FF145C"/>
    <w:rsid w:val="00FF26EE"/>
    <w:rsid w:val="00FF28EC"/>
    <w:rsid w:val="00FF47A3"/>
    <w:rsid w:val="00FF4B3F"/>
    <w:rsid w:val="00FF4B43"/>
    <w:rsid w:val="00FF574F"/>
    <w:rsid w:val="05821997"/>
    <w:rsid w:val="090C7C1B"/>
    <w:rsid w:val="0C4C5587"/>
    <w:rsid w:val="0E6E6F80"/>
    <w:rsid w:val="0F3D1F19"/>
    <w:rsid w:val="23AA6A32"/>
    <w:rsid w:val="27365805"/>
    <w:rsid w:val="2C240F34"/>
    <w:rsid w:val="2C64115C"/>
    <w:rsid w:val="2D0B54A3"/>
    <w:rsid w:val="331445BC"/>
    <w:rsid w:val="33B67A9F"/>
    <w:rsid w:val="37BC44AD"/>
    <w:rsid w:val="3FB269C3"/>
    <w:rsid w:val="473745BA"/>
    <w:rsid w:val="53B57275"/>
    <w:rsid w:val="5AFD6C91"/>
    <w:rsid w:val="69D4537F"/>
    <w:rsid w:val="7FF2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eastAsia="黑体"/>
      <w:kern w:val="44"/>
      <w:szCs w:val="44"/>
    </w:rPr>
  </w:style>
  <w:style w:type="paragraph" w:styleId="2">
    <w:name w:val="heading 2"/>
    <w:basedOn w:val="30"/>
    <w:next w:val="4"/>
    <w:link w:val="2Char"/>
    <w:uiPriority w:val="9"/>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5"/>
    <w:link w:val="5Char"/>
    <w:qFormat/>
    <w:pPr>
      <w:keepNext/>
      <w:keepLines/>
      <w:spacing w:before="280" w:after="290" w:line="376" w:lineRule="auto"/>
      <w:outlineLvl w:val="4"/>
    </w:pPr>
    <w:rPr>
      <w:b/>
      <w:sz w:val="28"/>
      <w:szCs w:val="20"/>
    </w:rPr>
  </w:style>
  <w:style w:type="paragraph" w:styleId="6">
    <w:name w:val="heading 6"/>
    <w:basedOn w:val="a3"/>
    <w:next w:val="a5"/>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5"/>
    <w:link w:val="7Char"/>
    <w:qFormat/>
    <w:pPr>
      <w:keepNext/>
      <w:keepLines/>
      <w:spacing w:before="240" w:after="64" w:line="320" w:lineRule="auto"/>
      <w:outlineLvl w:val="6"/>
    </w:pPr>
    <w:rPr>
      <w:b/>
      <w:sz w:val="24"/>
      <w:szCs w:val="20"/>
    </w:rPr>
  </w:style>
  <w:style w:type="paragraph" w:styleId="8">
    <w:name w:val="heading 8"/>
    <w:basedOn w:val="a3"/>
    <w:next w:val="a5"/>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5"/>
    <w:link w:val="9Char"/>
    <w:qFormat/>
    <w:pPr>
      <w:keepNext/>
      <w:keepLines/>
      <w:spacing w:before="240" w:after="64" w:line="320" w:lineRule="auto"/>
      <w:outlineLvl w:val="8"/>
    </w:pPr>
    <w:rPr>
      <w:rFonts w:ascii="Arial" w:eastAsia="黑体" w:hAnsi="Arial"/>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4">
    <w:name w:val="Body Text"/>
    <w:basedOn w:val="a3"/>
    <w:next w:val="a3"/>
    <w:link w:val="Char"/>
    <w:qFormat/>
    <w:pPr>
      <w:spacing w:line="360" w:lineRule="auto"/>
    </w:pPr>
    <w:rPr>
      <w:b/>
      <w:bCs/>
      <w:sz w:val="24"/>
    </w:rPr>
  </w:style>
  <w:style w:type="paragraph" w:styleId="a5">
    <w:name w:val="Normal Indent"/>
    <w:basedOn w:val="a3"/>
    <w:link w:val="Char0"/>
    <w:qFormat/>
    <w:pPr>
      <w:ind w:firstLine="420"/>
    </w:pPr>
    <w:rPr>
      <w:szCs w:val="20"/>
    </w:rPr>
  </w:style>
  <w:style w:type="paragraph" w:styleId="70">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Char1"/>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uiPriority w:val="99"/>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uiPriority w:val="99"/>
    <w:qFormat/>
    <w:rPr>
      <w:sz w:val="18"/>
      <w:szCs w:val="18"/>
    </w:rPr>
  </w:style>
  <w:style w:type="paragraph" w:styleId="af0">
    <w:name w:val="footer"/>
    <w:basedOn w:val="a3"/>
    <w:link w:val="Char6"/>
    <w:uiPriority w:val="99"/>
    <w:qFormat/>
    <w:pPr>
      <w:tabs>
        <w:tab w:val="center" w:pos="4153"/>
        <w:tab w:val="right" w:pos="8306"/>
      </w:tabs>
      <w:snapToGrid w:val="0"/>
      <w:jc w:val="left"/>
    </w:pPr>
    <w:rPr>
      <w:sz w:val="18"/>
      <w:szCs w:val="18"/>
    </w:rPr>
  </w:style>
  <w:style w:type="paragraph" w:styleId="af1">
    <w:name w:val="header"/>
    <w:basedOn w:val="a3"/>
    <w:link w:val="Char7"/>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af2">
    <w:name w:val="Subtitle"/>
    <w:next w:val="a3"/>
    <w:link w:val="Char8"/>
    <w:qFormat/>
    <w:pPr>
      <w:wordWrap w:val="0"/>
      <w:spacing w:after="60"/>
      <w:jc w:val="center"/>
    </w:pPr>
    <w:rPr>
      <w:rFonts w:ascii="Calibri" w:hAnsi="Calibri"/>
      <w:sz w:val="24"/>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3">
    <w:name w:val="Normal (Web)"/>
    <w:basedOn w:val="a3"/>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4">
    <w:name w:val="Title"/>
    <w:basedOn w:val="a3"/>
    <w:link w:val="Char9"/>
    <w:qFormat/>
    <w:pPr>
      <w:spacing w:before="240" w:after="60"/>
      <w:jc w:val="center"/>
      <w:outlineLvl w:val="0"/>
    </w:pPr>
    <w:rPr>
      <w:rFonts w:ascii="Arial" w:eastAsia="隶书" w:hAnsi="Arial" w:cs="Arial"/>
      <w:b/>
      <w:bCs/>
      <w:sz w:val="32"/>
      <w:szCs w:val="32"/>
    </w:rPr>
  </w:style>
  <w:style w:type="paragraph" w:styleId="af5">
    <w:name w:val="annotation subject"/>
    <w:basedOn w:val="ab"/>
    <w:next w:val="ab"/>
    <w:link w:val="Chara"/>
    <w:uiPriority w:val="99"/>
    <w:qFormat/>
    <w:pPr>
      <w:autoSpaceDE/>
      <w:autoSpaceDN/>
      <w:adjustRightInd/>
      <w:textAlignment w:val="auto"/>
    </w:pPr>
    <w:rPr>
      <w:rFonts w:ascii="Times New Roman"/>
      <w:b/>
      <w:bCs/>
      <w:kern w:val="2"/>
      <w:sz w:val="21"/>
      <w:szCs w:val="24"/>
    </w:rPr>
  </w:style>
  <w:style w:type="paragraph" w:styleId="af6">
    <w:name w:val="Body Text First Indent"/>
    <w:basedOn w:val="a4"/>
    <w:link w:val="Charb"/>
    <w:qFormat/>
    <w:pPr>
      <w:spacing w:after="120" w:line="240" w:lineRule="auto"/>
      <w:ind w:firstLineChars="100" w:firstLine="420"/>
    </w:pPr>
    <w:rPr>
      <w:sz w:val="21"/>
    </w:rPr>
  </w:style>
  <w:style w:type="table" w:styleId="af7">
    <w:name w:val="Table Grid"/>
    <w:basedOn w:val="a7"/>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7"/>
    <w:qFormat/>
    <w:pPr>
      <w:widowControl w:val="0"/>
      <w:jc w:val="both"/>
    </w:pPr>
    <w:rPr>
      <w:rFonts w:ascii="Calibri" w:hAnsi="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9">
    <w:name w:val="Strong"/>
    <w:uiPriority w:val="22"/>
    <w:qFormat/>
    <w:rPr>
      <w:b/>
      <w:bCs/>
    </w:rPr>
  </w:style>
  <w:style w:type="character" w:styleId="afa">
    <w:name w:val="page number"/>
    <w:basedOn w:val="a6"/>
    <w:qFormat/>
  </w:style>
  <w:style w:type="character" w:styleId="afb">
    <w:name w:val="FollowedHyperlink"/>
    <w:qFormat/>
    <w:rPr>
      <w:color w:val="800080"/>
      <w:u w:val="single"/>
    </w:rPr>
  </w:style>
  <w:style w:type="character" w:styleId="afc">
    <w:name w:val="Emphasis"/>
    <w:qFormat/>
    <w:rPr>
      <w:i/>
      <w:sz w:val="20"/>
    </w:rPr>
  </w:style>
  <w:style w:type="character" w:styleId="afd">
    <w:name w:val="Hyperlink"/>
    <w:uiPriority w:val="99"/>
    <w:qFormat/>
    <w:rPr>
      <w:color w:val="0000FF"/>
      <w:u w:val="single"/>
    </w:rPr>
  </w:style>
  <w:style w:type="character" w:styleId="afe">
    <w:name w:val="annotation reference"/>
    <w:basedOn w:val="a6"/>
    <w:uiPriority w:val="99"/>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28"/>
      <w:szCs w:val="44"/>
      <w:lang w:val="en-US" w:eastAsia="zh-CN" w:bidi="ar-SA"/>
    </w:rPr>
  </w:style>
  <w:style w:type="character" w:customStyle="1" w:styleId="Char0">
    <w:name w:val="正文缩进 Char"/>
    <w:link w:val="a5"/>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0">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1">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2">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uiPriority w:val="9"/>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3">
    <w:name w:val="List Paragraph"/>
    <w:basedOn w:val="a3"/>
    <w:uiPriority w:val="34"/>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4"/>
    <w:qFormat/>
    <w:rPr>
      <w:rFonts w:ascii="Arial" w:eastAsia="隶书" w:hAnsi="Arial" w:cs="Arial"/>
      <w:b/>
      <w:bCs/>
      <w:kern w:val="2"/>
      <w:sz w:val="32"/>
      <w:szCs w:val="32"/>
      <w:lang w:val="en-US" w:eastAsia="zh-CN" w:bidi="ar-SA"/>
    </w:rPr>
  </w:style>
  <w:style w:type="character" w:customStyle="1" w:styleId="Char4">
    <w:name w:val="日期 Char"/>
    <w:link w:val="ae"/>
    <w:uiPriority w:val="99"/>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
    <w:name w:val="正文文本 Char"/>
    <w:link w:val="a4"/>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uiPriority w:val="99"/>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uiPriority w:val="99"/>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uiPriority w:val="99"/>
    <w:qFormat/>
    <w:rPr>
      <w:rFonts w:eastAsia="宋体"/>
      <w:kern w:val="2"/>
      <w:sz w:val="18"/>
      <w:szCs w:val="18"/>
      <w:lang w:val="en-US" w:eastAsia="zh-CN" w:bidi="ar-SA"/>
    </w:rPr>
  </w:style>
  <w:style w:type="paragraph" w:customStyle="1" w:styleId="14">
    <w:name w:val="样式1"/>
    <w:basedOn w:val="af4"/>
    <w:qFormat/>
    <w:pPr>
      <w:spacing w:before="120" w:after="120"/>
    </w:pPr>
    <w:rPr>
      <w:rFonts w:eastAsia="黑体"/>
      <w:b w:val="0"/>
      <w:sz w:val="30"/>
      <w:szCs w:val="21"/>
    </w:rPr>
  </w:style>
  <w:style w:type="paragraph" w:customStyle="1" w:styleId="23">
    <w:name w:val="样式2"/>
    <w:basedOn w:val="af4"/>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4"/>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4">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5">
    <w:name w:val="缺省文本"/>
    <w:basedOn w:val="a3"/>
    <w:qFormat/>
    <w:pPr>
      <w:autoSpaceDE w:val="0"/>
      <w:autoSpaceDN w:val="0"/>
      <w:adjustRightInd w:val="0"/>
      <w:jc w:val="left"/>
    </w:pPr>
    <w:rPr>
      <w:kern w:val="0"/>
    </w:rPr>
  </w:style>
  <w:style w:type="paragraph" w:customStyle="1" w:styleId="aff6">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7">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6"/>
    <w:qFormat/>
  </w:style>
  <w:style w:type="character" w:customStyle="1" w:styleId="font2">
    <w:name w:val="font2"/>
    <w:basedOn w:val="a6"/>
    <w:qFormat/>
  </w:style>
  <w:style w:type="character" w:customStyle="1" w:styleId="font41">
    <w:name w:val="font41"/>
    <w:qFormat/>
    <w:rPr>
      <w:color w:val="000000"/>
      <w:spacing w:val="260"/>
      <w:sz w:val="18"/>
      <w:szCs w:val="18"/>
      <w:u w:val="none"/>
    </w:rPr>
  </w:style>
  <w:style w:type="paragraph" w:customStyle="1" w:styleId="aff8">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6"/>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6"/>
    <w:qFormat/>
  </w:style>
  <w:style w:type="paragraph" w:customStyle="1" w:styleId="91">
    <w:name w:val="9"/>
    <w:basedOn w:val="a3"/>
    <w:next w:val="a5"/>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6"/>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9">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a">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6"/>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6"/>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6"/>
    <w:qFormat/>
  </w:style>
  <w:style w:type="character" w:customStyle="1" w:styleId="prodheadlines">
    <w:name w:val="prodheadlines"/>
    <w:basedOn w:val="a6"/>
    <w:qFormat/>
  </w:style>
  <w:style w:type="character" w:customStyle="1" w:styleId="text">
    <w:name w:val="text"/>
    <w:basedOn w:val="a6"/>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b">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c">
    <w:name w:val="段落正文"/>
    <w:basedOn w:val="ad"/>
    <w:qFormat/>
    <w:pPr>
      <w:ind w:firstLineChars="200" w:firstLine="560"/>
    </w:pPr>
    <w:rPr>
      <w:sz w:val="28"/>
    </w:rPr>
  </w:style>
  <w:style w:type="character" w:customStyle="1" w:styleId="gray6">
    <w:name w:val="gray6"/>
    <w:basedOn w:val="a6"/>
    <w:qFormat/>
  </w:style>
  <w:style w:type="character" w:customStyle="1" w:styleId="style9">
    <w:name w:val="style9"/>
    <w:basedOn w:val="a6"/>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6"/>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d">
    <w:name w:val="表格字"/>
    <w:basedOn w:val="a3"/>
    <w:qFormat/>
    <w:pPr>
      <w:adjustRightInd w:val="0"/>
      <w:jc w:val="center"/>
    </w:pPr>
    <w:rPr>
      <w:rFonts w:ascii="宋体"/>
      <w:sz w:val="24"/>
      <w:szCs w:val="20"/>
    </w:rPr>
  </w:style>
  <w:style w:type="character" w:customStyle="1" w:styleId="affe">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6"/>
    <w:qFormat/>
  </w:style>
  <w:style w:type="paragraph" w:customStyle="1" w:styleId="afff">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f"/>
    <w:qFormat/>
    <w:rPr>
      <w:rFonts w:eastAsia="仿宋_GB2312" w:cs="宋体"/>
      <w:kern w:val="2"/>
      <w:sz w:val="28"/>
      <w:lang w:val="en-US" w:eastAsia="zh-CN" w:bidi="ar-SA"/>
    </w:rPr>
  </w:style>
  <w:style w:type="paragraph" w:customStyle="1" w:styleId="15">
    <w:name w:val="列出段落1"/>
    <w:basedOn w:val="a3"/>
    <w:uiPriority w:val="34"/>
    <w:qFormat/>
    <w:pPr>
      <w:ind w:firstLineChars="200" w:firstLine="420"/>
    </w:pPr>
    <w:rPr>
      <w:rFonts w:ascii="Calibri" w:hAnsi="Calibri" w:cs="Calibri"/>
      <w:szCs w:val="21"/>
    </w:rPr>
  </w:style>
  <w:style w:type="character" w:customStyle="1" w:styleId="Char1">
    <w:name w:val="批注文字 Char"/>
    <w:basedOn w:val="a6"/>
    <w:link w:val="ab"/>
    <w:uiPriority w:val="99"/>
    <w:semiHidden/>
    <w:qFormat/>
    <w:rPr>
      <w:rFonts w:ascii="宋体"/>
      <w:sz w:val="34"/>
    </w:rPr>
  </w:style>
  <w:style w:type="character" w:customStyle="1" w:styleId="Chara">
    <w:name w:val="批注主题 Char"/>
    <w:basedOn w:val="Char1"/>
    <w:link w:val="af5"/>
    <w:uiPriority w:val="99"/>
    <w:qFormat/>
    <w:rPr>
      <w:rFonts w:ascii="宋体"/>
      <w:sz w:val="34"/>
    </w:rPr>
  </w:style>
  <w:style w:type="paragraph" w:customStyle="1" w:styleId="afff0">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paragraph" w:customStyle="1" w:styleId="toc14">
    <w:name w:val="toc 14"/>
    <w:next w:val="a3"/>
    <w:qFormat/>
    <w:pPr>
      <w:wordWrap w:val="0"/>
      <w:jc w:val="both"/>
    </w:pPr>
    <w:rPr>
      <w:rFonts w:ascii="Calibri" w:hAnsi="Calibri"/>
      <w:sz w:val="21"/>
    </w:rPr>
  </w:style>
  <w:style w:type="character" w:customStyle="1" w:styleId="Char12">
    <w:name w:val="文档结构图 Char1"/>
    <w:semiHidden/>
    <w:qFormat/>
    <w:rPr>
      <w:sz w:val="20"/>
    </w:rPr>
  </w:style>
  <w:style w:type="character" w:customStyle="1" w:styleId="Charf1">
    <w:name w:val="文档结构图 Char"/>
    <w:semiHidden/>
    <w:qFormat/>
    <w:rPr>
      <w:sz w:val="20"/>
    </w:rPr>
  </w:style>
  <w:style w:type="character" w:customStyle="1" w:styleId="shorttext">
    <w:name w:val="short_text"/>
    <w:basedOn w:val="a6"/>
    <w:qFormat/>
    <w:rPr>
      <w:sz w:val="20"/>
    </w:rPr>
  </w:style>
  <w:style w:type="character" w:customStyle="1" w:styleId="Char13">
    <w:name w:val="标题 Char1"/>
    <w:qFormat/>
    <w:rPr>
      <w:b/>
      <w:sz w:val="20"/>
    </w:rPr>
  </w:style>
  <w:style w:type="character" w:customStyle="1" w:styleId="3Char10">
    <w:name w:val="正文文本缩进 3 Char1"/>
    <w:semiHidden/>
    <w:qFormat/>
    <w:rPr>
      <w:sz w:val="20"/>
    </w:rPr>
  </w:style>
  <w:style w:type="character" w:customStyle="1" w:styleId="font21">
    <w:name w:val="font21"/>
    <w:qFormat/>
    <w:rPr>
      <w:color w:val="FF0000"/>
      <w:sz w:val="20"/>
      <w:u w:val="none"/>
    </w:rPr>
  </w:style>
  <w:style w:type="character" w:customStyle="1" w:styleId="17">
    <w:name w:val="不明显强调1"/>
    <w:qFormat/>
    <w:rPr>
      <w:i/>
      <w:sz w:val="20"/>
    </w:rPr>
  </w:style>
  <w:style w:type="character" w:customStyle="1" w:styleId="font71">
    <w:name w:val="font71"/>
    <w:qFormat/>
    <w:rPr>
      <w:sz w:val="20"/>
      <w:u w:val="none"/>
    </w:rPr>
  </w:style>
  <w:style w:type="character" w:customStyle="1" w:styleId="Char14">
    <w:name w:val="页眉 Char1"/>
    <w:qFormat/>
    <w:rPr>
      <w:sz w:val="20"/>
    </w:rPr>
  </w:style>
  <w:style w:type="character" w:customStyle="1" w:styleId="2Char10">
    <w:name w:val="正文文本缩进 2 Char1"/>
    <w:semiHidden/>
    <w:qFormat/>
    <w:rPr>
      <w:sz w:val="20"/>
    </w:rPr>
  </w:style>
  <w:style w:type="character" w:customStyle="1" w:styleId="font61">
    <w:name w:val="font61"/>
    <w:qFormat/>
    <w:rPr>
      <w:sz w:val="20"/>
      <w:u w:val="none"/>
    </w:rPr>
  </w:style>
  <w:style w:type="character" w:customStyle="1" w:styleId="Char15">
    <w:name w:val="纯文本 Char1"/>
    <w:semiHidden/>
    <w:qFormat/>
    <w:rPr>
      <w:sz w:val="20"/>
    </w:rPr>
  </w:style>
  <w:style w:type="character" w:customStyle="1" w:styleId="3Char11">
    <w:name w:val="正文文本 3 Char1"/>
    <w:semiHidden/>
    <w:qFormat/>
    <w:rPr>
      <w:sz w:val="20"/>
    </w:rPr>
  </w:style>
  <w:style w:type="character" w:customStyle="1" w:styleId="Char16">
    <w:name w:val="正文文本缩进 Char1"/>
    <w:semiHidden/>
    <w:qFormat/>
    <w:rPr>
      <w:sz w:val="20"/>
    </w:rPr>
  </w:style>
  <w:style w:type="character" w:customStyle="1" w:styleId="18">
    <w:name w:val="明显参考1"/>
    <w:qFormat/>
    <w:rPr>
      <w:b/>
      <w:sz w:val="20"/>
    </w:rPr>
  </w:style>
  <w:style w:type="character" w:customStyle="1" w:styleId="apple-converted-space">
    <w:name w:val="apple-converted-space"/>
    <w:qFormat/>
    <w:rPr>
      <w:sz w:val="20"/>
    </w:rPr>
  </w:style>
  <w:style w:type="character" w:customStyle="1" w:styleId="19">
    <w:name w:val="书籍标题1"/>
    <w:qFormat/>
    <w:rPr>
      <w:b/>
      <w:i/>
      <w:sz w:val="20"/>
    </w:rPr>
  </w:style>
  <w:style w:type="character" w:customStyle="1" w:styleId="longtext">
    <w:name w:val="long_text"/>
    <w:qFormat/>
    <w:rPr>
      <w:sz w:val="20"/>
    </w:rPr>
  </w:style>
  <w:style w:type="character" w:customStyle="1" w:styleId="Char17">
    <w:name w:val="日期 Char1"/>
    <w:semiHidden/>
    <w:qFormat/>
    <w:rPr>
      <w:sz w:val="20"/>
    </w:rPr>
  </w:style>
  <w:style w:type="character" w:customStyle="1" w:styleId="Char18">
    <w:name w:val="批注文字 Char1"/>
    <w:qFormat/>
    <w:rPr>
      <w:sz w:val="20"/>
    </w:rPr>
  </w:style>
  <w:style w:type="character" w:customStyle="1" w:styleId="1a">
    <w:name w:val="明显强调1"/>
    <w:qFormat/>
    <w:rPr>
      <w:i/>
      <w:sz w:val="20"/>
    </w:rPr>
  </w:style>
  <w:style w:type="character" w:customStyle="1" w:styleId="160">
    <w:name w:val="16"/>
    <w:qFormat/>
    <w:rPr>
      <w:b/>
      <w:color w:val="FF0356"/>
      <w:sz w:val="20"/>
    </w:rPr>
  </w:style>
  <w:style w:type="character" w:customStyle="1" w:styleId="Char19">
    <w:name w:val="批注主题 Char1"/>
    <w:semiHidden/>
    <w:qFormat/>
    <w:rPr>
      <w:b/>
      <w:sz w:val="20"/>
    </w:rPr>
  </w:style>
  <w:style w:type="character" w:customStyle="1" w:styleId="2Char11">
    <w:name w:val="正文文本 2 Char1"/>
    <w:semiHidden/>
    <w:qFormat/>
    <w:rPr>
      <w:sz w:val="20"/>
    </w:rPr>
  </w:style>
  <w:style w:type="character" w:customStyle="1" w:styleId="font31">
    <w:name w:val="font31"/>
    <w:qFormat/>
    <w:rPr>
      <w:color w:val="FF0000"/>
      <w:sz w:val="20"/>
      <w:u w:val="none"/>
      <w:vertAlign w:val="superscript"/>
    </w:rPr>
  </w:style>
  <w:style w:type="character" w:customStyle="1" w:styleId="1b">
    <w:name w:val="不明显参考1"/>
    <w:qFormat/>
    <w:rPr>
      <w:sz w:val="20"/>
    </w:rPr>
  </w:style>
  <w:style w:type="character" w:customStyle="1" w:styleId="HTMLChar1">
    <w:name w:val="HTML 预设格式 Char1"/>
    <w:semiHidden/>
    <w:qFormat/>
    <w:rPr>
      <w:sz w:val="20"/>
    </w:rPr>
  </w:style>
  <w:style w:type="character" w:customStyle="1" w:styleId="font01">
    <w:name w:val="font01"/>
    <w:qFormat/>
    <w:rPr>
      <w:color w:val="FF0000"/>
      <w:sz w:val="20"/>
      <w:u w:val="none"/>
      <w:vertAlign w:val="superscript"/>
    </w:rPr>
  </w:style>
  <w:style w:type="character" w:customStyle="1" w:styleId="Char1a">
    <w:name w:val="页脚 Char1"/>
    <w:semiHidden/>
    <w:qFormat/>
    <w:rPr>
      <w:sz w:val="20"/>
    </w:rPr>
  </w:style>
  <w:style w:type="character" w:customStyle="1" w:styleId="Char1b">
    <w:name w:val="批注框文本 Char1"/>
    <w:semiHidden/>
    <w:qFormat/>
    <w:rPr>
      <w:sz w:val="20"/>
    </w:rPr>
  </w:style>
  <w:style w:type="paragraph" w:customStyle="1" w:styleId="25">
    <w:name w:val="列出段落2"/>
    <w:basedOn w:val="a3"/>
    <w:next w:val="toc814"/>
    <w:uiPriority w:val="34"/>
    <w:qFormat/>
    <w:pPr>
      <w:ind w:firstLine="420"/>
    </w:pPr>
    <w:rPr>
      <w:rFonts w:hAnsi="Calibri"/>
      <w:kern w:val="0"/>
      <w:szCs w:val="20"/>
    </w:rPr>
  </w:style>
  <w:style w:type="paragraph" w:customStyle="1" w:styleId="toc814">
    <w:name w:val="toc 814"/>
    <w:next w:val="a3"/>
    <w:qFormat/>
    <w:pPr>
      <w:wordWrap w:val="0"/>
      <w:ind w:left="2975"/>
      <w:jc w:val="both"/>
    </w:pPr>
    <w:rPr>
      <w:rFonts w:ascii="Calibri" w:hAnsi="Calibri"/>
      <w:sz w:val="21"/>
    </w:rPr>
  </w:style>
  <w:style w:type="paragraph" w:customStyle="1" w:styleId="toc62">
    <w:name w:val="toc 62"/>
    <w:next w:val="a3"/>
    <w:qFormat/>
    <w:pPr>
      <w:wordWrap w:val="0"/>
      <w:ind w:left="2125"/>
      <w:jc w:val="both"/>
    </w:pPr>
    <w:rPr>
      <w:rFonts w:ascii="Calibri" w:hAnsi="Calibri"/>
      <w:sz w:val="21"/>
    </w:rPr>
  </w:style>
  <w:style w:type="paragraph" w:customStyle="1" w:styleId="toc414">
    <w:name w:val="toc 414"/>
    <w:next w:val="a3"/>
    <w:qFormat/>
    <w:pPr>
      <w:wordWrap w:val="0"/>
      <w:ind w:left="1275"/>
      <w:jc w:val="both"/>
    </w:pPr>
    <w:rPr>
      <w:rFonts w:ascii="Calibri" w:hAnsi="Calibri"/>
      <w:sz w:val="21"/>
    </w:rPr>
  </w:style>
  <w:style w:type="paragraph" w:customStyle="1" w:styleId="toc411">
    <w:name w:val="toc 411"/>
    <w:next w:val="a3"/>
    <w:qFormat/>
    <w:pPr>
      <w:wordWrap w:val="0"/>
      <w:ind w:left="1275"/>
      <w:jc w:val="both"/>
    </w:pPr>
    <w:rPr>
      <w:rFonts w:ascii="Calibri" w:hAnsi="Calibri"/>
      <w:sz w:val="21"/>
    </w:rPr>
  </w:style>
  <w:style w:type="paragraph" w:customStyle="1" w:styleId="xl86">
    <w:name w:val="xl86"/>
    <w:basedOn w:val="a3"/>
    <w:next w:val="toc515"/>
    <w:qFormat/>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pPr>
      <w:wordWrap w:val="0"/>
      <w:ind w:left="1700"/>
      <w:jc w:val="both"/>
    </w:pPr>
    <w:rPr>
      <w:rFonts w:ascii="Calibri" w:hAnsi="Calibri"/>
      <w:sz w:val="21"/>
    </w:rPr>
  </w:style>
  <w:style w:type="paragraph" w:customStyle="1" w:styleId="TOCHeading4">
    <w:name w:val="TOC Heading4"/>
    <w:next w:val="a3"/>
    <w:qFormat/>
    <w:pPr>
      <w:wordWrap w:val="0"/>
    </w:pPr>
    <w:rPr>
      <w:rFonts w:ascii="Calibri" w:hAnsi="Calibri"/>
      <w:sz w:val="32"/>
    </w:rPr>
  </w:style>
  <w:style w:type="paragraph" w:customStyle="1" w:styleId="toc15">
    <w:name w:val="toc 15"/>
    <w:next w:val="a3"/>
    <w:qFormat/>
    <w:pPr>
      <w:wordWrap w:val="0"/>
      <w:jc w:val="both"/>
    </w:pPr>
    <w:rPr>
      <w:rFonts w:ascii="Calibri" w:hAnsi="Calibri"/>
      <w:sz w:val="21"/>
    </w:rPr>
  </w:style>
  <w:style w:type="paragraph" w:customStyle="1" w:styleId="TOCHeading2">
    <w:name w:val="TOC Heading2"/>
    <w:next w:val="a3"/>
    <w:qFormat/>
    <w:pPr>
      <w:wordWrap w:val="0"/>
    </w:pPr>
    <w:rPr>
      <w:rFonts w:ascii="Calibri" w:hAnsi="Calibri"/>
      <w:sz w:val="32"/>
    </w:rPr>
  </w:style>
  <w:style w:type="paragraph" w:customStyle="1" w:styleId="TOCHeading1">
    <w:name w:val="TOC Heading1"/>
    <w:next w:val="a3"/>
    <w:qFormat/>
    <w:pPr>
      <w:wordWrap w:val="0"/>
    </w:pPr>
    <w:rPr>
      <w:rFonts w:ascii="Calibri" w:hAnsi="Calibri"/>
      <w:sz w:val="32"/>
    </w:rPr>
  </w:style>
  <w:style w:type="paragraph" w:customStyle="1" w:styleId="toc73">
    <w:name w:val="toc 73"/>
    <w:next w:val="a3"/>
    <w:qFormat/>
    <w:pPr>
      <w:wordWrap w:val="0"/>
      <w:ind w:left="2550"/>
      <w:jc w:val="both"/>
    </w:pPr>
    <w:rPr>
      <w:rFonts w:ascii="Calibri" w:hAnsi="Calibri"/>
      <w:sz w:val="21"/>
    </w:rPr>
  </w:style>
  <w:style w:type="paragraph" w:customStyle="1" w:styleId="font7">
    <w:name w:val="font7"/>
    <w:basedOn w:val="a3"/>
    <w:next w:val="toc810"/>
    <w:qFormat/>
    <w:pPr>
      <w:widowControl/>
      <w:spacing w:before="280" w:after="280"/>
    </w:pPr>
    <w:rPr>
      <w:rFonts w:ascii="Arial" w:hAnsi="Calibri"/>
      <w:kern w:val="0"/>
      <w:sz w:val="18"/>
      <w:szCs w:val="20"/>
    </w:rPr>
  </w:style>
  <w:style w:type="paragraph" w:customStyle="1" w:styleId="toc810">
    <w:name w:val="toc 810"/>
    <w:next w:val="a3"/>
    <w:qFormat/>
    <w:pPr>
      <w:wordWrap w:val="0"/>
      <w:ind w:left="2975"/>
      <w:jc w:val="both"/>
    </w:pPr>
    <w:rPr>
      <w:rFonts w:ascii="Calibri" w:hAnsi="Calibri"/>
      <w:sz w:val="21"/>
    </w:rPr>
  </w:style>
  <w:style w:type="paragraph" w:customStyle="1" w:styleId="xl113">
    <w:name w:val="xl113"/>
    <w:basedOn w:val="a3"/>
    <w:next w:val="TOCHeading10"/>
    <w:qFormat/>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pPr>
      <w:wordWrap w:val="0"/>
    </w:pPr>
    <w:rPr>
      <w:rFonts w:ascii="Calibri" w:hAnsi="Calibri"/>
      <w:sz w:val="32"/>
    </w:rPr>
  </w:style>
  <w:style w:type="paragraph" w:customStyle="1" w:styleId="toc89">
    <w:name w:val="toc 89"/>
    <w:next w:val="a3"/>
    <w:qFormat/>
    <w:pPr>
      <w:wordWrap w:val="0"/>
      <w:ind w:left="2975"/>
      <w:jc w:val="both"/>
    </w:pPr>
    <w:rPr>
      <w:rFonts w:ascii="Calibri" w:hAnsi="Calibri"/>
      <w:sz w:val="21"/>
    </w:rPr>
  </w:style>
  <w:style w:type="paragraph" w:customStyle="1" w:styleId="xl73">
    <w:name w:val="xl73"/>
    <w:basedOn w:val="a3"/>
    <w:next w:val="toc613"/>
    <w:qFormat/>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pPr>
      <w:wordWrap w:val="0"/>
      <w:ind w:left="2125"/>
      <w:jc w:val="both"/>
    </w:pPr>
    <w:rPr>
      <w:rFonts w:ascii="Calibri" w:hAnsi="Calibri"/>
      <w:sz w:val="21"/>
    </w:rPr>
  </w:style>
  <w:style w:type="paragraph" w:customStyle="1" w:styleId="xl79">
    <w:name w:val="xl79"/>
    <w:basedOn w:val="a3"/>
    <w:next w:val="toc87"/>
    <w:qFormat/>
    <w:pPr>
      <w:widowControl/>
      <w:shd w:val="clear" w:color="000000" w:fill="FFFFFF"/>
      <w:spacing w:before="280" w:after="280"/>
    </w:pPr>
    <w:rPr>
      <w:rFonts w:ascii="宋体" w:hAnsi="Calibri"/>
      <w:b/>
      <w:kern w:val="0"/>
      <w:sz w:val="20"/>
      <w:szCs w:val="20"/>
    </w:rPr>
  </w:style>
  <w:style w:type="paragraph" w:customStyle="1" w:styleId="toc87">
    <w:name w:val="toc 87"/>
    <w:next w:val="a3"/>
    <w:qFormat/>
    <w:pPr>
      <w:wordWrap w:val="0"/>
      <w:ind w:left="2975"/>
      <w:jc w:val="both"/>
    </w:pPr>
    <w:rPr>
      <w:rFonts w:ascii="Calibri" w:hAnsi="Calibri"/>
      <w:sz w:val="21"/>
    </w:rPr>
  </w:style>
  <w:style w:type="paragraph" w:customStyle="1" w:styleId="toc11">
    <w:name w:val="toc 11"/>
    <w:next w:val="a3"/>
    <w:qFormat/>
    <w:pPr>
      <w:wordWrap w:val="0"/>
      <w:jc w:val="both"/>
    </w:pPr>
    <w:rPr>
      <w:rFonts w:ascii="Calibri" w:hAnsi="Calibri"/>
      <w:sz w:val="21"/>
    </w:rPr>
  </w:style>
  <w:style w:type="paragraph" w:customStyle="1" w:styleId="toc410">
    <w:name w:val="toc 410"/>
    <w:next w:val="a3"/>
    <w:qFormat/>
    <w:pPr>
      <w:wordWrap w:val="0"/>
      <w:ind w:left="1275"/>
      <w:jc w:val="both"/>
    </w:pPr>
    <w:rPr>
      <w:rFonts w:ascii="Calibri" w:hAnsi="Calibri"/>
      <w:sz w:val="21"/>
    </w:rPr>
  </w:style>
  <w:style w:type="paragraph" w:customStyle="1" w:styleId="toc611">
    <w:name w:val="toc 611"/>
    <w:next w:val="a3"/>
    <w:qFormat/>
    <w:pPr>
      <w:wordWrap w:val="0"/>
      <w:ind w:left="2125"/>
      <w:jc w:val="both"/>
    </w:pPr>
    <w:rPr>
      <w:rFonts w:ascii="Calibri" w:hAnsi="Calibri"/>
      <w:sz w:val="21"/>
    </w:rPr>
  </w:style>
  <w:style w:type="paragraph" w:customStyle="1" w:styleId="xl112">
    <w:name w:val="xl112"/>
    <w:basedOn w:val="a3"/>
    <w:next w:val="toc611"/>
    <w:qFormat/>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pPr>
      <w:wordWrap w:val="0"/>
      <w:ind w:left="1700"/>
      <w:jc w:val="both"/>
    </w:pPr>
    <w:rPr>
      <w:rFonts w:ascii="Calibri" w:hAnsi="Calibri"/>
      <w:sz w:val="21"/>
    </w:rPr>
  </w:style>
  <w:style w:type="paragraph" w:customStyle="1" w:styleId="toc44">
    <w:name w:val="toc 44"/>
    <w:next w:val="a3"/>
    <w:qFormat/>
    <w:pPr>
      <w:wordWrap w:val="0"/>
      <w:ind w:left="1275"/>
      <w:jc w:val="both"/>
    </w:pPr>
    <w:rPr>
      <w:rFonts w:ascii="Calibri" w:hAnsi="Calibri"/>
      <w:sz w:val="21"/>
    </w:rPr>
  </w:style>
  <w:style w:type="paragraph" w:customStyle="1" w:styleId="toc412">
    <w:name w:val="toc 412"/>
    <w:next w:val="a3"/>
    <w:qFormat/>
    <w:pPr>
      <w:wordWrap w:val="0"/>
      <w:ind w:left="1275"/>
      <w:jc w:val="both"/>
    </w:pPr>
    <w:rPr>
      <w:rFonts w:ascii="Calibri" w:hAnsi="Calibri"/>
      <w:sz w:val="21"/>
    </w:rPr>
  </w:style>
  <w:style w:type="paragraph" w:customStyle="1" w:styleId="xl74">
    <w:name w:val="xl74"/>
    <w:basedOn w:val="a3"/>
    <w:next w:val="toc57"/>
    <w:qFormat/>
    <w:pPr>
      <w:widowControl/>
      <w:shd w:val="clear" w:color="000000" w:fill="FFFFFF"/>
      <w:spacing w:before="280" w:after="280"/>
    </w:pPr>
    <w:rPr>
      <w:rFonts w:ascii="宋体" w:hAnsi="Calibri"/>
      <w:kern w:val="0"/>
      <w:sz w:val="20"/>
      <w:szCs w:val="20"/>
    </w:rPr>
  </w:style>
  <w:style w:type="paragraph" w:customStyle="1" w:styleId="toc57">
    <w:name w:val="toc 57"/>
    <w:next w:val="a3"/>
    <w:qFormat/>
    <w:pPr>
      <w:wordWrap w:val="0"/>
      <w:ind w:left="1700"/>
      <w:jc w:val="both"/>
    </w:pPr>
    <w:rPr>
      <w:rFonts w:ascii="Calibri" w:hAnsi="Calibri"/>
      <w:sz w:val="21"/>
    </w:rPr>
  </w:style>
  <w:style w:type="paragraph" w:customStyle="1" w:styleId="toc912">
    <w:name w:val="toc 912"/>
    <w:next w:val="a3"/>
    <w:qFormat/>
    <w:pPr>
      <w:wordWrap w:val="0"/>
      <w:ind w:left="3400"/>
      <w:jc w:val="both"/>
    </w:pPr>
    <w:rPr>
      <w:rFonts w:ascii="Calibri" w:hAnsi="Calibri"/>
      <w:sz w:val="21"/>
    </w:rPr>
  </w:style>
  <w:style w:type="paragraph" w:customStyle="1" w:styleId="toc91">
    <w:name w:val="toc 91"/>
    <w:next w:val="a3"/>
    <w:qFormat/>
    <w:pPr>
      <w:wordWrap w:val="0"/>
      <w:ind w:left="3400"/>
      <w:jc w:val="both"/>
    </w:pPr>
    <w:rPr>
      <w:rFonts w:ascii="Calibri" w:hAnsi="Calibri"/>
      <w:sz w:val="21"/>
    </w:rPr>
  </w:style>
  <w:style w:type="paragraph" w:customStyle="1" w:styleId="toc38">
    <w:name w:val="toc 38"/>
    <w:next w:val="a3"/>
    <w:qFormat/>
    <w:pPr>
      <w:wordWrap w:val="0"/>
      <w:ind w:left="850"/>
      <w:jc w:val="both"/>
    </w:pPr>
    <w:rPr>
      <w:rFonts w:ascii="Calibri" w:hAnsi="Calibri"/>
      <w:sz w:val="21"/>
    </w:rPr>
  </w:style>
  <w:style w:type="paragraph" w:customStyle="1" w:styleId="toc95">
    <w:name w:val="toc 95"/>
    <w:next w:val="a3"/>
    <w:qFormat/>
    <w:pPr>
      <w:wordWrap w:val="0"/>
      <w:ind w:left="3400"/>
      <w:jc w:val="both"/>
    </w:pPr>
    <w:rPr>
      <w:rFonts w:ascii="Calibri" w:hAnsi="Calibri"/>
      <w:sz w:val="21"/>
    </w:rPr>
  </w:style>
  <w:style w:type="paragraph" w:customStyle="1" w:styleId="52">
    <w:name w:val="列出段落5"/>
    <w:basedOn w:val="a3"/>
    <w:next w:val="toc312"/>
    <w:qFormat/>
    <w:pPr>
      <w:ind w:firstLine="420"/>
    </w:pPr>
    <w:rPr>
      <w:rFonts w:hAnsi="Calibri"/>
      <w:kern w:val="0"/>
      <w:szCs w:val="20"/>
    </w:rPr>
  </w:style>
  <w:style w:type="paragraph" w:customStyle="1" w:styleId="toc312">
    <w:name w:val="toc 312"/>
    <w:next w:val="a3"/>
    <w:qFormat/>
    <w:pPr>
      <w:wordWrap w:val="0"/>
      <w:ind w:left="850"/>
      <w:jc w:val="both"/>
    </w:pPr>
    <w:rPr>
      <w:rFonts w:ascii="Calibri" w:hAnsi="Calibri"/>
      <w:sz w:val="21"/>
    </w:rPr>
  </w:style>
  <w:style w:type="paragraph" w:customStyle="1" w:styleId="xl66">
    <w:name w:val="xl66"/>
    <w:basedOn w:val="a3"/>
    <w:next w:val="toc56"/>
    <w:qFormat/>
    <w:pPr>
      <w:widowControl/>
      <w:shd w:val="clear" w:color="000000" w:fill="FFFFFF"/>
      <w:spacing w:before="280" w:after="280"/>
    </w:pPr>
    <w:rPr>
      <w:rFonts w:ascii="宋体" w:hAnsi="Calibri"/>
      <w:kern w:val="0"/>
      <w:sz w:val="20"/>
      <w:szCs w:val="20"/>
    </w:rPr>
  </w:style>
  <w:style w:type="paragraph" w:customStyle="1" w:styleId="toc56">
    <w:name w:val="toc 56"/>
    <w:next w:val="a3"/>
    <w:qFormat/>
    <w:pPr>
      <w:wordWrap w:val="0"/>
      <w:ind w:left="1700"/>
      <w:jc w:val="both"/>
    </w:pPr>
    <w:rPr>
      <w:rFonts w:ascii="Calibri" w:hAnsi="Calibri"/>
      <w:sz w:val="21"/>
    </w:rPr>
  </w:style>
  <w:style w:type="paragraph" w:customStyle="1" w:styleId="TOCHeading3">
    <w:name w:val="TOC Heading3"/>
    <w:next w:val="a3"/>
    <w:qFormat/>
    <w:pPr>
      <w:wordWrap w:val="0"/>
    </w:pPr>
    <w:rPr>
      <w:rFonts w:ascii="Calibri" w:hAnsi="Calibri"/>
      <w:sz w:val="32"/>
    </w:rPr>
  </w:style>
  <w:style w:type="paragraph" w:customStyle="1" w:styleId="toc65">
    <w:name w:val="toc 65"/>
    <w:next w:val="a3"/>
    <w:qFormat/>
    <w:pPr>
      <w:wordWrap w:val="0"/>
      <w:ind w:left="2125"/>
      <w:jc w:val="both"/>
    </w:pPr>
    <w:rPr>
      <w:rFonts w:ascii="Calibri" w:hAnsi="Calibri"/>
      <w:sz w:val="21"/>
    </w:rPr>
  </w:style>
  <w:style w:type="paragraph" w:customStyle="1" w:styleId="toc25">
    <w:name w:val="toc 25"/>
    <w:next w:val="a3"/>
    <w:qFormat/>
    <w:pPr>
      <w:wordWrap w:val="0"/>
      <w:ind w:left="425"/>
      <w:jc w:val="both"/>
    </w:pPr>
    <w:rPr>
      <w:rFonts w:ascii="Calibri" w:hAnsi="Calibri"/>
      <w:sz w:val="21"/>
    </w:rPr>
  </w:style>
  <w:style w:type="paragraph" w:customStyle="1" w:styleId="xl84">
    <w:name w:val="xl84"/>
    <w:basedOn w:val="a3"/>
    <w:next w:val="toc99"/>
    <w:qFormat/>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pPr>
      <w:wordWrap w:val="0"/>
      <w:ind w:left="3400"/>
      <w:jc w:val="both"/>
    </w:pPr>
    <w:rPr>
      <w:rFonts w:ascii="Calibri" w:hAnsi="Calibri"/>
      <w:sz w:val="21"/>
    </w:rPr>
  </w:style>
  <w:style w:type="paragraph" w:customStyle="1" w:styleId="xl81">
    <w:name w:val="xl81"/>
    <w:basedOn w:val="a3"/>
    <w:next w:val="toc59"/>
    <w:qFormat/>
    <w:pPr>
      <w:widowControl/>
      <w:shd w:val="clear" w:color="000000" w:fill="FFFFFF"/>
      <w:spacing w:before="280" w:after="280"/>
    </w:pPr>
    <w:rPr>
      <w:rFonts w:ascii="宋体" w:hAnsi="Calibri"/>
      <w:kern w:val="0"/>
      <w:sz w:val="20"/>
      <w:szCs w:val="20"/>
    </w:rPr>
  </w:style>
  <w:style w:type="paragraph" w:customStyle="1" w:styleId="toc59">
    <w:name w:val="toc 59"/>
    <w:next w:val="a3"/>
    <w:qFormat/>
    <w:pPr>
      <w:wordWrap w:val="0"/>
      <w:ind w:left="1700"/>
      <w:jc w:val="both"/>
    </w:pPr>
    <w:rPr>
      <w:rFonts w:ascii="Calibri" w:hAnsi="Calibri"/>
      <w:sz w:val="21"/>
    </w:rPr>
  </w:style>
  <w:style w:type="paragraph" w:customStyle="1" w:styleId="110">
    <w:name w:val="目录 11"/>
    <w:next w:val="a3"/>
    <w:qFormat/>
    <w:pPr>
      <w:wordWrap w:val="0"/>
      <w:jc w:val="both"/>
    </w:pPr>
    <w:rPr>
      <w:rFonts w:ascii="Calibri" w:hAnsi="Calibri"/>
      <w:sz w:val="21"/>
    </w:rPr>
  </w:style>
  <w:style w:type="paragraph" w:customStyle="1" w:styleId="toc513">
    <w:name w:val="toc 513"/>
    <w:next w:val="a3"/>
    <w:qFormat/>
    <w:pPr>
      <w:wordWrap w:val="0"/>
      <w:ind w:left="1700"/>
      <w:jc w:val="both"/>
    </w:pPr>
    <w:rPr>
      <w:rFonts w:ascii="Calibri" w:hAnsi="Calibri"/>
      <w:sz w:val="21"/>
    </w:rPr>
  </w:style>
  <w:style w:type="paragraph" w:customStyle="1" w:styleId="TOCHeading12">
    <w:name w:val="TOC Heading12"/>
    <w:next w:val="a3"/>
    <w:qFormat/>
    <w:pPr>
      <w:wordWrap w:val="0"/>
    </w:pPr>
    <w:rPr>
      <w:rFonts w:ascii="Calibri" w:hAnsi="Calibri"/>
      <w:sz w:val="32"/>
    </w:rPr>
  </w:style>
  <w:style w:type="paragraph" w:customStyle="1" w:styleId="TOCHeading8">
    <w:name w:val="TOC Heading8"/>
    <w:next w:val="a3"/>
    <w:qFormat/>
    <w:pPr>
      <w:wordWrap w:val="0"/>
    </w:pPr>
    <w:rPr>
      <w:rFonts w:ascii="Calibri" w:hAnsi="Calibri"/>
      <w:sz w:val="32"/>
    </w:rPr>
  </w:style>
  <w:style w:type="paragraph" w:customStyle="1" w:styleId="toc711">
    <w:name w:val="toc 711"/>
    <w:next w:val="a3"/>
    <w:qFormat/>
    <w:pPr>
      <w:wordWrap w:val="0"/>
      <w:ind w:left="2550"/>
      <w:jc w:val="both"/>
    </w:pPr>
    <w:rPr>
      <w:rFonts w:ascii="Calibri" w:hAnsi="Calibri"/>
      <w:sz w:val="21"/>
    </w:rPr>
  </w:style>
  <w:style w:type="paragraph" w:customStyle="1" w:styleId="toc212">
    <w:name w:val="toc 212"/>
    <w:next w:val="a3"/>
    <w:qFormat/>
    <w:pPr>
      <w:wordWrap w:val="0"/>
      <w:ind w:left="425"/>
      <w:jc w:val="both"/>
    </w:pPr>
    <w:rPr>
      <w:rFonts w:ascii="Calibri" w:hAnsi="Calibri"/>
      <w:sz w:val="21"/>
    </w:rPr>
  </w:style>
  <w:style w:type="paragraph" w:customStyle="1" w:styleId="210">
    <w:name w:val="目录 21"/>
    <w:next w:val="a3"/>
    <w:qFormat/>
    <w:pPr>
      <w:wordWrap w:val="0"/>
      <w:ind w:left="425"/>
      <w:jc w:val="both"/>
    </w:pPr>
    <w:rPr>
      <w:rFonts w:ascii="Calibri" w:hAnsi="Calibri"/>
      <w:sz w:val="21"/>
    </w:rPr>
  </w:style>
  <w:style w:type="paragraph" w:customStyle="1" w:styleId="toc45">
    <w:name w:val="toc 45"/>
    <w:next w:val="a3"/>
    <w:qFormat/>
    <w:pPr>
      <w:wordWrap w:val="0"/>
      <w:ind w:left="1275"/>
      <w:jc w:val="both"/>
    </w:pPr>
    <w:rPr>
      <w:rFonts w:ascii="Calibri" w:hAnsi="Calibri"/>
      <w:sz w:val="21"/>
    </w:rPr>
  </w:style>
  <w:style w:type="paragraph" w:customStyle="1" w:styleId="xl116">
    <w:name w:val="xl116"/>
    <w:basedOn w:val="a3"/>
    <w:next w:val="toc78"/>
    <w:qFormat/>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pPr>
      <w:wordWrap w:val="0"/>
      <w:ind w:left="2550"/>
      <w:jc w:val="both"/>
    </w:pPr>
    <w:rPr>
      <w:rFonts w:ascii="Calibri" w:hAnsi="Calibri"/>
      <w:sz w:val="21"/>
    </w:rPr>
  </w:style>
  <w:style w:type="paragraph" w:customStyle="1" w:styleId="font8">
    <w:name w:val="font8"/>
    <w:basedOn w:val="a3"/>
    <w:next w:val="TOCHeading11"/>
    <w:qFormat/>
    <w:pPr>
      <w:widowControl/>
      <w:spacing w:before="280" w:after="280"/>
    </w:pPr>
    <w:rPr>
      <w:rFonts w:ascii="Arial" w:hAnsi="Calibri"/>
      <w:kern w:val="0"/>
      <w:sz w:val="20"/>
      <w:szCs w:val="20"/>
    </w:rPr>
  </w:style>
  <w:style w:type="paragraph" w:customStyle="1" w:styleId="TOCHeading11">
    <w:name w:val="TOC Heading11"/>
    <w:next w:val="a3"/>
    <w:qFormat/>
    <w:pPr>
      <w:wordWrap w:val="0"/>
    </w:pPr>
    <w:rPr>
      <w:rFonts w:ascii="Calibri" w:hAnsi="Calibri"/>
      <w:sz w:val="32"/>
    </w:rPr>
  </w:style>
  <w:style w:type="paragraph" w:customStyle="1" w:styleId="xl69">
    <w:name w:val="xl69"/>
    <w:basedOn w:val="a3"/>
    <w:next w:val="toc48"/>
    <w:qFormat/>
    <w:pPr>
      <w:widowControl/>
      <w:shd w:val="clear" w:color="000000" w:fill="FFFFFF"/>
      <w:spacing w:before="280" w:after="280"/>
    </w:pPr>
    <w:rPr>
      <w:rFonts w:ascii="宋体" w:hAnsi="Calibri"/>
      <w:b/>
      <w:kern w:val="0"/>
      <w:sz w:val="20"/>
      <w:szCs w:val="20"/>
    </w:rPr>
  </w:style>
  <w:style w:type="paragraph" w:customStyle="1" w:styleId="toc48">
    <w:name w:val="toc 48"/>
    <w:next w:val="a3"/>
    <w:qFormat/>
    <w:pPr>
      <w:wordWrap w:val="0"/>
      <w:ind w:left="1275"/>
      <w:jc w:val="both"/>
    </w:pPr>
    <w:rPr>
      <w:rFonts w:ascii="Calibri" w:hAnsi="Calibri"/>
      <w:sz w:val="21"/>
    </w:rPr>
  </w:style>
  <w:style w:type="paragraph" w:customStyle="1" w:styleId="toc813">
    <w:name w:val="toc 813"/>
    <w:next w:val="a3"/>
    <w:qFormat/>
    <w:pPr>
      <w:wordWrap w:val="0"/>
      <w:ind w:left="2975"/>
      <w:jc w:val="both"/>
    </w:pPr>
    <w:rPr>
      <w:rFonts w:ascii="Calibri" w:hAnsi="Calibri"/>
      <w:sz w:val="21"/>
    </w:rPr>
  </w:style>
  <w:style w:type="paragraph" w:customStyle="1" w:styleId="910">
    <w:name w:val="目录 91"/>
    <w:next w:val="a3"/>
    <w:qFormat/>
    <w:pPr>
      <w:wordWrap w:val="0"/>
      <w:ind w:left="3400"/>
      <w:jc w:val="both"/>
    </w:pPr>
    <w:rPr>
      <w:rFonts w:ascii="Calibri" w:hAnsi="Calibri"/>
      <w:sz w:val="21"/>
    </w:rPr>
  </w:style>
  <w:style w:type="paragraph" w:customStyle="1" w:styleId="34">
    <w:name w:val="列出段落3"/>
    <w:basedOn w:val="a3"/>
    <w:next w:val="toc213"/>
    <w:qFormat/>
    <w:pPr>
      <w:ind w:firstLine="420"/>
    </w:pPr>
    <w:rPr>
      <w:rFonts w:hAnsi="Calibri"/>
      <w:kern w:val="0"/>
      <w:szCs w:val="20"/>
    </w:rPr>
  </w:style>
  <w:style w:type="paragraph" w:customStyle="1" w:styleId="toc213">
    <w:name w:val="toc 213"/>
    <w:next w:val="a3"/>
    <w:qFormat/>
    <w:pPr>
      <w:wordWrap w:val="0"/>
      <w:ind w:left="425"/>
      <w:jc w:val="both"/>
    </w:pPr>
    <w:rPr>
      <w:rFonts w:ascii="Calibri" w:hAnsi="Calibri"/>
      <w:sz w:val="21"/>
    </w:rPr>
  </w:style>
  <w:style w:type="paragraph" w:customStyle="1" w:styleId="TOC1">
    <w:name w:val="TOC 标题1"/>
    <w:next w:val="a3"/>
    <w:qFormat/>
    <w:pPr>
      <w:wordWrap w:val="0"/>
    </w:pPr>
    <w:rPr>
      <w:rFonts w:ascii="Calibri" w:hAnsi="Calibri"/>
      <w:sz w:val="32"/>
    </w:rPr>
  </w:style>
  <w:style w:type="paragraph" w:customStyle="1" w:styleId="TOCHeading5">
    <w:name w:val="TOC Heading5"/>
    <w:next w:val="a3"/>
    <w:qFormat/>
    <w:pPr>
      <w:wordWrap w:val="0"/>
    </w:pPr>
    <w:rPr>
      <w:rFonts w:ascii="Calibri" w:hAnsi="Calibri"/>
      <w:sz w:val="32"/>
    </w:rPr>
  </w:style>
  <w:style w:type="paragraph" w:customStyle="1" w:styleId="toc313">
    <w:name w:val="toc 313"/>
    <w:next w:val="a3"/>
    <w:qFormat/>
    <w:pPr>
      <w:wordWrap w:val="0"/>
      <w:ind w:left="850"/>
      <w:jc w:val="both"/>
    </w:pPr>
    <w:rPr>
      <w:rFonts w:ascii="Calibri" w:hAnsi="Calibri"/>
      <w:sz w:val="21"/>
    </w:rPr>
  </w:style>
  <w:style w:type="paragraph" w:customStyle="1" w:styleId="toc716">
    <w:name w:val="toc 716"/>
    <w:next w:val="a3"/>
    <w:qFormat/>
    <w:pPr>
      <w:wordWrap w:val="0"/>
      <w:ind w:left="2550"/>
      <w:jc w:val="both"/>
    </w:pPr>
    <w:rPr>
      <w:rFonts w:ascii="Calibri" w:hAnsi="Calibri"/>
      <w:sz w:val="21"/>
    </w:rPr>
  </w:style>
  <w:style w:type="paragraph" w:customStyle="1" w:styleId="xl115">
    <w:name w:val="xl115"/>
    <w:basedOn w:val="a3"/>
    <w:next w:val="toc712"/>
    <w:qFormat/>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pPr>
      <w:wordWrap w:val="0"/>
      <w:ind w:left="2550"/>
      <w:jc w:val="both"/>
    </w:pPr>
    <w:rPr>
      <w:rFonts w:ascii="Calibri" w:hAnsi="Calibri"/>
      <w:sz w:val="21"/>
    </w:rPr>
  </w:style>
  <w:style w:type="paragraph" w:customStyle="1" w:styleId="toc64">
    <w:name w:val="toc 64"/>
    <w:next w:val="a3"/>
    <w:qFormat/>
    <w:pPr>
      <w:wordWrap w:val="0"/>
      <w:ind w:left="2125"/>
      <w:jc w:val="both"/>
    </w:pPr>
    <w:rPr>
      <w:rFonts w:ascii="Calibri" w:hAnsi="Calibri"/>
      <w:sz w:val="21"/>
    </w:rPr>
  </w:style>
  <w:style w:type="paragraph" w:customStyle="1" w:styleId="toc24">
    <w:name w:val="toc 24"/>
    <w:next w:val="a3"/>
    <w:qFormat/>
    <w:pPr>
      <w:wordWrap w:val="0"/>
      <w:ind w:left="425"/>
      <w:jc w:val="both"/>
    </w:pPr>
    <w:rPr>
      <w:rFonts w:ascii="Calibri" w:hAnsi="Calibri"/>
      <w:sz w:val="21"/>
    </w:rPr>
  </w:style>
  <w:style w:type="paragraph" w:customStyle="1" w:styleId="toc54">
    <w:name w:val="toc 54"/>
    <w:next w:val="a3"/>
    <w:qFormat/>
    <w:pPr>
      <w:wordWrap w:val="0"/>
      <w:ind w:left="1700"/>
      <w:jc w:val="both"/>
    </w:pPr>
    <w:rPr>
      <w:rFonts w:ascii="Calibri" w:hAnsi="Calibri"/>
      <w:sz w:val="21"/>
    </w:rPr>
  </w:style>
  <w:style w:type="paragraph" w:customStyle="1" w:styleId="xl93">
    <w:name w:val="xl93"/>
    <w:basedOn w:val="a3"/>
    <w:next w:val="toc112"/>
    <w:qFormat/>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pPr>
      <w:wordWrap w:val="0"/>
      <w:jc w:val="both"/>
    </w:pPr>
    <w:rPr>
      <w:rFonts w:ascii="Calibri" w:hAnsi="Calibri"/>
      <w:sz w:val="21"/>
    </w:rPr>
  </w:style>
  <w:style w:type="paragraph" w:customStyle="1" w:styleId="xl96">
    <w:name w:val="xl96"/>
    <w:basedOn w:val="a3"/>
    <w:next w:val="toc514"/>
    <w:qFormat/>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pPr>
      <w:widowControl/>
      <w:shd w:val="clear" w:color="000000" w:fill="FFFFFF"/>
      <w:spacing w:before="280" w:after="280"/>
    </w:pPr>
    <w:rPr>
      <w:rFonts w:ascii="宋体" w:hAnsi="Calibri"/>
      <w:kern w:val="0"/>
      <w:sz w:val="20"/>
      <w:szCs w:val="20"/>
    </w:rPr>
  </w:style>
  <w:style w:type="paragraph" w:customStyle="1" w:styleId="toc35">
    <w:name w:val="toc 35"/>
    <w:next w:val="a3"/>
    <w:qFormat/>
    <w:pPr>
      <w:wordWrap w:val="0"/>
      <w:ind w:left="850"/>
      <w:jc w:val="both"/>
    </w:pPr>
    <w:rPr>
      <w:rFonts w:ascii="Calibri" w:hAnsi="Calibri"/>
      <w:sz w:val="21"/>
    </w:rPr>
  </w:style>
  <w:style w:type="paragraph" w:customStyle="1" w:styleId="TOCHeading14">
    <w:name w:val="TOC Heading14"/>
    <w:next w:val="a3"/>
    <w:qFormat/>
    <w:pPr>
      <w:wordWrap w:val="0"/>
    </w:pPr>
    <w:rPr>
      <w:rFonts w:ascii="Calibri" w:hAnsi="Calibri"/>
      <w:sz w:val="32"/>
    </w:rPr>
  </w:style>
  <w:style w:type="paragraph" w:customStyle="1" w:styleId="CharCharCharCharCharCharChar1">
    <w:name w:val="Char Char Char Char Char Char Char1"/>
    <w:basedOn w:val="a3"/>
    <w:next w:val="toc67"/>
    <w:qFormat/>
    <w:pPr>
      <w:widowControl/>
      <w:spacing w:after="160" w:line="240" w:lineRule="exact"/>
    </w:pPr>
    <w:rPr>
      <w:rFonts w:hAnsi="Calibri"/>
      <w:kern w:val="0"/>
      <w:szCs w:val="20"/>
    </w:rPr>
  </w:style>
  <w:style w:type="paragraph" w:customStyle="1" w:styleId="toc67">
    <w:name w:val="toc 67"/>
    <w:next w:val="a3"/>
    <w:qFormat/>
    <w:pPr>
      <w:wordWrap w:val="0"/>
      <w:ind w:left="2125"/>
      <w:jc w:val="both"/>
    </w:pPr>
    <w:rPr>
      <w:rFonts w:ascii="Calibri" w:hAnsi="Calibri"/>
      <w:sz w:val="21"/>
    </w:rPr>
  </w:style>
  <w:style w:type="paragraph" w:customStyle="1" w:styleId="43">
    <w:name w:val="列出段落4"/>
    <w:basedOn w:val="a3"/>
    <w:next w:val="TOCHeading9"/>
    <w:qFormat/>
    <w:pPr>
      <w:ind w:firstLine="420"/>
    </w:pPr>
    <w:rPr>
      <w:rFonts w:hAnsi="Calibri"/>
      <w:kern w:val="0"/>
      <w:szCs w:val="20"/>
    </w:rPr>
  </w:style>
  <w:style w:type="paragraph" w:customStyle="1" w:styleId="TOCHeading9">
    <w:name w:val="TOC Heading9"/>
    <w:next w:val="a3"/>
    <w:qFormat/>
    <w:pPr>
      <w:wordWrap w:val="0"/>
    </w:pPr>
    <w:rPr>
      <w:rFonts w:ascii="Calibri" w:hAnsi="Calibri"/>
      <w:sz w:val="32"/>
    </w:rPr>
  </w:style>
  <w:style w:type="paragraph" w:customStyle="1" w:styleId="xl71">
    <w:name w:val="xl71"/>
    <w:basedOn w:val="a3"/>
    <w:next w:val="toc115"/>
    <w:qFormat/>
    <w:pPr>
      <w:widowControl/>
      <w:shd w:val="clear" w:color="000000" w:fill="FFFFFF"/>
      <w:spacing w:before="280" w:after="280"/>
    </w:pPr>
    <w:rPr>
      <w:rFonts w:ascii="宋体" w:hAnsi="Calibri"/>
      <w:kern w:val="0"/>
      <w:sz w:val="24"/>
      <w:szCs w:val="20"/>
    </w:rPr>
  </w:style>
  <w:style w:type="paragraph" w:customStyle="1" w:styleId="toc115">
    <w:name w:val="toc 115"/>
    <w:next w:val="a3"/>
    <w:qFormat/>
    <w:pPr>
      <w:wordWrap w:val="0"/>
      <w:jc w:val="both"/>
    </w:pPr>
    <w:rPr>
      <w:rFonts w:ascii="Calibri" w:hAnsi="Calibri"/>
      <w:sz w:val="21"/>
    </w:rPr>
  </w:style>
  <w:style w:type="paragraph" w:customStyle="1" w:styleId="toc51">
    <w:name w:val="toc 51"/>
    <w:next w:val="a3"/>
    <w:qFormat/>
    <w:pPr>
      <w:wordWrap w:val="0"/>
      <w:ind w:left="1700"/>
      <w:jc w:val="both"/>
    </w:pPr>
    <w:rPr>
      <w:rFonts w:ascii="Calibri" w:hAnsi="Calibri"/>
      <w:sz w:val="21"/>
    </w:rPr>
  </w:style>
  <w:style w:type="paragraph" w:customStyle="1" w:styleId="toc47">
    <w:name w:val="toc 47"/>
    <w:next w:val="a3"/>
    <w:qFormat/>
    <w:pPr>
      <w:wordWrap w:val="0"/>
      <w:ind w:left="1275"/>
      <w:jc w:val="both"/>
    </w:pPr>
    <w:rPr>
      <w:rFonts w:ascii="Calibri" w:hAnsi="Calibri"/>
      <w:sz w:val="21"/>
    </w:rPr>
  </w:style>
  <w:style w:type="paragraph" w:customStyle="1" w:styleId="xl108">
    <w:name w:val="xl108"/>
    <w:basedOn w:val="a3"/>
    <w:next w:val="toc18"/>
    <w:qFormat/>
    <w:pPr>
      <w:widowControl/>
      <w:shd w:val="clear" w:color="000000" w:fill="FFFFFF"/>
      <w:spacing w:before="280" w:after="280"/>
    </w:pPr>
    <w:rPr>
      <w:rFonts w:ascii="宋体" w:hAnsi="Calibri"/>
      <w:kern w:val="0"/>
      <w:sz w:val="18"/>
      <w:szCs w:val="20"/>
    </w:rPr>
  </w:style>
  <w:style w:type="paragraph" w:customStyle="1" w:styleId="toc18">
    <w:name w:val="toc 18"/>
    <w:next w:val="a3"/>
    <w:qFormat/>
    <w:pPr>
      <w:wordWrap w:val="0"/>
      <w:jc w:val="both"/>
    </w:pPr>
    <w:rPr>
      <w:rFonts w:ascii="Calibri" w:hAnsi="Calibri"/>
      <w:sz w:val="21"/>
    </w:rPr>
  </w:style>
  <w:style w:type="paragraph" w:customStyle="1" w:styleId="TOCHeading7">
    <w:name w:val="TOC Heading7"/>
    <w:next w:val="a3"/>
    <w:qFormat/>
    <w:pPr>
      <w:wordWrap w:val="0"/>
    </w:pPr>
    <w:rPr>
      <w:rFonts w:ascii="Calibri" w:hAnsi="Calibri"/>
      <w:sz w:val="32"/>
    </w:rPr>
  </w:style>
  <w:style w:type="character" w:customStyle="1" w:styleId="Char8">
    <w:name w:val="副标题 Char"/>
    <w:basedOn w:val="a6"/>
    <w:link w:val="af2"/>
    <w:qFormat/>
    <w:rPr>
      <w:rFonts w:ascii="Calibri" w:hAnsi="Calibri"/>
      <w:sz w:val="24"/>
    </w:rPr>
  </w:style>
  <w:style w:type="paragraph" w:customStyle="1" w:styleId="710">
    <w:name w:val="目录 71"/>
    <w:next w:val="a3"/>
    <w:qFormat/>
    <w:pPr>
      <w:wordWrap w:val="0"/>
      <w:ind w:left="2550"/>
      <w:jc w:val="both"/>
    </w:pPr>
    <w:rPr>
      <w:rFonts w:ascii="Calibri" w:hAnsi="Calibri"/>
      <w:sz w:val="21"/>
    </w:rPr>
  </w:style>
  <w:style w:type="paragraph" w:customStyle="1" w:styleId="toc413">
    <w:name w:val="toc 413"/>
    <w:next w:val="a3"/>
    <w:qFormat/>
    <w:pPr>
      <w:wordWrap w:val="0"/>
      <w:ind w:left="1275"/>
      <w:jc w:val="both"/>
    </w:pPr>
    <w:rPr>
      <w:rFonts w:ascii="Calibri" w:hAnsi="Calibri"/>
      <w:sz w:val="21"/>
    </w:rPr>
  </w:style>
  <w:style w:type="paragraph" w:customStyle="1" w:styleId="toc85">
    <w:name w:val="toc 85"/>
    <w:next w:val="a3"/>
    <w:qFormat/>
    <w:pPr>
      <w:wordWrap w:val="0"/>
      <w:ind w:left="2975"/>
      <w:jc w:val="both"/>
    </w:pPr>
    <w:rPr>
      <w:rFonts w:ascii="Calibri" w:hAnsi="Calibri"/>
      <w:sz w:val="21"/>
    </w:rPr>
  </w:style>
  <w:style w:type="paragraph" w:customStyle="1" w:styleId="62">
    <w:name w:val="列出段落6"/>
    <w:basedOn w:val="a3"/>
    <w:next w:val="toc86"/>
    <w:qFormat/>
    <w:pPr>
      <w:ind w:firstLine="420"/>
    </w:pPr>
    <w:rPr>
      <w:rFonts w:hAnsi="Calibri"/>
      <w:kern w:val="0"/>
      <w:szCs w:val="20"/>
    </w:rPr>
  </w:style>
  <w:style w:type="paragraph" w:customStyle="1" w:styleId="toc86">
    <w:name w:val="toc 86"/>
    <w:next w:val="a3"/>
    <w:qFormat/>
    <w:pPr>
      <w:wordWrap w:val="0"/>
      <w:ind w:left="2975"/>
      <w:jc w:val="both"/>
    </w:pPr>
    <w:rPr>
      <w:rFonts w:ascii="Calibri" w:hAnsi="Calibri"/>
      <w:sz w:val="21"/>
    </w:rPr>
  </w:style>
  <w:style w:type="paragraph" w:customStyle="1" w:styleId="xl80">
    <w:name w:val="xl80"/>
    <w:basedOn w:val="a3"/>
    <w:next w:val="toc49"/>
    <w:qFormat/>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pPr>
      <w:wordWrap w:val="0"/>
      <w:ind w:left="1275"/>
      <w:jc w:val="both"/>
    </w:pPr>
    <w:rPr>
      <w:rFonts w:ascii="Calibri" w:hAnsi="Calibri"/>
      <w:sz w:val="21"/>
    </w:rPr>
  </w:style>
  <w:style w:type="paragraph" w:customStyle="1" w:styleId="CharCharCharChar1">
    <w:name w:val="Char Char Char Char1"/>
    <w:basedOn w:val="a3"/>
    <w:next w:val="toc713"/>
    <w:qFormat/>
    <w:pPr>
      <w:widowControl/>
      <w:spacing w:after="160" w:line="240" w:lineRule="exact"/>
    </w:pPr>
    <w:rPr>
      <w:rFonts w:ascii="Verdana" w:eastAsia="仿宋_GB2312" w:hAnsi="Calibri"/>
      <w:kern w:val="0"/>
      <w:sz w:val="24"/>
      <w:szCs w:val="20"/>
    </w:rPr>
  </w:style>
  <w:style w:type="paragraph" w:customStyle="1" w:styleId="toc713">
    <w:name w:val="toc 713"/>
    <w:next w:val="a3"/>
    <w:qFormat/>
    <w:pPr>
      <w:wordWrap w:val="0"/>
      <w:ind w:left="2550"/>
      <w:jc w:val="both"/>
    </w:pPr>
    <w:rPr>
      <w:rFonts w:ascii="Calibri" w:hAnsi="Calibri"/>
      <w:sz w:val="21"/>
    </w:rPr>
  </w:style>
  <w:style w:type="paragraph" w:customStyle="1" w:styleId="xl102">
    <w:name w:val="xl102"/>
    <w:basedOn w:val="a3"/>
    <w:next w:val="toc17"/>
    <w:qFormat/>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pPr>
      <w:wordWrap w:val="0"/>
      <w:jc w:val="both"/>
    </w:pPr>
    <w:rPr>
      <w:rFonts w:ascii="Calibri" w:hAnsi="Calibri"/>
      <w:sz w:val="21"/>
    </w:rPr>
  </w:style>
  <w:style w:type="paragraph" w:customStyle="1" w:styleId="toc46">
    <w:name w:val="toc 46"/>
    <w:next w:val="a3"/>
    <w:qFormat/>
    <w:pPr>
      <w:wordWrap w:val="0"/>
      <w:ind w:left="1275"/>
      <w:jc w:val="both"/>
    </w:pPr>
    <w:rPr>
      <w:rFonts w:ascii="Calibri" w:hAnsi="Calibri"/>
      <w:sz w:val="21"/>
    </w:rPr>
  </w:style>
  <w:style w:type="paragraph" w:customStyle="1" w:styleId="toc311">
    <w:name w:val="toc 311"/>
    <w:next w:val="a3"/>
    <w:qFormat/>
    <w:pPr>
      <w:wordWrap w:val="0"/>
      <w:ind w:left="850"/>
      <w:jc w:val="both"/>
    </w:pPr>
    <w:rPr>
      <w:rFonts w:ascii="Calibri" w:hAnsi="Calibri"/>
      <w:sz w:val="21"/>
    </w:rPr>
  </w:style>
  <w:style w:type="paragraph" w:customStyle="1" w:styleId="xl65">
    <w:name w:val="xl65"/>
    <w:basedOn w:val="a3"/>
    <w:next w:val="toc411"/>
    <w:qFormat/>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pPr>
      <w:wordWrap w:val="0"/>
      <w:ind w:left="3400"/>
      <w:jc w:val="both"/>
    </w:pPr>
    <w:rPr>
      <w:rFonts w:ascii="Calibri" w:hAnsi="Calibri"/>
      <w:sz w:val="21"/>
    </w:rPr>
  </w:style>
  <w:style w:type="paragraph" w:customStyle="1" w:styleId="toc55">
    <w:name w:val="toc 55"/>
    <w:next w:val="a3"/>
    <w:qFormat/>
    <w:pPr>
      <w:wordWrap w:val="0"/>
      <w:ind w:left="1700"/>
      <w:jc w:val="both"/>
    </w:pPr>
    <w:rPr>
      <w:rFonts w:ascii="Calibri" w:hAnsi="Calibri"/>
      <w:sz w:val="21"/>
    </w:rPr>
  </w:style>
  <w:style w:type="paragraph" w:customStyle="1" w:styleId="toc812">
    <w:name w:val="toc 812"/>
    <w:next w:val="a3"/>
    <w:qFormat/>
    <w:pPr>
      <w:wordWrap w:val="0"/>
      <w:ind w:left="2975"/>
      <w:jc w:val="both"/>
    </w:pPr>
    <w:rPr>
      <w:rFonts w:ascii="Calibri" w:hAnsi="Calibri"/>
      <w:sz w:val="21"/>
    </w:rPr>
  </w:style>
  <w:style w:type="paragraph" w:customStyle="1" w:styleId="xl75">
    <w:name w:val="xl75"/>
    <w:basedOn w:val="a3"/>
    <w:next w:val="toc914"/>
    <w:qFormat/>
    <w:pPr>
      <w:widowControl/>
      <w:shd w:val="clear" w:color="000000" w:fill="FFFFFF"/>
      <w:spacing w:before="280" w:after="280"/>
    </w:pPr>
    <w:rPr>
      <w:rFonts w:ascii="宋体" w:hAnsi="Calibri"/>
      <w:kern w:val="0"/>
      <w:sz w:val="20"/>
      <w:szCs w:val="20"/>
    </w:rPr>
  </w:style>
  <w:style w:type="paragraph" w:customStyle="1" w:styleId="toc914">
    <w:name w:val="toc 914"/>
    <w:next w:val="a3"/>
    <w:qFormat/>
    <w:pPr>
      <w:wordWrap w:val="0"/>
      <w:ind w:left="3400"/>
      <w:jc w:val="both"/>
    </w:pPr>
    <w:rPr>
      <w:rFonts w:ascii="Calibri" w:hAnsi="Calibri"/>
      <w:sz w:val="21"/>
    </w:rPr>
  </w:style>
  <w:style w:type="paragraph" w:customStyle="1" w:styleId="toc19">
    <w:name w:val="toc 19"/>
    <w:next w:val="a3"/>
    <w:qFormat/>
    <w:pPr>
      <w:wordWrap w:val="0"/>
      <w:jc w:val="both"/>
    </w:pPr>
    <w:rPr>
      <w:rFonts w:ascii="Calibri" w:hAnsi="Calibri"/>
      <w:sz w:val="21"/>
    </w:rPr>
  </w:style>
  <w:style w:type="paragraph" w:customStyle="1" w:styleId="TOCHeading6">
    <w:name w:val="TOC Heading6"/>
    <w:next w:val="a3"/>
    <w:qFormat/>
    <w:pPr>
      <w:wordWrap w:val="0"/>
    </w:pPr>
    <w:rPr>
      <w:rFonts w:ascii="Calibri" w:hAnsi="Calibri"/>
      <w:sz w:val="32"/>
    </w:rPr>
  </w:style>
  <w:style w:type="paragraph" w:customStyle="1" w:styleId="toc52">
    <w:name w:val="toc 52"/>
    <w:next w:val="a3"/>
    <w:qFormat/>
    <w:pPr>
      <w:wordWrap w:val="0"/>
      <w:ind w:left="1700"/>
      <w:jc w:val="both"/>
    </w:pPr>
    <w:rPr>
      <w:rFonts w:ascii="Calibri" w:hAnsi="Calibri"/>
      <w:sz w:val="21"/>
    </w:rPr>
  </w:style>
  <w:style w:type="paragraph" w:customStyle="1" w:styleId="toc36">
    <w:name w:val="toc 36"/>
    <w:next w:val="a3"/>
    <w:qFormat/>
    <w:pPr>
      <w:wordWrap w:val="0"/>
      <w:ind w:left="850"/>
      <w:jc w:val="both"/>
    </w:pPr>
    <w:rPr>
      <w:rFonts w:ascii="Calibri" w:hAnsi="Calibri"/>
      <w:sz w:val="21"/>
    </w:rPr>
  </w:style>
  <w:style w:type="paragraph" w:customStyle="1" w:styleId="toc82">
    <w:name w:val="toc 82"/>
    <w:next w:val="a3"/>
    <w:qFormat/>
    <w:pPr>
      <w:wordWrap w:val="0"/>
      <w:ind w:left="2975"/>
      <w:jc w:val="both"/>
    </w:pPr>
    <w:rPr>
      <w:rFonts w:ascii="Calibri" w:hAnsi="Calibri"/>
      <w:sz w:val="21"/>
    </w:rPr>
  </w:style>
  <w:style w:type="paragraph" w:customStyle="1" w:styleId="xl104">
    <w:name w:val="xl104"/>
    <w:basedOn w:val="a3"/>
    <w:next w:val="toc210"/>
    <w:qFormat/>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pPr>
      <w:wordWrap w:val="0"/>
      <w:ind w:left="425"/>
      <w:jc w:val="both"/>
    </w:pPr>
    <w:rPr>
      <w:rFonts w:ascii="Calibri" w:hAnsi="Calibri"/>
      <w:sz w:val="21"/>
    </w:rPr>
  </w:style>
  <w:style w:type="paragraph" w:customStyle="1" w:styleId="toc110">
    <w:name w:val="toc 110"/>
    <w:next w:val="a3"/>
    <w:qFormat/>
    <w:pPr>
      <w:wordWrap w:val="0"/>
      <w:jc w:val="both"/>
    </w:pPr>
    <w:rPr>
      <w:rFonts w:ascii="Calibri" w:hAnsi="Calibri"/>
      <w:sz w:val="21"/>
    </w:rPr>
  </w:style>
  <w:style w:type="paragraph" w:customStyle="1" w:styleId="toc66">
    <w:name w:val="toc 66"/>
    <w:next w:val="a3"/>
    <w:qFormat/>
    <w:pPr>
      <w:wordWrap w:val="0"/>
      <w:ind w:left="2125"/>
      <w:jc w:val="both"/>
    </w:pPr>
    <w:rPr>
      <w:rFonts w:ascii="Calibri" w:hAnsi="Calibri"/>
      <w:sz w:val="21"/>
    </w:rPr>
  </w:style>
  <w:style w:type="paragraph" w:customStyle="1" w:styleId="toc31">
    <w:name w:val="toc 31"/>
    <w:next w:val="a3"/>
    <w:qFormat/>
    <w:pPr>
      <w:wordWrap w:val="0"/>
      <w:ind w:left="850"/>
      <w:jc w:val="both"/>
    </w:pPr>
    <w:rPr>
      <w:rFonts w:ascii="Calibri" w:hAnsi="Calibri"/>
      <w:sz w:val="21"/>
    </w:rPr>
  </w:style>
  <w:style w:type="paragraph" w:customStyle="1" w:styleId="toc93">
    <w:name w:val="toc 93"/>
    <w:next w:val="a3"/>
    <w:qFormat/>
    <w:pPr>
      <w:wordWrap w:val="0"/>
      <w:ind w:left="3400"/>
      <w:jc w:val="both"/>
    </w:pPr>
    <w:rPr>
      <w:rFonts w:ascii="Calibri" w:hAnsi="Calibri"/>
      <w:sz w:val="21"/>
    </w:rPr>
  </w:style>
  <w:style w:type="paragraph" w:customStyle="1" w:styleId="toc614">
    <w:name w:val="toc 614"/>
    <w:next w:val="a3"/>
    <w:qFormat/>
    <w:pPr>
      <w:wordWrap w:val="0"/>
      <w:ind w:left="2125"/>
      <w:jc w:val="both"/>
    </w:pPr>
    <w:rPr>
      <w:rFonts w:ascii="Calibri" w:hAnsi="Calibri"/>
      <w:sz w:val="21"/>
    </w:rPr>
  </w:style>
  <w:style w:type="paragraph" w:customStyle="1" w:styleId="1c">
    <w:name w:val="无间隔1"/>
    <w:next w:val="toc110"/>
    <w:qFormat/>
    <w:pPr>
      <w:widowControl w:val="0"/>
      <w:jc w:val="both"/>
    </w:pPr>
    <w:rPr>
      <w:rFonts w:ascii="Calibri" w:hAnsi="Calibri"/>
      <w:sz w:val="22"/>
    </w:rPr>
  </w:style>
  <w:style w:type="paragraph" w:customStyle="1" w:styleId="410">
    <w:name w:val="目录 41"/>
    <w:next w:val="a3"/>
    <w:qFormat/>
    <w:pPr>
      <w:wordWrap w:val="0"/>
      <w:ind w:left="1275"/>
      <w:jc w:val="both"/>
    </w:pPr>
    <w:rPr>
      <w:rFonts w:ascii="Calibri" w:hAnsi="Calibri"/>
      <w:sz w:val="21"/>
    </w:rPr>
  </w:style>
  <w:style w:type="paragraph" w:customStyle="1" w:styleId="xl105">
    <w:name w:val="xl105"/>
    <w:basedOn w:val="a3"/>
    <w:next w:val="toc615"/>
    <w:qFormat/>
    <w:pPr>
      <w:widowControl/>
      <w:shd w:val="clear" w:color="000000" w:fill="FFFFFF"/>
      <w:spacing w:before="280" w:after="280"/>
    </w:pPr>
    <w:rPr>
      <w:rFonts w:ascii="宋体" w:hAnsi="Calibri"/>
      <w:kern w:val="0"/>
      <w:sz w:val="18"/>
      <w:szCs w:val="20"/>
    </w:rPr>
  </w:style>
  <w:style w:type="paragraph" w:customStyle="1" w:styleId="toc615">
    <w:name w:val="toc 615"/>
    <w:next w:val="a3"/>
    <w:qFormat/>
    <w:pPr>
      <w:wordWrap w:val="0"/>
      <w:ind w:left="2125"/>
      <w:jc w:val="both"/>
    </w:pPr>
    <w:rPr>
      <w:rFonts w:ascii="Calibri" w:hAnsi="Calibri"/>
      <w:sz w:val="21"/>
    </w:rPr>
  </w:style>
  <w:style w:type="paragraph" w:customStyle="1" w:styleId="toc41">
    <w:name w:val="toc 41"/>
    <w:next w:val="a3"/>
    <w:qFormat/>
    <w:pPr>
      <w:wordWrap w:val="0"/>
      <w:ind w:left="1275"/>
      <w:jc w:val="both"/>
    </w:pPr>
    <w:rPr>
      <w:rFonts w:ascii="Calibri" w:hAnsi="Calibri"/>
      <w:sz w:val="21"/>
    </w:rPr>
  </w:style>
  <w:style w:type="paragraph" w:customStyle="1" w:styleId="toc81">
    <w:name w:val="toc 81"/>
    <w:next w:val="a3"/>
    <w:qFormat/>
    <w:pPr>
      <w:wordWrap w:val="0"/>
      <w:ind w:left="2975"/>
      <w:jc w:val="both"/>
    </w:pPr>
    <w:rPr>
      <w:rFonts w:ascii="Calibri" w:hAnsi="Calibri"/>
      <w:sz w:val="21"/>
    </w:rPr>
  </w:style>
  <w:style w:type="paragraph" w:customStyle="1" w:styleId="xl111">
    <w:name w:val="xl111"/>
    <w:basedOn w:val="a3"/>
    <w:next w:val="toc88"/>
    <w:qFormat/>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pPr>
      <w:wordWrap w:val="0"/>
      <w:ind w:left="2975"/>
      <w:jc w:val="both"/>
    </w:pPr>
    <w:rPr>
      <w:rFonts w:ascii="Calibri" w:hAnsi="Calibri"/>
      <w:sz w:val="21"/>
    </w:rPr>
  </w:style>
  <w:style w:type="paragraph" w:customStyle="1" w:styleId="toc84">
    <w:name w:val="toc 84"/>
    <w:next w:val="a3"/>
    <w:qFormat/>
    <w:pPr>
      <w:wordWrap w:val="0"/>
      <w:ind w:left="2975"/>
      <w:jc w:val="both"/>
    </w:pPr>
    <w:rPr>
      <w:rFonts w:ascii="Calibri" w:hAnsi="Calibri"/>
      <w:sz w:val="21"/>
    </w:rPr>
  </w:style>
  <w:style w:type="paragraph" w:customStyle="1" w:styleId="p0">
    <w:name w:val="p0"/>
    <w:basedOn w:val="a3"/>
    <w:next w:val="toc69"/>
    <w:qFormat/>
    <w:pPr>
      <w:widowControl/>
      <w:spacing w:before="280" w:after="280"/>
    </w:pPr>
    <w:rPr>
      <w:rFonts w:ascii="宋体" w:hAnsi="Calibri"/>
      <w:kern w:val="0"/>
      <w:sz w:val="24"/>
      <w:szCs w:val="20"/>
    </w:rPr>
  </w:style>
  <w:style w:type="paragraph" w:customStyle="1" w:styleId="toc69">
    <w:name w:val="toc 69"/>
    <w:next w:val="a3"/>
    <w:qFormat/>
    <w:pPr>
      <w:wordWrap w:val="0"/>
      <w:ind w:left="2125"/>
      <w:jc w:val="both"/>
    </w:pPr>
    <w:rPr>
      <w:rFonts w:ascii="Calibri" w:hAnsi="Calibri"/>
      <w:sz w:val="21"/>
    </w:rPr>
  </w:style>
  <w:style w:type="paragraph" w:customStyle="1" w:styleId="111">
    <w:name w:val="列出段落11"/>
    <w:basedOn w:val="a3"/>
    <w:next w:val="toc214"/>
    <w:qFormat/>
    <w:pPr>
      <w:widowControl/>
      <w:spacing w:line="360" w:lineRule="auto"/>
      <w:ind w:firstLine="420"/>
    </w:pPr>
    <w:rPr>
      <w:rFonts w:eastAsia="微软雅黑" w:hAnsi="Calibri"/>
      <w:kern w:val="0"/>
      <w:sz w:val="24"/>
      <w:szCs w:val="20"/>
    </w:rPr>
  </w:style>
  <w:style w:type="paragraph" w:customStyle="1" w:styleId="toc214">
    <w:name w:val="toc 214"/>
    <w:next w:val="a3"/>
    <w:qFormat/>
    <w:pPr>
      <w:wordWrap w:val="0"/>
      <w:ind w:left="425"/>
      <w:jc w:val="both"/>
    </w:pPr>
    <w:rPr>
      <w:rFonts w:ascii="Calibri" w:hAnsi="Calibri"/>
      <w:sz w:val="21"/>
    </w:rPr>
  </w:style>
  <w:style w:type="paragraph" w:customStyle="1" w:styleId="toc63">
    <w:name w:val="toc 63"/>
    <w:next w:val="a3"/>
    <w:qFormat/>
    <w:pPr>
      <w:wordWrap w:val="0"/>
      <w:ind w:left="2125"/>
      <w:jc w:val="both"/>
    </w:pPr>
    <w:rPr>
      <w:rFonts w:ascii="Calibri" w:hAnsi="Calibri"/>
      <w:sz w:val="21"/>
    </w:rPr>
  </w:style>
  <w:style w:type="paragraph" w:customStyle="1" w:styleId="xl91">
    <w:name w:val="xl91"/>
    <w:basedOn w:val="a3"/>
    <w:next w:val="toc38"/>
    <w:qFormat/>
    <w:pPr>
      <w:widowControl/>
      <w:shd w:val="clear" w:color="000000" w:fill="FFFFFF"/>
      <w:spacing w:before="280" w:after="280"/>
    </w:pPr>
    <w:rPr>
      <w:rFonts w:ascii="宋体" w:hAnsi="Calibri"/>
      <w:kern w:val="0"/>
      <w:sz w:val="20"/>
      <w:szCs w:val="20"/>
    </w:rPr>
  </w:style>
  <w:style w:type="paragraph" w:customStyle="1" w:styleId="toc316">
    <w:name w:val="toc 316"/>
    <w:next w:val="a3"/>
    <w:qFormat/>
    <w:pPr>
      <w:wordWrap w:val="0"/>
      <w:ind w:left="850"/>
      <w:jc w:val="both"/>
    </w:pPr>
    <w:rPr>
      <w:rFonts w:ascii="Calibri" w:hAnsi="Calibri"/>
      <w:sz w:val="21"/>
    </w:rPr>
  </w:style>
  <w:style w:type="paragraph" w:customStyle="1" w:styleId="Style1">
    <w:name w:val="_Style 1"/>
    <w:basedOn w:val="a3"/>
    <w:next w:val="TOCHeading13"/>
    <w:qFormat/>
    <w:pPr>
      <w:ind w:firstLine="420"/>
    </w:pPr>
    <w:rPr>
      <w:rFonts w:hAnsi="Calibri"/>
      <w:kern w:val="0"/>
      <w:szCs w:val="20"/>
    </w:rPr>
  </w:style>
  <w:style w:type="paragraph" w:customStyle="1" w:styleId="TOCHeading13">
    <w:name w:val="TOC Heading13"/>
    <w:next w:val="a3"/>
    <w:qFormat/>
    <w:pPr>
      <w:wordWrap w:val="0"/>
    </w:pPr>
    <w:rPr>
      <w:rFonts w:ascii="Calibri" w:hAnsi="Calibri"/>
      <w:sz w:val="32"/>
    </w:rPr>
  </w:style>
  <w:style w:type="paragraph" w:customStyle="1" w:styleId="toc116">
    <w:name w:val="toc 116"/>
    <w:next w:val="a3"/>
    <w:qFormat/>
    <w:pPr>
      <w:wordWrap w:val="0"/>
      <w:jc w:val="both"/>
    </w:pPr>
    <w:rPr>
      <w:rFonts w:ascii="Calibri" w:hAnsi="Calibri"/>
      <w:sz w:val="21"/>
    </w:rPr>
  </w:style>
  <w:style w:type="paragraph" w:customStyle="1" w:styleId="toc72">
    <w:name w:val="toc 72"/>
    <w:next w:val="a3"/>
    <w:qFormat/>
    <w:pPr>
      <w:wordWrap w:val="0"/>
      <w:ind w:left="2550"/>
      <w:jc w:val="both"/>
    </w:pPr>
    <w:rPr>
      <w:rFonts w:ascii="Calibri" w:hAnsi="Calibri"/>
      <w:sz w:val="21"/>
    </w:rPr>
  </w:style>
  <w:style w:type="paragraph" w:customStyle="1" w:styleId="xmsonormal">
    <w:name w:val="x_msonormal"/>
    <w:basedOn w:val="a3"/>
    <w:next w:val="toc413"/>
    <w:qFormat/>
    <w:pPr>
      <w:widowControl/>
      <w:spacing w:before="280" w:after="280"/>
    </w:pPr>
    <w:rPr>
      <w:rFonts w:ascii="PMingLiU" w:eastAsia="PMingLiU" w:hAnsi="Calibri"/>
      <w:kern w:val="0"/>
      <w:sz w:val="24"/>
      <w:szCs w:val="20"/>
    </w:rPr>
  </w:style>
  <w:style w:type="paragraph" w:customStyle="1" w:styleId="toc310">
    <w:name w:val="toc 310"/>
    <w:next w:val="a3"/>
    <w:qFormat/>
    <w:pPr>
      <w:wordWrap w:val="0"/>
      <w:ind w:left="850"/>
      <w:jc w:val="both"/>
    </w:pPr>
    <w:rPr>
      <w:rFonts w:ascii="Calibri" w:hAnsi="Calibri"/>
      <w:sz w:val="21"/>
    </w:rPr>
  </w:style>
  <w:style w:type="paragraph" w:customStyle="1" w:styleId="toc83">
    <w:name w:val="toc 83"/>
    <w:next w:val="a3"/>
    <w:qFormat/>
    <w:pPr>
      <w:wordWrap w:val="0"/>
      <w:ind w:left="2975"/>
      <w:jc w:val="both"/>
    </w:pPr>
    <w:rPr>
      <w:rFonts w:ascii="Calibri" w:hAnsi="Calibri"/>
      <w:sz w:val="21"/>
    </w:rPr>
  </w:style>
  <w:style w:type="paragraph" w:customStyle="1" w:styleId="TOCHeading17">
    <w:name w:val="TOC Heading17"/>
    <w:next w:val="a3"/>
    <w:qFormat/>
    <w:pPr>
      <w:wordWrap w:val="0"/>
    </w:pPr>
    <w:rPr>
      <w:rFonts w:ascii="Calibri" w:hAnsi="Calibri"/>
      <w:sz w:val="32"/>
    </w:rPr>
  </w:style>
  <w:style w:type="paragraph" w:customStyle="1" w:styleId="toc911">
    <w:name w:val="toc 911"/>
    <w:next w:val="a3"/>
    <w:qFormat/>
    <w:pPr>
      <w:wordWrap w:val="0"/>
      <w:ind w:left="3400"/>
      <w:jc w:val="both"/>
    </w:pPr>
    <w:rPr>
      <w:rFonts w:ascii="Calibri" w:hAnsi="Calibri"/>
      <w:sz w:val="21"/>
    </w:rPr>
  </w:style>
  <w:style w:type="paragraph" w:customStyle="1" w:styleId="toc811">
    <w:name w:val="toc 811"/>
    <w:next w:val="a3"/>
    <w:qFormat/>
    <w:pPr>
      <w:wordWrap w:val="0"/>
      <w:ind w:left="2975"/>
      <w:jc w:val="both"/>
    </w:pPr>
    <w:rPr>
      <w:rFonts w:ascii="Calibri" w:hAnsi="Calibri"/>
      <w:sz w:val="21"/>
    </w:rPr>
  </w:style>
  <w:style w:type="paragraph" w:customStyle="1" w:styleId="310">
    <w:name w:val="目录 31"/>
    <w:next w:val="a3"/>
    <w:qFormat/>
    <w:pPr>
      <w:wordWrap w:val="0"/>
      <w:ind w:left="850"/>
      <w:jc w:val="both"/>
    </w:pPr>
    <w:rPr>
      <w:rFonts w:ascii="Calibri" w:hAnsi="Calibri"/>
      <w:sz w:val="21"/>
    </w:rPr>
  </w:style>
  <w:style w:type="paragraph" w:customStyle="1" w:styleId="xl118">
    <w:name w:val="xl118"/>
    <w:basedOn w:val="a3"/>
    <w:next w:val="toc410"/>
    <w:qFormat/>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pPr>
      <w:widowControl/>
      <w:shd w:val="clear" w:color="000000" w:fill="FFFFFF"/>
      <w:spacing w:before="280" w:after="280"/>
    </w:pPr>
    <w:rPr>
      <w:rFonts w:ascii="宋体" w:hAnsi="Calibri"/>
      <w:kern w:val="0"/>
      <w:sz w:val="20"/>
      <w:szCs w:val="20"/>
    </w:rPr>
  </w:style>
  <w:style w:type="paragraph" w:customStyle="1" w:styleId="toc111">
    <w:name w:val="toc 111"/>
    <w:next w:val="a3"/>
    <w:qFormat/>
    <w:pPr>
      <w:wordWrap w:val="0"/>
      <w:jc w:val="both"/>
    </w:pPr>
    <w:rPr>
      <w:rFonts w:ascii="Calibri" w:hAnsi="Calibri"/>
      <w:sz w:val="21"/>
    </w:rPr>
  </w:style>
  <w:style w:type="paragraph" w:customStyle="1" w:styleId="xl68">
    <w:name w:val="xl68"/>
    <w:basedOn w:val="a3"/>
    <w:next w:val="TOCHeading16"/>
    <w:qFormat/>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pPr>
      <w:wordWrap w:val="0"/>
    </w:pPr>
    <w:rPr>
      <w:rFonts w:ascii="Calibri" w:hAnsi="Calibri"/>
      <w:sz w:val="32"/>
    </w:rPr>
  </w:style>
  <w:style w:type="paragraph" w:customStyle="1" w:styleId="toc113">
    <w:name w:val="toc 113"/>
    <w:next w:val="a3"/>
    <w:qFormat/>
    <w:pPr>
      <w:wordWrap w:val="0"/>
      <w:jc w:val="both"/>
    </w:pPr>
    <w:rPr>
      <w:rFonts w:ascii="Calibri" w:hAnsi="Calibri"/>
      <w:sz w:val="21"/>
    </w:rPr>
  </w:style>
  <w:style w:type="paragraph" w:customStyle="1" w:styleId="xl94">
    <w:name w:val="xl94"/>
    <w:basedOn w:val="a3"/>
    <w:next w:val="toc513"/>
    <w:qFormat/>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pPr>
      <w:wordWrap w:val="0"/>
      <w:ind w:left="1700"/>
      <w:jc w:val="both"/>
    </w:pPr>
    <w:rPr>
      <w:rFonts w:ascii="Calibri" w:hAnsi="Calibri"/>
      <w:sz w:val="21"/>
    </w:rPr>
  </w:style>
  <w:style w:type="paragraph" w:customStyle="1" w:styleId="xl92">
    <w:name w:val="xl92"/>
    <w:basedOn w:val="a3"/>
    <w:next w:val="toc913"/>
    <w:qFormat/>
    <w:pPr>
      <w:widowControl/>
      <w:shd w:val="clear" w:color="000000" w:fill="FFFFFF"/>
      <w:spacing w:before="280" w:after="280"/>
    </w:pPr>
    <w:rPr>
      <w:rFonts w:ascii="宋体" w:hAnsi="Calibri"/>
      <w:kern w:val="0"/>
      <w:sz w:val="20"/>
      <w:szCs w:val="20"/>
    </w:rPr>
  </w:style>
  <w:style w:type="paragraph" w:customStyle="1" w:styleId="toc913">
    <w:name w:val="toc 913"/>
    <w:next w:val="a3"/>
    <w:qFormat/>
    <w:pPr>
      <w:wordWrap w:val="0"/>
      <w:ind w:left="3400"/>
      <w:jc w:val="both"/>
    </w:pPr>
    <w:rPr>
      <w:rFonts w:ascii="Calibri" w:hAnsi="Calibri"/>
      <w:sz w:val="21"/>
    </w:rPr>
  </w:style>
  <w:style w:type="paragraph" w:customStyle="1" w:styleId="toc512">
    <w:name w:val="toc 512"/>
    <w:next w:val="a3"/>
    <w:qFormat/>
    <w:pPr>
      <w:wordWrap w:val="0"/>
      <w:ind w:left="1700"/>
      <w:jc w:val="both"/>
    </w:pPr>
    <w:rPr>
      <w:rFonts w:ascii="Calibri" w:hAnsi="Calibri"/>
      <w:sz w:val="21"/>
    </w:rPr>
  </w:style>
  <w:style w:type="paragraph" w:customStyle="1" w:styleId="810">
    <w:name w:val="目录 81"/>
    <w:next w:val="a3"/>
    <w:qFormat/>
    <w:pPr>
      <w:wordWrap w:val="0"/>
      <w:ind w:left="2975"/>
      <w:jc w:val="both"/>
    </w:pPr>
    <w:rPr>
      <w:rFonts w:ascii="Calibri" w:hAnsi="Calibri"/>
      <w:sz w:val="21"/>
    </w:rPr>
  </w:style>
  <w:style w:type="paragraph" w:customStyle="1" w:styleId="afff1">
    <w:name w:val="正文表标题"/>
    <w:next w:val="a3"/>
    <w:qFormat/>
    <w:pPr>
      <w:ind w:left="630"/>
      <w:jc w:val="center"/>
    </w:pPr>
    <w:rPr>
      <w:rFonts w:ascii="黑体" w:eastAsia="黑体" w:hAnsi="Calibri"/>
      <w:sz w:val="21"/>
    </w:rPr>
  </w:style>
  <w:style w:type="paragraph" w:customStyle="1" w:styleId="toc28">
    <w:name w:val="toc 28"/>
    <w:next w:val="a3"/>
    <w:qFormat/>
    <w:pPr>
      <w:wordWrap w:val="0"/>
      <w:ind w:left="425"/>
      <w:jc w:val="both"/>
    </w:pPr>
    <w:rPr>
      <w:rFonts w:ascii="Calibri" w:hAnsi="Calibri"/>
      <w:sz w:val="21"/>
    </w:rPr>
  </w:style>
  <w:style w:type="paragraph" w:customStyle="1" w:styleId="toc79">
    <w:name w:val="toc 79"/>
    <w:next w:val="a3"/>
    <w:qFormat/>
    <w:pPr>
      <w:wordWrap w:val="0"/>
      <w:ind w:left="2550"/>
      <w:jc w:val="both"/>
    </w:pPr>
    <w:rPr>
      <w:rFonts w:ascii="Calibri" w:hAnsi="Calibri"/>
      <w:sz w:val="21"/>
    </w:rPr>
  </w:style>
  <w:style w:type="paragraph" w:customStyle="1" w:styleId="xl110">
    <w:name w:val="xl110"/>
    <w:basedOn w:val="a3"/>
    <w:next w:val="toc614"/>
    <w:qFormat/>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pPr>
      <w:wordWrap w:val="0"/>
      <w:ind w:left="1700"/>
      <w:jc w:val="both"/>
    </w:pPr>
    <w:rPr>
      <w:rFonts w:ascii="Calibri" w:hAnsi="Calibri"/>
      <w:sz w:val="21"/>
    </w:rPr>
  </w:style>
  <w:style w:type="paragraph" w:customStyle="1" w:styleId="toc416">
    <w:name w:val="toc 416"/>
    <w:next w:val="a3"/>
    <w:qFormat/>
    <w:pPr>
      <w:wordWrap w:val="0"/>
      <w:ind w:left="1275"/>
      <w:jc w:val="both"/>
    </w:pPr>
    <w:rPr>
      <w:rFonts w:ascii="Calibri" w:hAnsi="Calibri"/>
      <w:sz w:val="21"/>
    </w:rPr>
  </w:style>
  <w:style w:type="paragraph" w:customStyle="1" w:styleId="xl85">
    <w:name w:val="xl85"/>
    <w:basedOn w:val="a3"/>
    <w:next w:val="toc76"/>
    <w:qFormat/>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pPr>
      <w:wordWrap w:val="0"/>
      <w:ind w:left="2550"/>
      <w:jc w:val="both"/>
    </w:pPr>
    <w:rPr>
      <w:rFonts w:ascii="Calibri" w:hAnsi="Calibri"/>
      <w:sz w:val="21"/>
    </w:rPr>
  </w:style>
  <w:style w:type="paragraph" w:customStyle="1" w:styleId="toc27">
    <w:name w:val="toc 27"/>
    <w:next w:val="a3"/>
    <w:qFormat/>
    <w:pPr>
      <w:wordWrap w:val="0"/>
      <w:ind w:left="425"/>
      <w:jc w:val="both"/>
    </w:pPr>
    <w:rPr>
      <w:rFonts w:ascii="Calibri" w:hAnsi="Calibri"/>
      <w:sz w:val="21"/>
    </w:rPr>
  </w:style>
  <w:style w:type="paragraph" w:customStyle="1" w:styleId="toc916">
    <w:name w:val="toc 916"/>
    <w:next w:val="a3"/>
    <w:qFormat/>
    <w:pPr>
      <w:wordWrap w:val="0"/>
      <w:ind w:left="3400"/>
      <w:jc w:val="both"/>
    </w:pPr>
    <w:rPr>
      <w:rFonts w:ascii="Calibri" w:hAnsi="Calibri"/>
      <w:sz w:val="21"/>
    </w:rPr>
  </w:style>
  <w:style w:type="paragraph" w:customStyle="1" w:styleId="toc77">
    <w:name w:val="toc 77"/>
    <w:next w:val="a3"/>
    <w:qFormat/>
    <w:pPr>
      <w:wordWrap w:val="0"/>
      <w:ind w:left="2550"/>
      <w:jc w:val="both"/>
    </w:pPr>
    <w:rPr>
      <w:rFonts w:ascii="Calibri" w:hAnsi="Calibri"/>
      <w:sz w:val="21"/>
    </w:rPr>
  </w:style>
  <w:style w:type="paragraph" w:customStyle="1" w:styleId="toc211">
    <w:name w:val="toc 211"/>
    <w:next w:val="a3"/>
    <w:qFormat/>
    <w:pPr>
      <w:wordWrap w:val="0"/>
      <w:ind w:left="425"/>
      <w:jc w:val="both"/>
    </w:pPr>
    <w:rPr>
      <w:rFonts w:ascii="Calibri" w:hAnsi="Calibri"/>
      <w:sz w:val="21"/>
    </w:rPr>
  </w:style>
  <w:style w:type="paragraph" w:customStyle="1" w:styleId="toc815">
    <w:name w:val="toc 815"/>
    <w:next w:val="a3"/>
    <w:qFormat/>
    <w:pPr>
      <w:wordWrap w:val="0"/>
      <w:ind w:left="2975"/>
      <w:jc w:val="both"/>
    </w:pPr>
    <w:rPr>
      <w:rFonts w:ascii="Calibri" w:hAnsi="Calibri"/>
      <w:sz w:val="21"/>
    </w:rPr>
  </w:style>
  <w:style w:type="paragraph" w:customStyle="1" w:styleId="xl99">
    <w:name w:val="xl99"/>
    <w:basedOn w:val="a3"/>
    <w:next w:val="toc512"/>
    <w:qFormat/>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pPr>
      <w:wordWrap w:val="0"/>
      <w:ind w:left="2125"/>
      <w:jc w:val="both"/>
    </w:pPr>
    <w:rPr>
      <w:rFonts w:ascii="Calibri" w:hAnsi="Calibri"/>
      <w:sz w:val="21"/>
    </w:rPr>
  </w:style>
  <w:style w:type="paragraph" w:customStyle="1" w:styleId="toc315">
    <w:name w:val="toc 315"/>
    <w:next w:val="a3"/>
    <w:qFormat/>
    <w:pPr>
      <w:wordWrap w:val="0"/>
      <w:ind w:left="850"/>
      <w:jc w:val="both"/>
    </w:pPr>
    <w:rPr>
      <w:rFonts w:ascii="Calibri" w:hAnsi="Calibri"/>
      <w:sz w:val="21"/>
    </w:rPr>
  </w:style>
  <w:style w:type="paragraph" w:customStyle="1" w:styleId="TOCHeading15">
    <w:name w:val="TOC Heading15"/>
    <w:next w:val="a3"/>
    <w:qFormat/>
    <w:pPr>
      <w:wordWrap w:val="0"/>
    </w:pPr>
    <w:rPr>
      <w:rFonts w:ascii="Calibri" w:hAnsi="Calibri"/>
      <w:sz w:val="32"/>
    </w:rPr>
  </w:style>
  <w:style w:type="paragraph" w:customStyle="1" w:styleId="toc915">
    <w:name w:val="toc 915"/>
    <w:next w:val="a3"/>
    <w:qFormat/>
    <w:pPr>
      <w:wordWrap w:val="0"/>
      <w:ind w:left="3400"/>
      <w:jc w:val="both"/>
    </w:pPr>
    <w:rPr>
      <w:rFonts w:ascii="Calibri" w:hAnsi="Calibri"/>
      <w:sz w:val="21"/>
    </w:rPr>
  </w:style>
  <w:style w:type="paragraph" w:customStyle="1" w:styleId="toc39">
    <w:name w:val="toc 39"/>
    <w:next w:val="a3"/>
    <w:qFormat/>
    <w:pPr>
      <w:wordWrap w:val="0"/>
      <w:ind w:left="850"/>
      <w:jc w:val="both"/>
    </w:pPr>
    <w:rPr>
      <w:rFonts w:ascii="Calibri" w:hAnsi="Calibri"/>
      <w:sz w:val="21"/>
    </w:rPr>
  </w:style>
  <w:style w:type="paragraph" w:customStyle="1" w:styleId="toc710">
    <w:name w:val="toc 710"/>
    <w:next w:val="a3"/>
    <w:qFormat/>
    <w:pPr>
      <w:wordWrap w:val="0"/>
      <w:ind w:left="2550"/>
      <w:jc w:val="both"/>
    </w:pPr>
    <w:rPr>
      <w:rFonts w:ascii="Calibri" w:hAnsi="Calibri"/>
      <w:sz w:val="21"/>
    </w:rPr>
  </w:style>
  <w:style w:type="paragraph" w:customStyle="1" w:styleId="toc12">
    <w:name w:val="toc 12"/>
    <w:next w:val="a3"/>
    <w:qFormat/>
    <w:pPr>
      <w:wordWrap w:val="0"/>
      <w:jc w:val="both"/>
    </w:pPr>
    <w:rPr>
      <w:rFonts w:ascii="Calibri" w:hAnsi="Calibri"/>
      <w:sz w:val="21"/>
    </w:rPr>
  </w:style>
  <w:style w:type="paragraph" w:customStyle="1" w:styleId="xl95">
    <w:name w:val="xl95"/>
    <w:basedOn w:val="a3"/>
    <w:next w:val="toc415"/>
    <w:qFormat/>
    <w:pPr>
      <w:widowControl/>
      <w:shd w:val="clear" w:color="000000" w:fill="FFFFFF"/>
      <w:spacing w:before="280" w:after="280"/>
    </w:pPr>
    <w:rPr>
      <w:rFonts w:ascii="宋体" w:hAnsi="Calibri"/>
      <w:kern w:val="0"/>
      <w:sz w:val="20"/>
      <w:szCs w:val="20"/>
    </w:rPr>
  </w:style>
  <w:style w:type="paragraph" w:customStyle="1" w:styleId="toc415">
    <w:name w:val="toc 415"/>
    <w:next w:val="a3"/>
    <w:qFormat/>
    <w:pPr>
      <w:wordWrap w:val="0"/>
      <w:ind w:left="1275"/>
      <w:jc w:val="both"/>
    </w:pPr>
    <w:rPr>
      <w:rFonts w:ascii="Calibri" w:hAnsi="Calibri"/>
      <w:sz w:val="21"/>
    </w:rPr>
  </w:style>
  <w:style w:type="paragraph" w:customStyle="1" w:styleId="toc29">
    <w:name w:val="toc 29"/>
    <w:next w:val="a3"/>
    <w:qFormat/>
    <w:pPr>
      <w:wordWrap w:val="0"/>
      <w:ind w:left="425"/>
      <w:jc w:val="both"/>
    </w:pPr>
    <w:rPr>
      <w:rFonts w:ascii="Calibri" w:hAnsi="Calibri"/>
      <w:sz w:val="21"/>
    </w:rPr>
  </w:style>
  <w:style w:type="paragraph" w:customStyle="1" w:styleId="xl67">
    <w:name w:val="xl67"/>
    <w:basedOn w:val="a3"/>
    <w:next w:val="toc714"/>
    <w:qFormat/>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pPr>
      <w:wordWrap w:val="0"/>
      <w:ind w:left="2550"/>
      <w:jc w:val="both"/>
    </w:pPr>
    <w:rPr>
      <w:rFonts w:ascii="Calibri" w:hAnsi="Calibri"/>
      <w:sz w:val="21"/>
    </w:rPr>
  </w:style>
  <w:style w:type="paragraph" w:customStyle="1" w:styleId="toc21">
    <w:name w:val="toc 21"/>
    <w:next w:val="a3"/>
    <w:qFormat/>
    <w:pPr>
      <w:wordWrap w:val="0"/>
      <w:ind w:left="425"/>
      <w:jc w:val="both"/>
    </w:pPr>
    <w:rPr>
      <w:rFonts w:ascii="Calibri" w:hAnsi="Calibri"/>
      <w:sz w:val="21"/>
    </w:rPr>
  </w:style>
  <w:style w:type="paragraph" w:customStyle="1" w:styleId="Afff2">
    <w:name w:val="正文 A"/>
    <w:next w:val="toc812"/>
    <w:qFormat/>
    <w:rPr>
      <w:rFonts w:ascii="Arial" w:eastAsia="Arial Unicode MS" w:hAnsi="Calibri"/>
      <w:color w:val="000000"/>
      <w:sz w:val="21"/>
    </w:rPr>
  </w:style>
  <w:style w:type="paragraph" w:customStyle="1" w:styleId="toc68">
    <w:name w:val="toc 68"/>
    <w:next w:val="a3"/>
    <w:qFormat/>
    <w:pPr>
      <w:wordWrap w:val="0"/>
      <w:ind w:left="2125"/>
      <w:jc w:val="both"/>
    </w:pPr>
    <w:rPr>
      <w:rFonts w:ascii="Calibri" w:hAnsi="Calibri"/>
      <w:sz w:val="21"/>
    </w:rPr>
  </w:style>
  <w:style w:type="paragraph" w:customStyle="1" w:styleId="toc58">
    <w:name w:val="toc 58"/>
    <w:next w:val="a3"/>
    <w:qFormat/>
    <w:pPr>
      <w:wordWrap w:val="0"/>
      <w:ind w:left="1700"/>
      <w:jc w:val="both"/>
    </w:pPr>
    <w:rPr>
      <w:rFonts w:ascii="Calibri" w:hAnsi="Calibri"/>
      <w:sz w:val="21"/>
    </w:rPr>
  </w:style>
  <w:style w:type="paragraph" w:customStyle="1" w:styleId="xl88">
    <w:name w:val="xl88"/>
    <w:basedOn w:val="a3"/>
    <w:next w:val="TOCHeading15"/>
    <w:qFormat/>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pPr>
      <w:wordWrap w:val="0"/>
      <w:ind w:left="2550"/>
      <w:jc w:val="both"/>
    </w:pPr>
    <w:rPr>
      <w:rFonts w:ascii="Calibri" w:hAnsi="Calibri"/>
      <w:sz w:val="21"/>
    </w:rPr>
  </w:style>
  <w:style w:type="paragraph" w:customStyle="1" w:styleId="xl100">
    <w:name w:val="xl100"/>
    <w:basedOn w:val="a3"/>
    <w:next w:val="toc510"/>
    <w:qFormat/>
    <w:pPr>
      <w:widowControl/>
      <w:shd w:val="clear" w:color="000000" w:fill="FFFFFF"/>
      <w:spacing w:before="280" w:after="280"/>
    </w:pPr>
    <w:rPr>
      <w:rFonts w:ascii="宋体" w:hAnsi="Calibri"/>
      <w:kern w:val="0"/>
      <w:sz w:val="20"/>
      <w:szCs w:val="20"/>
    </w:rPr>
  </w:style>
  <w:style w:type="paragraph" w:customStyle="1" w:styleId="toc510">
    <w:name w:val="toc 510"/>
    <w:next w:val="a3"/>
    <w:qFormat/>
    <w:pPr>
      <w:wordWrap w:val="0"/>
      <w:ind w:left="1700"/>
      <w:jc w:val="both"/>
    </w:pPr>
    <w:rPr>
      <w:rFonts w:ascii="Calibri" w:hAnsi="Calibri"/>
      <w:sz w:val="21"/>
    </w:rPr>
  </w:style>
  <w:style w:type="paragraph" w:customStyle="1" w:styleId="toc314">
    <w:name w:val="toc 314"/>
    <w:next w:val="a3"/>
    <w:qFormat/>
    <w:pPr>
      <w:wordWrap w:val="0"/>
      <w:ind w:left="850"/>
      <w:jc w:val="both"/>
    </w:pPr>
    <w:rPr>
      <w:rFonts w:ascii="Calibri" w:hAnsi="Calibri"/>
      <w:sz w:val="21"/>
    </w:rPr>
  </w:style>
  <w:style w:type="paragraph" w:customStyle="1" w:styleId="xl114">
    <w:name w:val="xl114"/>
    <w:basedOn w:val="a3"/>
    <w:next w:val="toc711"/>
    <w:qFormat/>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pPr>
      <w:widowControl/>
      <w:shd w:val="clear" w:color="000000" w:fill="FFFFFF"/>
      <w:spacing w:before="280" w:after="280"/>
    </w:pPr>
    <w:rPr>
      <w:rFonts w:ascii="宋体" w:hAnsi="Calibri"/>
      <w:kern w:val="0"/>
      <w:sz w:val="20"/>
      <w:szCs w:val="20"/>
    </w:rPr>
  </w:style>
  <w:style w:type="paragraph" w:customStyle="1" w:styleId="toc610">
    <w:name w:val="toc 610"/>
    <w:next w:val="a3"/>
    <w:qFormat/>
    <w:pPr>
      <w:wordWrap w:val="0"/>
      <w:ind w:left="2125"/>
      <w:jc w:val="both"/>
    </w:pPr>
    <w:rPr>
      <w:rFonts w:ascii="Calibri" w:hAnsi="Calibri"/>
      <w:sz w:val="21"/>
    </w:rPr>
  </w:style>
  <w:style w:type="paragraph" w:customStyle="1" w:styleId="toc22">
    <w:name w:val="toc 22"/>
    <w:next w:val="a3"/>
    <w:qFormat/>
    <w:pPr>
      <w:wordWrap w:val="0"/>
      <w:ind w:left="425"/>
      <w:jc w:val="both"/>
    </w:pPr>
    <w:rPr>
      <w:rFonts w:ascii="Calibri" w:hAnsi="Calibri"/>
      <w:sz w:val="21"/>
    </w:rPr>
  </w:style>
  <w:style w:type="paragraph" w:customStyle="1" w:styleId="xl90">
    <w:name w:val="xl90"/>
    <w:basedOn w:val="a3"/>
    <w:next w:val="toc414"/>
    <w:qFormat/>
    <w:pPr>
      <w:widowControl/>
      <w:shd w:val="clear" w:color="000000" w:fill="FFFFFF"/>
      <w:spacing w:before="280" w:after="280"/>
    </w:pPr>
    <w:rPr>
      <w:rFonts w:ascii="宋体" w:hAnsi="Calibri"/>
      <w:kern w:val="0"/>
      <w:sz w:val="18"/>
      <w:szCs w:val="20"/>
    </w:rPr>
  </w:style>
  <w:style w:type="paragraph" w:customStyle="1" w:styleId="toc616">
    <w:name w:val="toc 616"/>
    <w:next w:val="a3"/>
    <w:qFormat/>
    <w:pPr>
      <w:wordWrap w:val="0"/>
      <w:ind w:left="2125"/>
      <w:jc w:val="both"/>
    </w:pPr>
    <w:rPr>
      <w:rFonts w:ascii="Calibri" w:hAnsi="Calibri"/>
      <w:sz w:val="21"/>
    </w:rPr>
  </w:style>
  <w:style w:type="paragraph" w:customStyle="1" w:styleId="toc96">
    <w:name w:val="toc 96"/>
    <w:next w:val="a3"/>
    <w:qFormat/>
    <w:pPr>
      <w:wordWrap w:val="0"/>
      <w:ind w:left="3400"/>
      <w:jc w:val="both"/>
    </w:pPr>
    <w:rPr>
      <w:rFonts w:ascii="Calibri" w:hAnsi="Calibri"/>
      <w:sz w:val="21"/>
    </w:rPr>
  </w:style>
  <w:style w:type="paragraph" w:customStyle="1" w:styleId="toc42">
    <w:name w:val="toc 42"/>
    <w:next w:val="a3"/>
    <w:qFormat/>
    <w:pPr>
      <w:wordWrap w:val="0"/>
      <w:ind w:left="1275"/>
      <w:jc w:val="both"/>
    </w:pPr>
    <w:rPr>
      <w:rFonts w:ascii="Calibri" w:hAnsi="Calibri"/>
      <w:sz w:val="21"/>
    </w:rPr>
  </w:style>
  <w:style w:type="paragraph" w:customStyle="1" w:styleId="xl117">
    <w:name w:val="xl117"/>
    <w:basedOn w:val="a3"/>
    <w:next w:val="toc311"/>
    <w:qFormat/>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pPr>
      <w:widowControl/>
      <w:ind w:firstLine="420"/>
    </w:pPr>
    <w:rPr>
      <w:rFonts w:hAnsi="Calibri"/>
      <w:kern w:val="0"/>
      <w:szCs w:val="20"/>
    </w:rPr>
  </w:style>
  <w:style w:type="paragraph" w:customStyle="1" w:styleId="xl87">
    <w:name w:val="xl87"/>
    <w:basedOn w:val="a3"/>
    <w:next w:val="toc98"/>
    <w:qFormat/>
    <w:pPr>
      <w:widowControl/>
      <w:shd w:val="clear" w:color="000000" w:fill="FFFFFF"/>
      <w:spacing w:before="280" w:after="280"/>
    </w:pPr>
    <w:rPr>
      <w:rFonts w:ascii="Arial" w:hAnsi="Calibri"/>
      <w:kern w:val="0"/>
      <w:sz w:val="18"/>
      <w:szCs w:val="20"/>
    </w:rPr>
  </w:style>
  <w:style w:type="paragraph" w:customStyle="1" w:styleId="toc98">
    <w:name w:val="toc 98"/>
    <w:next w:val="a3"/>
    <w:qFormat/>
    <w:pPr>
      <w:wordWrap w:val="0"/>
      <w:ind w:left="3400"/>
      <w:jc w:val="both"/>
    </w:pPr>
    <w:rPr>
      <w:rFonts w:ascii="Calibri" w:hAnsi="Calibri"/>
      <w:sz w:val="21"/>
    </w:rPr>
  </w:style>
  <w:style w:type="paragraph" w:customStyle="1" w:styleId="72">
    <w:name w:val="列出段落7"/>
    <w:basedOn w:val="a3"/>
    <w:next w:val="toc58"/>
    <w:qFormat/>
    <w:pPr>
      <w:ind w:firstLine="420"/>
    </w:pPr>
    <w:rPr>
      <w:rFonts w:hAnsi="Calibri"/>
      <w:kern w:val="0"/>
      <w:szCs w:val="20"/>
    </w:rPr>
  </w:style>
  <w:style w:type="paragraph" w:customStyle="1" w:styleId="xl78">
    <w:name w:val="xl78"/>
    <w:basedOn w:val="a3"/>
    <w:next w:val="toc710"/>
    <w:qFormat/>
    <w:pPr>
      <w:widowControl/>
      <w:shd w:val="clear" w:color="000000" w:fill="FFFFFF"/>
      <w:spacing w:before="280" w:after="280"/>
    </w:pPr>
    <w:rPr>
      <w:rFonts w:ascii="宋体" w:hAnsi="Calibri"/>
      <w:b/>
      <w:kern w:val="0"/>
      <w:sz w:val="20"/>
      <w:szCs w:val="20"/>
    </w:rPr>
  </w:style>
  <w:style w:type="paragraph" w:customStyle="1" w:styleId="toc516">
    <w:name w:val="toc 516"/>
    <w:next w:val="a3"/>
    <w:qFormat/>
    <w:pPr>
      <w:wordWrap w:val="0"/>
      <w:ind w:left="1700"/>
      <w:jc w:val="both"/>
    </w:pPr>
    <w:rPr>
      <w:rFonts w:ascii="Calibri" w:hAnsi="Calibri"/>
      <w:sz w:val="21"/>
    </w:rPr>
  </w:style>
  <w:style w:type="paragraph" w:customStyle="1" w:styleId="xl89">
    <w:name w:val="xl89"/>
    <w:basedOn w:val="a3"/>
    <w:next w:val="toc811"/>
    <w:qFormat/>
    <w:pPr>
      <w:widowControl/>
      <w:shd w:val="clear" w:color="000000" w:fill="FFFFFF"/>
      <w:spacing w:before="280" w:after="280"/>
    </w:pPr>
    <w:rPr>
      <w:rFonts w:ascii="宋体" w:hAnsi="Calibri"/>
      <w:kern w:val="0"/>
      <w:sz w:val="20"/>
      <w:szCs w:val="20"/>
    </w:rPr>
  </w:style>
  <w:style w:type="paragraph" w:customStyle="1" w:styleId="toc910">
    <w:name w:val="toc 910"/>
    <w:next w:val="a3"/>
    <w:qFormat/>
    <w:pPr>
      <w:wordWrap w:val="0"/>
      <w:ind w:left="3400"/>
      <w:jc w:val="both"/>
    </w:pPr>
    <w:rPr>
      <w:rFonts w:ascii="Calibri" w:hAnsi="Calibri"/>
      <w:sz w:val="21"/>
    </w:rPr>
  </w:style>
  <w:style w:type="paragraph" w:customStyle="1" w:styleId="toc34">
    <w:name w:val="toc 34"/>
    <w:next w:val="a3"/>
    <w:qFormat/>
    <w:pPr>
      <w:wordWrap w:val="0"/>
      <w:ind w:left="850"/>
      <w:jc w:val="both"/>
    </w:pPr>
    <w:rPr>
      <w:rFonts w:ascii="Calibri" w:hAnsi="Calibri"/>
      <w:sz w:val="21"/>
    </w:rPr>
  </w:style>
  <w:style w:type="paragraph" w:customStyle="1" w:styleId="toc816">
    <w:name w:val="toc 816"/>
    <w:next w:val="a3"/>
    <w:qFormat/>
    <w:pPr>
      <w:wordWrap w:val="0"/>
      <w:ind w:left="2975"/>
      <w:jc w:val="both"/>
    </w:pPr>
    <w:rPr>
      <w:rFonts w:ascii="Calibri" w:hAnsi="Calibri"/>
      <w:sz w:val="21"/>
    </w:rPr>
  </w:style>
  <w:style w:type="paragraph" w:customStyle="1" w:styleId="toc43">
    <w:name w:val="toc 43"/>
    <w:next w:val="a3"/>
    <w:qFormat/>
    <w:pPr>
      <w:wordWrap w:val="0"/>
      <w:ind w:left="1275"/>
      <w:jc w:val="both"/>
    </w:pPr>
    <w:rPr>
      <w:rFonts w:ascii="Calibri" w:hAnsi="Calibri"/>
      <w:sz w:val="21"/>
    </w:rPr>
  </w:style>
  <w:style w:type="paragraph" w:customStyle="1" w:styleId="toc16">
    <w:name w:val="toc 16"/>
    <w:next w:val="a3"/>
    <w:qFormat/>
    <w:pPr>
      <w:wordWrap w:val="0"/>
      <w:jc w:val="both"/>
    </w:pPr>
    <w:rPr>
      <w:rFonts w:ascii="Calibri" w:hAnsi="Calibri"/>
      <w:sz w:val="21"/>
    </w:rPr>
  </w:style>
  <w:style w:type="paragraph" w:styleId="afff3">
    <w:name w:val="Quote"/>
    <w:next w:val="a3"/>
    <w:link w:val="Charf2"/>
    <w:qFormat/>
    <w:pPr>
      <w:wordWrap w:val="0"/>
      <w:spacing w:before="200" w:after="160"/>
      <w:ind w:left="864" w:right="864"/>
      <w:jc w:val="center"/>
    </w:pPr>
    <w:rPr>
      <w:rFonts w:ascii="Calibri" w:hAnsi="Calibri"/>
      <w:i/>
      <w:sz w:val="21"/>
    </w:rPr>
  </w:style>
  <w:style w:type="character" w:customStyle="1" w:styleId="Charf2">
    <w:name w:val="引用 Char"/>
    <w:basedOn w:val="a6"/>
    <w:link w:val="afff3"/>
    <w:qFormat/>
    <w:rPr>
      <w:rFonts w:ascii="Calibri" w:hAnsi="Calibri"/>
      <w:i/>
      <w:sz w:val="21"/>
    </w:rPr>
  </w:style>
  <w:style w:type="paragraph" w:customStyle="1" w:styleId="toc114">
    <w:name w:val="toc 114"/>
    <w:next w:val="a3"/>
    <w:qFormat/>
    <w:pPr>
      <w:wordWrap w:val="0"/>
      <w:jc w:val="both"/>
    </w:pPr>
    <w:rPr>
      <w:rFonts w:ascii="Calibri" w:hAnsi="Calibri"/>
      <w:sz w:val="21"/>
    </w:rPr>
  </w:style>
  <w:style w:type="paragraph" w:customStyle="1" w:styleId="xl119">
    <w:name w:val="xl119"/>
    <w:basedOn w:val="a3"/>
    <w:next w:val="toc314"/>
    <w:qFormat/>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pPr>
      <w:wordWrap w:val="0"/>
      <w:ind w:left="850"/>
      <w:jc w:val="both"/>
    </w:pPr>
    <w:rPr>
      <w:rFonts w:ascii="Calibri" w:hAnsi="Calibri"/>
      <w:sz w:val="21"/>
    </w:rPr>
  </w:style>
  <w:style w:type="paragraph" w:customStyle="1" w:styleId="xl109">
    <w:name w:val="xl109"/>
    <w:basedOn w:val="a3"/>
    <w:next w:val="toc27"/>
    <w:qFormat/>
    <w:pPr>
      <w:widowControl/>
      <w:shd w:val="clear" w:color="000000" w:fill="FFFFFF"/>
      <w:spacing w:before="280" w:after="280"/>
    </w:pPr>
    <w:rPr>
      <w:rFonts w:ascii="宋体" w:hAnsi="Calibri"/>
      <w:kern w:val="0"/>
      <w:sz w:val="20"/>
      <w:szCs w:val="20"/>
    </w:rPr>
  </w:style>
  <w:style w:type="paragraph" w:customStyle="1" w:styleId="toc215">
    <w:name w:val="toc 215"/>
    <w:next w:val="a3"/>
    <w:qFormat/>
    <w:pPr>
      <w:wordWrap w:val="0"/>
      <w:ind w:left="425"/>
      <w:jc w:val="both"/>
    </w:pPr>
    <w:rPr>
      <w:rFonts w:ascii="Calibri" w:hAnsi="Calibri"/>
      <w:sz w:val="21"/>
    </w:rPr>
  </w:style>
  <w:style w:type="paragraph" w:customStyle="1" w:styleId="xl76">
    <w:name w:val="xl76"/>
    <w:basedOn w:val="a3"/>
    <w:next w:val="toc315"/>
    <w:qFormat/>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pPr>
      <w:wordWrap w:val="0"/>
      <w:ind w:left="3400"/>
      <w:jc w:val="both"/>
    </w:pPr>
    <w:rPr>
      <w:rFonts w:ascii="Calibri" w:hAnsi="Calibri"/>
      <w:sz w:val="21"/>
    </w:rPr>
  </w:style>
  <w:style w:type="paragraph" w:customStyle="1" w:styleId="toc216">
    <w:name w:val="toc 216"/>
    <w:next w:val="a3"/>
    <w:qFormat/>
    <w:pPr>
      <w:wordWrap w:val="0"/>
      <w:ind w:left="425"/>
      <w:jc w:val="both"/>
    </w:pPr>
    <w:rPr>
      <w:rFonts w:ascii="Calibri" w:hAnsi="Calibri"/>
      <w:sz w:val="21"/>
    </w:rPr>
  </w:style>
  <w:style w:type="paragraph" w:customStyle="1" w:styleId="xl70">
    <w:name w:val="xl70"/>
    <w:basedOn w:val="a3"/>
    <w:next w:val="toc113"/>
    <w:qFormat/>
    <w:pPr>
      <w:widowControl/>
      <w:shd w:val="clear" w:color="000000" w:fill="FFFFFF"/>
      <w:spacing w:before="280" w:after="280"/>
    </w:pPr>
    <w:rPr>
      <w:rFonts w:ascii="宋体" w:hAnsi="Calibri"/>
      <w:kern w:val="0"/>
      <w:sz w:val="20"/>
      <w:szCs w:val="20"/>
    </w:rPr>
  </w:style>
  <w:style w:type="paragraph" w:customStyle="1" w:styleId="toc33">
    <w:name w:val="toc 33"/>
    <w:next w:val="a3"/>
    <w:qFormat/>
    <w:pPr>
      <w:wordWrap w:val="0"/>
      <w:ind w:left="850"/>
      <w:jc w:val="both"/>
    </w:pPr>
    <w:rPr>
      <w:rFonts w:ascii="Calibri" w:hAnsi="Calibri"/>
      <w:sz w:val="21"/>
    </w:rPr>
  </w:style>
  <w:style w:type="paragraph" w:customStyle="1" w:styleId="toc61">
    <w:name w:val="toc 61"/>
    <w:next w:val="a3"/>
    <w:qFormat/>
    <w:pPr>
      <w:wordWrap w:val="0"/>
      <w:ind w:left="2125"/>
      <w:jc w:val="both"/>
    </w:pPr>
    <w:rPr>
      <w:rFonts w:ascii="Calibri" w:hAnsi="Calibri"/>
      <w:sz w:val="21"/>
    </w:rPr>
  </w:style>
  <w:style w:type="paragraph" w:customStyle="1" w:styleId="xl98">
    <w:name w:val="xl98"/>
    <w:basedOn w:val="a3"/>
    <w:next w:val="toc211"/>
    <w:qFormat/>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pPr>
      <w:wordWrap w:val="0"/>
      <w:ind w:left="425"/>
      <w:jc w:val="both"/>
    </w:pPr>
    <w:rPr>
      <w:rFonts w:ascii="Calibri" w:hAnsi="Calibri"/>
      <w:sz w:val="21"/>
    </w:rPr>
  </w:style>
  <w:style w:type="paragraph" w:customStyle="1" w:styleId="toc13">
    <w:name w:val="toc 13"/>
    <w:next w:val="a3"/>
    <w:qFormat/>
    <w:pPr>
      <w:wordWrap w:val="0"/>
      <w:jc w:val="both"/>
    </w:pPr>
    <w:rPr>
      <w:rFonts w:ascii="Calibri" w:hAnsi="Calibri"/>
      <w:sz w:val="21"/>
    </w:rPr>
  </w:style>
  <w:style w:type="paragraph" w:customStyle="1" w:styleId="510">
    <w:name w:val="目录 51"/>
    <w:next w:val="a3"/>
    <w:qFormat/>
    <w:pPr>
      <w:wordWrap w:val="0"/>
      <w:ind w:left="1700"/>
      <w:jc w:val="both"/>
    </w:pPr>
    <w:rPr>
      <w:rFonts w:ascii="Calibri" w:hAnsi="Calibri"/>
      <w:sz w:val="21"/>
    </w:rPr>
  </w:style>
  <w:style w:type="paragraph" w:customStyle="1" w:styleId="xl101">
    <w:name w:val="xl101"/>
    <w:basedOn w:val="a3"/>
    <w:next w:val="toc96"/>
    <w:qFormat/>
    <w:pPr>
      <w:widowControl/>
      <w:spacing w:before="280" w:after="280"/>
    </w:pPr>
    <w:rPr>
      <w:rFonts w:ascii="宋体" w:hAnsi="Calibri"/>
      <w:kern w:val="0"/>
      <w:sz w:val="20"/>
      <w:szCs w:val="20"/>
    </w:rPr>
  </w:style>
  <w:style w:type="paragraph" w:customStyle="1" w:styleId="toc75">
    <w:name w:val="toc 75"/>
    <w:next w:val="a3"/>
    <w:qFormat/>
    <w:pPr>
      <w:wordWrap w:val="0"/>
      <w:ind w:left="2550"/>
      <w:jc w:val="both"/>
    </w:pPr>
    <w:rPr>
      <w:rFonts w:ascii="Calibri" w:hAnsi="Calibri"/>
      <w:sz w:val="21"/>
    </w:rPr>
  </w:style>
  <w:style w:type="paragraph" w:customStyle="1" w:styleId="toc715">
    <w:name w:val="toc 715"/>
    <w:next w:val="a3"/>
    <w:qFormat/>
    <w:pPr>
      <w:wordWrap w:val="0"/>
      <w:ind w:left="2550"/>
      <w:jc w:val="both"/>
    </w:pPr>
    <w:rPr>
      <w:rFonts w:ascii="Calibri" w:hAnsi="Calibri"/>
      <w:sz w:val="21"/>
    </w:rPr>
  </w:style>
  <w:style w:type="paragraph" w:styleId="afff4">
    <w:name w:val="Intense Quote"/>
    <w:next w:val="a3"/>
    <w:link w:val="Charf3"/>
    <w:qFormat/>
    <w:pPr>
      <w:wordWrap w:val="0"/>
      <w:spacing w:before="360" w:after="360"/>
      <w:ind w:left="950" w:right="950"/>
      <w:jc w:val="center"/>
    </w:pPr>
    <w:rPr>
      <w:rFonts w:ascii="Calibri" w:hAnsi="Calibri"/>
      <w:i/>
      <w:sz w:val="21"/>
    </w:rPr>
  </w:style>
  <w:style w:type="character" w:customStyle="1" w:styleId="Charf3">
    <w:name w:val="明显引用 Char"/>
    <w:basedOn w:val="a6"/>
    <w:link w:val="afff4"/>
    <w:qFormat/>
    <w:rPr>
      <w:rFonts w:ascii="Calibri" w:hAnsi="Calibri"/>
      <w:i/>
      <w:sz w:val="21"/>
    </w:rPr>
  </w:style>
  <w:style w:type="paragraph" w:customStyle="1" w:styleId="CharCharCharCharCharCharChar">
    <w:name w:val="Char Char Char Char Char Char Char"/>
    <w:basedOn w:val="a3"/>
    <w:next w:val="toc215"/>
    <w:qFormat/>
    <w:pPr>
      <w:widowControl/>
      <w:spacing w:after="160" w:line="240" w:lineRule="exact"/>
    </w:pPr>
    <w:rPr>
      <w:rFonts w:hAnsi="Calibri"/>
      <w:kern w:val="0"/>
      <w:szCs w:val="20"/>
    </w:rPr>
  </w:style>
  <w:style w:type="paragraph" w:customStyle="1" w:styleId="toc23">
    <w:name w:val="toc 23"/>
    <w:next w:val="a3"/>
    <w:qFormat/>
    <w:pPr>
      <w:wordWrap w:val="0"/>
      <w:ind w:left="425"/>
      <w:jc w:val="both"/>
    </w:pPr>
    <w:rPr>
      <w:rFonts w:ascii="Calibri" w:hAnsi="Calibri"/>
      <w:sz w:val="21"/>
    </w:rPr>
  </w:style>
  <w:style w:type="paragraph" w:customStyle="1" w:styleId="610">
    <w:name w:val="目录 61"/>
    <w:next w:val="a3"/>
    <w:qFormat/>
    <w:pPr>
      <w:wordWrap w:val="0"/>
      <w:ind w:left="2125"/>
      <w:jc w:val="both"/>
    </w:pPr>
    <w:rPr>
      <w:rFonts w:ascii="Calibri" w:hAnsi="Calibri"/>
      <w:sz w:val="21"/>
    </w:rPr>
  </w:style>
  <w:style w:type="paragraph" w:customStyle="1" w:styleId="toc97">
    <w:name w:val="toc 97"/>
    <w:next w:val="a3"/>
    <w:qFormat/>
    <w:pPr>
      <w:wordWrap w:val="0"/>
      <w:ind w:left="3400"/>
      <w:jc w:val="both"/>
    </w:pPr>
    <w:rPr>
      <w:rFonts w:ascii="Calibri" w:hAnsi="Calibri"/>
      <w:sz w:val="21"/>
    </w:rPr>
  </w:style>
  <w:style w:type="paragraph" w:customStyle="1" w:styleId="toc74">
    <w:name w:val="toc 74"/>
    <w:next w:val="a3"/>
    <w:qFormat/>
    <w:pPr>
      <w:wordWrap w:val="0"/>
      <w:ind w:left="2550"/>
      <w:jc w:val="both"/>
    </w:pPr>
    <w:rPr>
      <w:rFonts w:ascii="Calibri" w:hAnsi="Calibri"/>
      <w:sz w:val="21"/>
    </w:rPr>
  </w:style>
  <w:style w:type="paragraph" w:customStyle="1" w:styleId="xl64">
    <w:name w:val="xl64"/>
    <w:basedOn w:val="a3"/>
    <w:next w:val="toc114"/>
    <w:qFormat/>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pPr>
      <w:widowControl/>
      <w:shd w:val="clear" w:color="000000" w:fill="FFFFFF"/>
      <w:spacing w:before="280" w:after="280"/>
    </w:pPr>
    <w:rPr>
      <w:rFonts w:ascii="宋体" w:hAnsi="Calibri"/>
      <w:kern w:val="0"/>
      <w:sz w:val="20"/>
      <w:szCs w:val="20"/>
    </w:rPr>
  </w:style>
  <w:style w:type="paragraph" w:customStyle="1" w:styleId="toc32">
    <w:name w:val="toc 32"/>
    <w:next w:val="a3"/>
    <w:qFormat/>
    <w:pPr>
      <w:wordWrap w:val="0"/>
      <w:ind w:left="850"/>
      <w:jc w:val="both"/>
    </w:pPr>
    <w:rPr>
      <w:rFonts w:ascii="Calibri" w:hAnsi="Calibri"/>
      <w:sz w:val="21"/>
    </w:rPr>
  </w:style>
  <w:style w:type="paragraph" w:customStyle="1" w:styleId="xl77">
    <w:name w:val="xl77"/>
    <w:basedOn w:val="a3"/>
    <w:next w:val="toc910"/>
    <w:qFormat/>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Pr>
      <w:rFonts w:eastAsia="宋体"/>
      <w:kern w:val="2"/>
      <w:sz w:val="21"/>
      <w:lang w:val="en-US" w:eastAsia="zh-CN" w:bidi="ar-SA"/>
    </w:rPr>
  </w:style>
  <w:style w:type="character" w:customStyle="1" w:styleId="font51">
    <w:name w:val="font51"/>
    <w:basedOn w:val="a6"/>
    <w:qFormat/>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eastAsia="黑体"/>
      <w:kern w:val="44"/>
      <w:szCs w:val="44"/>
    </w:rPr>
  </w:style>
  <w:style w:type="paragraph" w:styleId="2">
    <w:name w:val="heading 2"/>
    <w:basedOn w:val="30"/>
    <w:next w:val="4"/>
    <w:link w:val="2Char"/>
    <w:uiPriority w:val="9"/>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5"/>
    <w:link w:val="5Char"/>
    <w:qFormat/>
    <w:pPr>
      <w:keepNext/>
      <w:keepLines/>
      <w:spacing w:before="280" w:after="290" w:line="376" w:lineRule="auto"/>
      <w:outlineLvl w:val="4"/>
    </w:pPr>
    <w:rPr>
      <w:b/>
      <w:sz w:val="28"/>
      <w:szCs w:val="20"/>
    </w:rPr>
  </w:style>
  <w:style w:type="paragraph" w:styleId="6">
    <w:name w:val="heading 6"/>
    <w:basedOn w:val="a3"/>
    <w:next w:val="a5"/>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5"/>
    <w:link w:val="7Char"/>
    <w:qFormat/>
    <w:pPr>
      <w:keepNext/>
      <w:keepLines/>
      <w:spacing w:before="240" w:after="64" w:line="320" w:lineRule="auto"/>
      <w:outlineLvl w:val="6"/>
    </w:pPr>
    <w:rPr>
      <w:b/>
      <w:sz w:val="24"/>
      <w:szCs w:val="20"/>
    </w:rPr>
  </w:style>
  <w:style w:type="paragraph" w:styleId="8">
    <w:name w:val="heading 8"/>
    <w:basedOn w:val="a3"/>
    <w:next w:val="a5"/>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5"/>
    <w:link w:val="9Char"/>
    <w:qFormat/>
    <w:pPr>
      <w:keepNext/>
      <w:keepLines/>
      <w:spacing w:before="240" w:after="64" w:line="320" w:lineRule="auto"/>
      <w:outlineLvl w:val="8"/>
    </w:pPr>
    <w:rPr>
      <w:rFonts w:ascii="Arial" w:eastAsia="黑体" w:hAnsi="Arial"/>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4">
    <w:name w:val="Body Text"/>
    <w:basedOn w:val="a3"/>
    <w:next w:val="a3"/>
    <w:link w:val="Char"/>
    <w:qFormat/>
    <w:pPr>
      <w:spacing w:line="360" w:lineRule="auto"/>
    </w:pPr>
    <w:rPr>
      <w:b/>
      <w:bCs/>
      <w:sz w:val="24"/>
    </w:rPr>
  </w:style>
  <w:style w:type="paragraph" w:styleId="a5">
    <w:name w:val="Normal Indent"/>
    <w:basedOn w:val="a3"/>
    <w:link w:val="Char0"/>
    <w:qFormat/>
    <w:pPr>
      <w:ind w:firstLine="420"/>
    </w:pPr>
    <w:rPr>
      <w:szCs w:val="20"/>
    </w:rPr>
  </w:style>
  <w:style w:type="paragraph" w:styleId="70">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Char1"/>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uiPriority w:val="99"/>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uiPriority w:val="99"/>
    <w:qFormat/>
    <w:rPr>
      <w:sz w:val="18"/>
      <w:szCs w:val="18"/>
    </w:rPr>
  </w:style>
  <w:style w:type="paragraph" w:styleId="af0">
    <w:name w:val="footer"/>
    <w:basedOn w:val="a3"/>
    <w:link w:val="Char6"/>
    <w:uiPriority w:val="99"/>
    <w:qFormat/>
    <w:pPr>
      <w:tabs>
        <w:tab w:val="center" w:pos="4153"/>
        <w:tab w:val="right" w:pos="8306"/>
      </w:tabs>
      <w:snapToGrid w:val="0"/>
      <w:jc w:val="left"/>
    </w:pPr>
    <w:rPr>
      <w:sz w:val="18"/>
      <w:szCs w:val="18"/>
    </w:rPr>
  </w:style>
  <w:style w:type="paragraph" w:styleId="af1">
    <w:name w:val="header"/>
    <w:basedOn w:val="a3"/>
    <w:link w:val="Char7"/>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af2">
    <w:name w:val="Subtitle"/>
    <w:next w:val="a3"/>
    <w:link w:val="Char8"/>
    <w:qFormat/>
    <w:pPr>
      <w:wordWrap w:val="0"/>
      <w:spacing w:after="60"/>
      <w:jc w:val="center"/>
    </w:pPr>
    <w:rPr>
      <w:rFonts w:ascii="Calibri" w:hAnsi="Calibri"/>
      <w:sz w:val="24"/>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3">
    <w:name w:val="Normal (Web)"/>
    <w:basedOn w:val="a3"/>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4">
    <w:name w:val="Title"/>
    <w:basedOn w:val="a3"/>
    <w:link w:val="Char9"/>
    <w:qFormat/>
    <w:pPr>
      <w:spacing w:before="240" w:after="60"/>
      <w:jc w:val="center"/>
      <w:outlineLvl w:val="0"/>
    </w:pPr>
    <w:rPr>
      <w:rFonts w:ascii="Arial" w:eastAsia="隶书" w:hAnsi="Arial" w:cs="Arial"/>
      <w:b/>
      <w:bCs/>
      <w:sz w:val="32"/>
      <w:szCs w:val="32"/>
    </w:rPr>
  </w:style>
  <w:style w:type="paragraph" w:styleId="af5">
    <w:name w:val="annotation subject"/>
    <w:basedOn w:val="ab"/>
    <w:next w:val="ab"/>
    <w:link w:val="Chara"/>
    <w:uiPriority w:val="99"/>
    <w:qFormat/>
    <w:pPr>
      <w:autoSpaceDE/>
      <w:autoSpaceDN/>
      <w:adjustRightInd/>
      <w:textAlignment w:val="auto"/>
    </w:pPr>
    <w:rPr>
      <w:rFonts w:ascii="Times New Roman"/>
      <w:b/>
      <w:bCs/>
      <w:kern w:val="2"/>
      <w:sz w:val="21"/>
      <w:szCs w:val="24"/>
    </w:rPr>
  </w:style>
  <w:style w:type="paragraph" w:styleId="af6">
    <w:name w:val="Body Text First Indent"/>
    <w:basedOn w:val="a4"/>
    <w:link w:val="Charb"/>
    <w:qFormat/>
    <w:pPr>
      <w:spacing w:after="120" w:line="240" w:lineRule="auto"/>
      <w:ind w:firstLineChars="100" w:firstLine="420"/>
    </w:pPr>
    <w:rPr>
      <w:sz w:val="21"/>
    </w:rPr>
  </w:style>
  <w:style w:type="table" w:styleId="af7">
    <w:name w:val="Table Grid"/>
    <w:basedOn w:val="a7"/>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7"/>
    <w:qFormat/>
    <w:pPr>
      <w:widowControl w:val="0"/>
      <w:jc w:val="both"/>
    </w:pPr>
    <w:rPr>
      <w:rFonts w:ascii="Calibri" w:hAnsi="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9">
    <w:name w:val="Strong"/>
    <w:uiPriority w:val="22"/>
    <w:qFormat/>
    <w:rPr>
      <w:b/>
      <w:bCs/>
    </w:rPr>
  </w:style>
  <w:style w:type="character" w:styleId="afa">
    <w:name w:val="page number"/>
    <w:basedOn w:val="a6"/>
    <w:qFormat/>
  </w:style>
  <w:style w:type="character" w:styleId="afb">
    <w:name w:val="FollowedHyperlink"/>
    <w:qFormat/>
    <w:rPr>
      <w:color w:val="800080"/>
      <w:u w:val="single"/>
    </w:rPr>
  </w:style>
  <w:style w:type="character" w:styleId="afc">
    <w:name w:val="Emphasis"/>
    <w:qFormat/>
    <w:rPr>
      <w:i/>
      <w:sz w:val="20"/>
    </w:rPr>
  </w:style>
  <w:style w:type="character" w:styleId="afd">
    <w:name w:val="Hyperlink"/>
    <w:uiPriority w:val="99"/>
    <w:qFormat/>
    <w:rPr>
      <w:color w:val="0000FF"/>
      <w:u w:val="single"/>
    </w:rPr>
  </w:style>
  <w:style w:type="character" w:styleId="afe">
    <w:name w:val="annotation reference"/>
    <w:basedOn w:val="a6"/>
    <w:uiPriority w:val="99"/>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28"/>
      <w:szCs w:val="44"/>
      <w:lang w:val="en-US" w:eastAsia="zh-CN" w:bidi="ar-SA"/>
    </w:rPr>
  </w:style>
  <w:style w:type="character" w:customStyle="1" w:styleId="Char0">
    <w:name w:val="正文缩进 Char"/>
    <w:link w:val="a5"/>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0">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1">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2">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uiPriority w:val="9"/>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3">
    <w:name w:val="List Paragraph"/>
    <w:basedOn w:val="a3"/>
    <w:uiPriority w:val="34"/>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4"/>
    <w:qFormat/>
    <w:rPr>
      <w:rFonts w:ascii="Arial" w:eastAsia="隶书" w:hAnsi="Arial" w:cs="Arial"/>
      <w:b/>
      <w:bCs/>
      <w:kern w:val="2"/>
      <w:sz w:val="32"/>
      <w:szCs w:val="32"/>
      <w:lang w:val="en-US" w:eastAsia="zh-CN" w:bidi="ar-SA"/>
    </w:rPr>
  </w:style>
  <w:style w:type="character" w:customStyle="1" w:styleId="Char4">
    <w:name w:val="日期 Char"/>
    <w:link w:val="ae"/>
    <w:uiPriority w:val="99"/>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
    <w:name w:val="正文文本 Char"/>
    <w:link w:val="a4"/>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uiPriority w:val="99"/>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uiPriority w:val="99"/>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uiPriority w:val="99"/>
    <w:qFormat/>
    <w:rPr>
      <w:rFonts w:eastAsia="宋体"/>
      <w:kern w:val="2"/>
      <w:sz w:val="18"/>
      <w:szCs w:val="18"/>
      <w:lang w:val="en-US" w:eastAsia="zh-CN" w:bidi="ar-SA"/>
    </w:rPr>
  </w:style>
  <w:style w:type="paragraph" w:customStyle="1" w:styleId="14">
    <w:name w:val="样式1"/>
    <w:basedOn w:val="af4"/>
    <w:qFormat/>
    <w:pPr>
      <w:spacing w:before="120" w:after="120"/>
    </w:pPr>
    <w:rPr>
      <w:rFonts w:eastAsia="黑体"/>
      <w:b w:val="0"/>
      <w:sz w:val="30"/>
      <w:szCs w:val="21"/>
    </w:rPr>
  </w:style>
  <w:style w:type="paragraph" w:customStyle="1" w:styleId="23">
    <w:name w:val="样式2"/>
    <w:basedOn w:val="af4"/>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4"/>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4">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5">
    <w:name w:val="缺省文本"/>
    <w:basedOn w:val="a3"/>
    <w:qFormat/>
    <w:pPr>
      <w:autoSpaceDE w:val="0"/>
      <w:autoSpaceDN w:val="0"/>
      <w:adjustRightInd w:val="0"/>
      <w:jc w:val="left"/>
    </w:pPr>
    <w:rPr>
      <w:kern w:val="0"/>
    </w:rPr>
  </w:style>
  <w:style w:type="paragraph" w:customStyle="1" w:styleId="aff6">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7">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6"/>
    <w:qFormat/>
  </w:style>
  <w:style w:type="character" w:customStyle="1" w:styleId="font2">
    <w:name w:val="font2"/>
    <w:basedOn w:val="a6"/>
    <w:qFormat/>
  </w:style>
  <w:style w:type="character" w:customStyle="1" w:styleId="font41">
    <w:name w:val="font41"/>
    <w:qFormat/>
    <w:rPr>
      <w:color w:val="000000"/>
      <w:spacing w:val="260"/>
      <w:sz w:val="18"/>
      <w:szCs w:val="18"/>
      <w:u w:val="none"/>
    </w:rPr>
  </w:style>
  <w:style w:type="paragraph" w:customStyle="1" w:styleId="aff8">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6"/>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6"/>
    <w:qFormat/>
  </w:style>
  <w:style w:type="paragraph" w:customStyle="1" w:styleId="91">
    <w:name w:val="9"/>
    <w:basedOn w:val="a3"/>
    <w:next w:val="a5"/>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6"/>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9">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a">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6"/>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6"/>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6"/>
    <w:qFormat/>
  </w:style>
  <w:style w:type="character" w:customStyle="1" w:styleId="prodheadlines">
    <w:name w:val="prodheadlines"/>
    <w:basedOn w:val="a6"/>
    <w:qFormat/>
  </w:style>
  <w:style w:type="character" w:customStyle="1" w:styleId="text">
    <w:name w:val="text"/>
    <w:basedOn w:val="a6"/>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b">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c">
    <w:name w:val="段落正文"/>
    <w:basedOn w:val="ad"/>
    <w:qFormat/>
    <w:pPr>
      <w:ind w:firstLineChars="200" w:firstLine="560"/>
    </w:pPr>
    <w:rPr>
      <w:sz w:val="28"/>
    </w:rPr>
  </w:style>
  <w:style w:type="character" w:customStyle="1" w:styleId="gray6">
    <w:name w:val="gray6"/>
    <w:basedOn w:val="a6"/>
    <w:qFormat/>
  </w:style>
  <w:style w:type="character" w:customStyle="1" w:styleId="style9">
    <w:name w:val="style9"/>
    <w:basedOn w:val="a6"/>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6"/>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d">
    <w:name w:val="表格字"/>
    <w:basedOn w:val="a3"/>
    <w:qFormat/>
    <w:pPr>
      <w:adjustRightInd w:val="0"/>
      <w:jc w:val="center"/>
    </w:pPr>
    <w:rPr>
      <w:rFonts w:ascii="宋体"/>
      <w:sz w:val="24"/>
      <w:szCs w:val="20"/>
    </w:rPr>
  </w:style>
  <w:style w:type="character" w:customStyle="1" w:styleId="affe">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6"/>
    <w:qFormat/>
  </w:style>
  <w:style w:type="paragraph" w:customStyle="1" w:styleId="afff">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f"/>
    <w:qFormat/>
    <w:rPr>
      <w:rFonts w:eastAsia="仿宋_GB2312" w:cs="宋体"/>
      <w:kern w:val="2"/>
      <w:sz w:val="28"/>
      <w:lang w:val="en-US" w:eastAsia="zh-CN" w:bidi="ar-SA"/>
    </w:rPr>
  </w:style>
  <w:style w:type="paragraph" w:customStyle="1" w:styleId="15">
    <w:name w:val="列出段落1"/>
    <w:basedOn w:val="a3"/>
    <w:uiPriority w:val="34"/>
    <w:qFormat/>
    <w:pPr>
      <w:ind w:firstLineChars="200" w:firstLine="420"/>
    </w:pPr>
    <w:rPr>
      <w:rFonts w:ascii="Calibri" w:hAnsi="Calibri" w:cs="Calibri"/>
      <w:szCs w:val="21"/>
    </w:rPr>
  </w:style>
  <w:style w:type="character" w:customStyle="1" w:styleId="Char1">
    <w:name w:val="批注文字 Char"/>
    <w:basedOn w:val="a6"/>
    <w:link w:val="ab"/>
    <w:uiPriority w:val="99"/>
    <w:semiHidden/>
    <w:qFormat/>
    <w:rPr>
      <w:rFonts w:ascii="宋体"/>
      <w:sz w:val="34"/>
    </w:rPr>
  </w:style>
  <w:style w:type="character" w:customStyle="1" w:styleId="Chara">
    <w:name w:val="批注主题 Char"/>
    <w:basedOn w:val="Char1"/>
    <w:link w:val="af5"/>
    <w:uiPriority w:val="99"/>
    <w:qFormat/>
    <w:rPr>
      <w:rFonts w:ascii="宋体"/>
      <w:sz w:val="34"/>
    </w:rPr>
  </w:style>
  <w:style w:type="paragraph" w:customStyle="1" w:styleId="afff0">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paragraph" w:customStyle="1" w:styleId="toc14">
    <w:name w:val="toc 14"/>
    <w:next w:val="a3"/>
    <w:qFormat/>
    <w:pPr>
      <w:wordWrap w:val="0"/>
      <w:jc w:val="both"/>
    </w:pPr>
    <w:rPr>
      <w:rFonts w:ascii="Calibri" w:hAnsi="Calibri"/>
      <w:sz w:val="21"/>
    </w:rPr>
  </w:style>
  <w:style w:type="character" w:customStyle="1" w:styleId="Char12">
    <w:name w:val="文档结构图 Char1"/>
    <w:semiHidden/>
    <w:qFormat/>
    <w:rPr>
      <w:sz w:val="20"/>
    </w:rPr>
  </w:style>
  <w:style w:type="character" w:customStyle="1" w:styleId="Charf1">
    <w:name w:val="文档结构图 Char"/>
    <w:semiHidden/>
    <w:qFormat/>
    <w:rPr>
      <w:sz w:val="20"/>
    </w:rPr>
  </w:style>
  <w:style w:type="character" w:customStyle="1" w:styleId="shorttext">
    <w:name w:val="short_text"/>
    <w:basedOn w:val="a6"/>
    <w:qFormat/>
    <w:rPr>
      <w:sz w:val="20"/>
    </w:rPr>
  </w:style>
  <w:style w:type="character" w:customStyle="1" w:styleId="Char13">
    <w:name w:val="标题 Char1"/>
    <w:qFormat/>
    <w:rPr>
      <w:b/>
      <w:sz w:val="20"/>
    </w:rPr>
  </w:style>
  <w:style w:type="character" w:customStyle="1" w:styleId="3Char10">
    <w:name w:val="正文文本缩进 3 Char1"/>
    <w:semiHidden/>
    <w:qFormat/>
    <w:rPr>
      <w:sz w:val="20"/>
    </w:rPr>
  </w:style>
  <w:style w:type="character" w:customStyle="1" w:styleId="font21">
    <w:name w:val="font21"/>
    <w:qFormat/>
    <w:rPr>
      <w:color w:val="FF0000"/>
      <w:sz w:val="20"/>
      <w:u w:val="none"/>
    </w:rPr>
  </w:style>
  <w:style w:type="character" w:customStyle="1" w:styleId="17">
    <w:name w:val="不明显强调1"/>
    <w:qFormat/>
    <w:rPr>
      <w:i/>
      <w:sz w:val="20"/>
    </w:rPr>
  </w:style>
  <w:style w:type="character" w:customStyle="1" w:styleId="font71">
    <w:name w:val="font71"/>
    <w:qFormat/>
    <w:rPr>
      <w:sz w:val="20"/>
      <w:u w:val="none"/>
    </w:rPr>
  </w:style>
  <w:style w:type="character" w:customStyle="1" w:styleId="Char14">
    <w:name w:val="页眉 Char1"/>
    <w:qFormat/>
    <w:rPr>
      <w:sz w:val="20"/>
    </w:rPr>
  </w:style>
  <w:style w:type="character" w:customStyle="1" w:styleId="2Char10">
    <w:name w:val="正文文本缩进 2 Char1"/>
    <w:semiHidden/>
    <w:qFormat/>
    <w:rPr>
      <w:sz w:val="20"/>
    </w:rPr>
  </w:style>
  <w:style w:type="character" w:customStyle="1" w:styleId="font61">
    <w:name w:val="font61"/>
    <w:qFormat/>
    <w:rPr>
      <w:sz w:val="20"/>
      <w:u w:val="none"/>
    </w:rPr>
  </w:style>
  <w:style w:type="character" w:customStyle="1" w:styleId="Char15">
    <w:name w:val="纯文本 Char1"/>
    <w:semiHidden/>
    <w:qFormat/>
    <w:rPr>
      <w:sz w:val="20"/>
    </w:rPr>
  </w:style>
  <w:style w:type="character" w:customStyle="1" w:styleId="3Char11">
    <w:name w:val="正文文本 3 Char1"/>
    <w:semiHidden/>
    <w:qFormat/>
    <w:rPr>
      <w:sz w:val="20"/>
    </w:rPr>
  </w:style>
  <w:style w:type="character" w:customStyle="1" w:styleId="Char16">
    <w:name w:val="正文文本缩进 Char1"/>
    <w:semiHidden/>
    <w:qFormat/>
    <w:rPr>
      <w:sz w:val="20"/>
    </w:rPr>
  </w:style>
  <w:style w:type="character" w:customStyle="1" w:styleId="18">
    <w:name w:val="明显参考1"/>
    <w:qFormat/>
    <w:rPr>
      <w:b/>
      <w:sz w:val="20"/>
    </w:rPr>
  </w:style>
  <w:style w:type="character" w:customStyle="1" w:styleId="apple-converted-space">
    <w:name w:val="apple-converted-space"/>
    <w:qFormat/>
    <w:rPr>
      <w:sz w:val="20"/>
    </w:rPr>
  </w:style>
  <w:style w:type="character" w:customStyle="1" w:styleId="19">
    <w:name w:val="书籍标题1"/>
    <w:qFormat/>
    <w:rPr>
      <w:b/>
      <w:i/>
      <w:sz w:val="20"/>
    </w:rPr>
  </w:style>
  <w:style w:type="character" w:customStyle="1" w:styleId="longtext">
    <w:name w:val="long_text"/>
    <w:qFormat/>
    <w:rPr>
      <w:sz w:val="20"/>
    </w:rPr>
  </w:style>
  <w:style w:type="character" w:customStyle="1" w:styleId="Char17">
    <w:name w:val="日期 Char1"/>
    <w:semiHidden/>
    <w:qFormat/>
    <w:rPr>
      <w:sz w:val="20"/>
    </w:rPr>
  </w:style>
  <w:style w:type="character" w:customStyle="1" w:styleId="Char18">
    <w:name w:val="批注文字 Char1"/>
    <w:qFormat/>
    <w:rPr>
      <w:sz w:val="20"/>
    </w:rPr>
  </w:style>
  <w:style w:type="character" w:customStyle="1" w:styleId="1a">
    <w:name w:val="明显强调1"/>
    <w:qFormat/>
    <w:rPr>
      <w:i/>
      <w:sz w:val="20"/>
    </w:rPr>
  </w:style>
  <w:style w:type="character" w:customStyle="1" w:styleId="160">
    <w:name w:val="16"/>
    <w:qFormat/>
    <w:rPr>
      <w:b/>
      <w:color w:val="FF0356"/>
      <w:sz w:val="20"/>
    </w:rPr>
  </w:style>
  <w:style w:type="character" w:customStyle="1" w:styleId="Char19">
    <w:name w:val="批注主题 Char1"/>
    <w:semiHidden/>
    <w:qFormat/>
    <w:rPr>
      <w:b/>
      <w:sz w:val="20"/>
    </w:rPr>
  </w:style>
  <w:style w:type="character" w:customStyle="1" w:styleId="2Char11">
    <w:name w:val="正文文本 2 Char1"/>
    <w:semiHidden/>
    <w:qFormat/>
    <w:rPr>
      <w:sz w:val="20"/>
    </w:rPr>
  </w:style>
  <w:style w:type="character" w:customStyle="1" w:styleId="font31">
    <w:name w:val="font31"/>
    <w:qFormat/>
    <w:rPr>
      <w:color w:val="FF0000"/>
      <w:sz w:val="20"/>
      <w:u w:val="none"/>
      <w:vertAlign w:val="superscript"/>
    </w:rPr>
  </w:style>
  <w:style w:type="character" w:customStyle="1" w:styleId="1b">
    <w:name w:val="不明显参考1"/>
    <w:qFormat/>
    <w:rPr>
      <w:sz w:val="20"/>
    </w:rPr>
  </w:style>
  <w:style w:type="character" w:customStyle="1" w:styleId="HTMLChar1">
    <w:name w:val="HTML 预设格式 Char1"/>
    <w:semiHidden/>
    <w:qFormat/>
    <w:rPr>
      <w:sz w:val="20"/>
    </w:rPr>
  </w:style>
  <w:style w:type="character" w:customStyle="1" w:styleId="font01">
    <w:name w:val="font01"/>
    <w:qFormat/>
    <w:rPr>
      <w:color w:val="FF0000"/>
      <w:sz w:val="20"/>
      <w:u w:val="none"/>
      <w:vertAlign w:val="superscript"/>
    </w:rPr>
  </w:style>
  <w:style w:type="character" w:customStyle="1" w:styleId="Char1a">
    <w:name w:val="页脚 Char1"/>
    <w:semiHidden/>
    <w:qFormat/>
    <w:rPr>
      <w:sz w:val="20"/>
    </w:rPr>
  </w:style>
  <w:style w:type="character" w:customStyle="1" w:styleId="Char1b">
    <w:name w:val="批注框文本 Char1"/>
    <w:semiHidden/>
    <w:qFormat/>
    <w:rPr>
      <w:sz w:val="20"/>
    </w:rPr>
  </w:style>
  <w:style w:type="paragraph" w:customStyle="1" w:styleId="25">
    <w:name w:val="列出段落2"/>
    <w:basedOn w:val="a3"/>
    <w:next w:val="toc814"/>
    <w:uiPriority w:val="34"/>
    <w:qFormat/>
    <w:pPr>
      <w:ind w:firstLine="420"/>
    </w:pPr>
    <w:rPr>
      <w:rFonts w:hAnsi="Calibri"/>
      <w:kern w:val="0"/>
      <w:szCs w:val="20"/>
    </w:rPr>
  </w:style>
  <w:style w:type="paragraph" w:customStyle="1" w:styleId="toc814">
    <w:name w:val="toc 814"/>
    <w:next w:val="a3"/>
    <w:qFormat/>
    <w:pPr>
      <w:wordWrap w:val="0"/>
      <w:ind w:left="2975"/>
      <w:jc w:val="both"/>
    </w:pPr>
    <w:rPr>
      <w:rFonts w:ascii="Calibri" w:hAnsi="Calibri"/>
      <w:sz w:val="21"/>
    </w:rPr>
  </w:style>
  <w:style w:type="paragraph" w:customStyle="1" w:styleId="toc62">
    <w:name w:val="toc 62"/>
    <w:next w:val="a3"/>
    <w:qFormat/>
    <w:pPr>
      <w:wordWrap w:val="0"/>
      <w:ind w:left="2125"/>
      <w:jc w:val="both"/>
    </w:pPr>
    <w:rPr>
      <w:rFonts w:ascii="Calibri" w:hAnsi="Calibri"/>
      <w:sz w:val="21"/>
    </w:rPr>
  </w:style>
  <w:style w:type="paragraph" w:customStyle="1" w:styleId="toc414">
    <w:name w:val="toc 414"/>
    <w:next w:val="a3"/>
    <w:qFormat/>
    <w:pPr>
      <w:wordWrap w:val="0"/>
      <w:ind w:left="1275"/>
      <w:jc w:val="both"/>
    </w:pPr>
    <w:rPr>
      <w:rFonts w:ascii="Calibri" w:hAnsi="Calibri"/>
      <w:sz w:val="21"/>
    </w:rPr>
  </w:style>
  <w:style w:type="paragraph" w:customStyle="1" w:styleId="toc411">
    <w:name w:val="toc 411"/>
    <w:next w:val="a3"/>
    <w:qFormat/>
    <w:pPr>
      <w:wordWrap w:val="0"/>
      <w:ind w:left="1275"/>
      <w:jc w:val="both"/>
    </w:pPr>
    <w:rPr>
      <w:rFonts w:ascii="Calibri" w:hAnsi="Calibri"/>
      <w:sz w:val="21"/>
    </w:rPr>
  </w:style>
  <w:style w:type="paragraph" w:customStyle="1" w:styleId="xl86">
    <w:name w:val="xl86"/>
    <w:basedOn w:val="a3"/>
    <w:next w:val="toc515"/>
    <w:qFormat/>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pPr>
      <w:wordWrap w:val="0"/>
      <w:ind w:left="1700"/>
      <w:jc w:val="both"/>
    </w:pPr>
    <w:rPr>
      <w:rFonts w:ascii="Calibri" w:hAnsi="Calibri"/>
      <w:sz w:val="21"/>
    </w:rPr>
  </w:style>
  <w:style w:type="paragraph" w:customStyle="1" w:styleId="TOCHeading4">
    <w:name w:val="TOC Heading4"/>
    <w:next w:val="a3"/>
    <w:qFormat/>
    <w:pPr>
      <w:wordWrap w:val="0"/>
    </w:pPr>
    <w:rPr>
      <w:rFonts w:ascii="Calibri" w:hAnsi="Calibri"/>
      <w:sz w:val="32"/>
    </w:rPr>
  </w:style>
  <w:style w:type="paragraph" w:customStyle="1" w:styleId="toc15">
    <w:name w:val="toc 15"/>
    <w:next w:val="a3"/>
    <w:qFormat/>
    <w:pPr>
      <w:wordWrap w:val="0"/>
      <w:jc w:val="both"/>
    </w:pPr>
    <w:rPr>
      <w:rFonts w:ascii="Calibri" w:hAnsi="Calibri"/>
      <w:sz w:val="21"/>
    </w:rPr>
  </w:style>
  <w:style w:type="paragraph" w:customStyle="1" w:styleId="TOCHeading2">
    <w:name w:val="TOC Heading2"/>
    <w:next w:val="a3"/>
    <w:qFormat/>
    <w:pPr>
      <w:wordWrap w:val="0"/>
    </w:pPr>
    <w:rPr>
      <w:rFonts w:ascii="Calibri" w:hAnsi="Calibri"/>
      <w:sz w:val="32"/>
    </w:rPr>
  </w:style>
  <w:style w:type="paragraph" w:customStyle="1" w:styleId="TOCHeading1">
    <w:name w:val="TOC Heading1"/>
    <w:next w:val="a3"/>
    <w:qFormat/>
    <w:pPr>
      <w:wordWrap w:val="0"/>
    </w:pPr>
    <w:rPr>
      <w:rFonts w:ascii="Calibri" w:hAnsi="Calibri"/>
      <w:sz w:val="32"/>
    </w:rPr>
  </w:style>
  <w:style w:type="paragraph" w:customStyle="1" w:styleId="toc73">
    <w:name w:val="toc 73"/>
    <w:next w:val="a3"/>
    <w:qFormat/>
    <w:pPr>
      <w:wordWrap w:val="0"/>
      <w:ind w:left="2550"/>
      <w:jc w:val="both"/>
    </w:pPr>
    <w:rPr>
      <w:rFonts w:ascii="Calibri" w:hAnsi="Calibri"/>
      <w:sz w:val="21"/>
    </w:rPr>
  </w:style>
  <w:style w:type="paragraph" w:customStyle="1" w:styleId="font7">
    <w:name w:val="font7"/>
    <w:basedOn w:val="a3"/>
    <w:next w:val="toc810"/>
    <w:qFormat/>
    <w:pPr>
      <w:widowControl/>
      <w:spacing w:before="280" w:after="280"/>
    </w:pPr>
    <w:rPr>
      <w:rFonts w:ascii="Arial" w:hAnsi="Calibri"/>
      <w:kern w:val="0"/>
      <w:sz w:val="18"/>
      <w:szCs w:val="20"/>
    </w:rPr>
  </w:style>
  <w:style w:type="paragraph" w:customStyle="1" w:styleId="toc810">
    <w:name w:val="toc 810"/>
    <w:next w:val="a3"/>
    <w:qFormat/>
    <w:pPr>
      <w:wordWrap w:val="0"/>
      <w:ind w:left="2975"/>
      <w:jc w:val="both"/>
    </w:pPr>
    <w:rPr>
      <w:rFonts w:ascii="Calibri" w:hAnsi="Calibri"/>
      <w:sz w:val="21"/>
    </w:rPr>
  </w:style>
  <w:style w:type="paragraph" w:customStyle="1" w:styleId="xl113">
    <w:name w:val="xl113"/>
    <w:basedOn w:val="a3"/>
    <w:next w:val="TOCHeading10"/>
    <w:qFormat/>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pPr>
      <w:wordWrap w:val="0"/>
    </w:pPr>
    <w:rPr>
      <w:rFonts w:ascii="Calibri" w:hAnsi="Calibri"/>
      <w:sz w:val="32"/>
    </w:rPr>
  </w:style>
  <w:style w:type="paragraph" w:customStyle="1" w:styleId="toc89">
    <w:name w:val="toc 89"/>
    <w:next w:val="a3"/>
    <w:qFormat/>
    <w:pPr>
      <w:wordWrap w:val="0"/>
      <w:ind w:left="2975"/>
      <w:jc w:val="both"/>
    </w:pPr>
    <w:rPr>
      <w:rFonts w:ascii="Calibri" w:hAnsi="Calibri"/>
      <w:sz w:val="21"/>
    </w:rPr>
  </w:style>
  <w:style w:type="paragraph" w:customStyle="1" w:styleId="xl73">
    <w:name w:val="xl73"/>
    <w:basedOn w:val="a3"/>
    <w:next w:val="toc613"/>
    <w:qFormat/>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pPr>
      <w:wordWrap w:val="0"/>
      <w:ind w:left="2125"/>
      <w:jc w:val="both"/>
    </w:pPr>
    <w:rPr>
      <w:rFonts w:ascii="Calibri" w:hAnsi="Calibri"/>
      <w:sz w:val="21"/>
    </w:rPr>
  </w:style>
  <w:style w:type="paragraph" w:customStyle="1" w:styleId="xl79">
    <w:name w:val="xl79"/>
    <w:basedOn w:val="a3"/>
    <w:next w:val="toc87"/>
    <w:qFormat/>
    <w:pPr>
      <w:widowControl/>
      <w:shd w:val="clear" w:color="000000" w:fill="FFFFFF"/>
      <w:spacing w:before="280" w:after="280"/>
    </w:pPr>
    <w:rPr>
      <w:rFonts w:ascii="宋体" w:hAnsi="Calibri"/>
      <w:b/>
      <w:kern w:val="0"/>
      <w:sz w:val="20"/>
      <w:szCs w:val="20"/>
    </w:rPr>
  </w:style>
  <w:style w:type="paragraph" w:customStyle="1" w:styleId="toc87">
    <w:name w:val="toc 87"/>
    <w:next w:val="a3"/>
    <w:qFormat/>
    <w:pPr>
      <w:wordWrap w:val="0"/>
      <w:ind w:left="2975"/>
      <w:jc w:val="both"/>
    </w:pPr>
    <w:rPr>
      <w:rFonts w:ascii="Calibri" w:hAnsi="Calibri"/>
      <w:sz w:val="21"/>
    </w:rPr>
  </w:style>
  <w:style w:type="paragraph" w:customStyle="1" w:styleId="toc11">
    <w:name w:val="toc 11"/>
    <w:next w:val="a3"/>
    <w:qFormat/>
    <w:pPr>
      <w:wordWrap w:val="0"/>
      <w:jc w:val="both"/>
    </w:pPr>
    <w:rPr>
      <w:rFonts w:ascii="Calibri" w:hAnsi="Calibri"/>
      <w:sz w:val="21"/>
    </w:rPr>
  </w:style>
  <w:style w:type="paragraph" w:customStyle="1" w:styleId="toc410">
    <w:name w:val="toc 410"/>
    <w:next w:val="a3"/>
    <w:qFormat/>
    <w:pPr>
      <w:wordWrap w:val="0"/>
      <w:ind w:left="1275"/>
      <w:jc w:val="both"/>
    </w:pPr>
    <w:rPr>
      <w:rFonts w:ascii="Calibri" w:hAnsi="Calibri"/>
      <w:sz w:val="21"/>
    </w:rPr>
  </w:style>
  <w:style w:type="paragraph" w:customStyle="1" w:styleId="toc611">
    <w:name w:val="toc 611"/>
    <w:next w:val="a3"/>
    <w:qFormat/>
    <w:pPr>
      <w:wordWrap w:val="0"/>
      <w:ind w:left="2125"/>
      <w:jc w:val="both"/>
    </w:pPr>
    <w:rPr>
      <w:rFonts w:ascii="Calibri" w:hAnsi="Calibri"/>
      <w:sz w:val="21"/>
    </w:rPr>
  </w:style>
  <w:style w:type="paragraph" w:customStyle="1" w:styleId="xl112">
    <w:name w:val="xl112"/>
    <w:basedOn w:val="a3"/>
    <w:next w:val="toc611"/>
    <w:qFormat/>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pPr>
      <w:wordWrap w:val="0"/>
      <w:ind w:left="1700"/>
      <w:jc w:val="both"/>
    </w:pPr>
    <w:rPr>
      <w:rFonts w:ascii="Calibri" w:hAnsi="Calibri"/>
      <w:sz w:val="21"/>
    </w:rPr>
  </w:style>
  <w:style w:type="paragraph" w:customStyle="1" w:styleId="toc44">
    <w:name w:val="toc 44"/>
    <w:next w:val="a3"/>
    <w:qFormat/>
    <w:pPr>
      <w:wordWrap w:val="0"/>
      <w:ind w:left="1275"/>
      <w:jc w:val="both"/>
    </w:pPr>
    <w:rPr>
      <w:rFonts w:ascii="Calibri" w:hAnsi="Calibri"/>
      <w:sz w:val="21"/>
    </w:rPr>
  </w:style>
  <w:style w:type="paragraph" w:customStyle="1" w:styleId="toc412">
    <w:name w:val="toc 412"/>
    <w:next w:val="a3"/>
    <w:qFormat/>
    <w:pPr>
      <w:wordWrap w:val="0"/>
      <w:ind w:left="1275"/>
      <w:jc w:val="both"/>
    </w:pPr>
    <w:rPr>
      <w:rFonts w:ascii="Calibri" w:hAnsi="Calibri"/>
      <w:sz w:val="21"/>
    </w:rPr>
  </w:style>
  <w:style w:type="paragraph" w:customStyle="1" w:styleId="xl74">
    <w:name w:val="xl74"/>
    <w:basedOn w:val="a3"/>
    <w:next w:val="toc57"/>
    <w:qFormat/>
    <w:pPr>
      <w:widowControl/>
      <w:shd w:val="clear" w:color="000000" w:fill="FFFFFF"/>
      <w:spacing w:before="280" w:after="280"/>
    </w:pPr>
    <w:rPr>
      <w:rFonts w:ascii="宋体" w:hAnsi="Calibri"/>
      <w:kern w:val="0"/>
      <w:sz w:val="20"/>
      <w:szCs w:val="20"/>
    </w:rPr>
  </w:style>
  <w:style w:type="paragraph" w:customStyle="1" w:styleId="toc57">
    <w:name w:val="toc 57"/>
    <w:next w:val="a3"/>
    <w:qFormat/>
    <w:pPr>
      <w:wordWrap w:val="0"/>
      <w:ind w:left="1700"/>
      <w:jc w:val="both"/>
    </w:pPr>
    <w:rPr>
      <w:rFonts w:ascii="Calibri" w:hAnsi="Calibri"/>
      <w:sz w:val="21"/>
    </w:rPr>
  </w:style>
  <w:style w:type="paragraph" w:customStyle="1" w:styleId="toc912">
    <w:name w:val="toc 912"/>
    <w:next w:val="a3"/>
    <w:qFormat/>
    <w:pPr>
      <w:wordWrap w:val="0"/>
      <w:ind w:left="3400"/>
      <w:jc w:val="both"/>
    </w:pPr>
    <w:rPr>
      <w:rFonts w:ascii="Calibri" w:hAnsi="Calibri"/>
      <w:sz w:val="21"/>
    </w:rPr>
  </w:style>
  <w:style w:type="paragraph" w:customStyle="1" w:styleId="toc91">
    <w:name w:val="toc 91"/>
    <w:next w:val="a3"/>
    <w:qFormat/>
    <w:pPr>
      <w:wordWrap w:val="0"/>
      <w:ind w:left="3400"/>
      <w:jc w:val="both"/>
    </w:pPr>
    <w:rPr>
      <w:rFonts w:ascii="Calibri" w:hAnsi="Calibri"/>
      <w:sz w:val="21"/>
    </w:rPr>
  </w:style>
  <w:style w:type="paragraph" w:customStyle="1" w:styleId="toc38">
    <w:name w:val="toc 38"/>
    <w:next w:val="a3"/>
    <w:qFormat/>
    <w:pPr>
      <w:wordWrap w:val="0"/>
      <w:ind w:left="850"/>
      <w:jc w:val="both"/>
    </w:pPr>
    <w:rPr>
      <w:rFonts w:ascii="Calibri" w:hAnsi="Calibri"/>
      <w:sz w:val="21"/>
    </w:rPr>
  </w:style>
  <w:style w:type="paragraph" w:customStyle="1" w:styleId="toc95">
    <w:name w:val="toc 95"/>
    <w:next w:val="a3"/>
    <w:qFormat/>
    <w:pPr>
      <w:wordWrap w:val="0"/>
      <w:ind w:left="3400"/>
      <w:jc w:val="both"/>
    </w:pPr>
    <w:rPr>
      <w:rFonts w:ascii="Calibri" w:hAnsi="Calibri"/>
      <w:sz w:val="21"/>
    </w:rPr>
  </w:style>
  <w:style w:type="paragraph" w:customStyle="1" w:styleId="52">
    <w:name w:val="列出段落5"/>
    <w:basedOn w:val="a3"/>
    <w:next w:val="toc312"/>
    <w:qFormat/>
    <w:pPr>
      <w:ind w:firstLine="420"/>
    </w:pPr>
    <w:rPr>
      <w:rFonts w:hAnsi="Calibri"/>
      <w:kern w:val="0"/>
      <w:szCs w:val="20"/>
    </w:rPr>
  </w:style>
  <w:style w:type="paragraph" w:customStyle="1" w:styleId="toc312">
    <w:name w:val="toc 312"/>
    <w:next w:val="a3"/>
    <w:qFormat/>
    <w:pPr>
      <w:wordWrap w:val="0"/>
      <w:ind w:left="850"/>
      <w:jc w:val="both"/>
    </w:pPr>
    <w:rPr>
      <w:rFonts w:ascii="Calibri" w:hAnsi="Calibri"/>
      <w:sz w:val="21"/>
    </w:rPr>
  </w:style>
  <w:style w:type="paragraph" w:customStyle="1" w:styleId="xl66">
    <w:name w:val="xl66"/>
    <w:basedOn w:val="a3"/>
    <w:next w:val="toc56"/>
    <w:qFormat/>
    <w:pPr>
      <w:widowControl/>
      <w:shd w:val="clear" w:color="000000" w:fill="FFFFFF"/>
      <w:spacing w:before="280" w:after="280"/>
    </w:pPr>
    <w:rPr>
      <w:rFonts w:ascii="宋体" w:hAnsi="Calibri"/>
      <w:kern w:val="0"/>
      <w:sz w:val="20"/>
      <w:szCs w:val="20"/>
    </w:rPr>
  </w:style>
  <w:style w:type="paragraph" w:customStyle="1" w:styleId="toc56">
    <w:name w:val="toc 56"/>
    <w:next w:val="a3"/>
    <w:qFormat/>
    <w:pPr>
      <w:wordWrap w:val="0"/>
      <w:ind w:left="1700"/>
      <w:jc w:val="both"/>
    </w:pPr>
    <w:rPr>
      <w:rFonts w:ascii="Calibri" w:hAnsi="Calibri"/>
      <w:sz w:val="21"/>
    </w:rPr>
  </w:style>
  <w:style w:type="paragraph" w:customStyle="1" w:styleId="TOCHeading3">
    <w:name w:val="TOC Heading3"/>
    <w:next w:val="a3"/>
    <w:qFormat/>
    <w:pPr>
      <w:wordWrap w:val="0"/>
    </w:pPr>
    <w:rPr>
      <w:rFonts w:ascii="Calibri" w:hAnsi="Calibri"/>
      <w:sz w:val="32"/>
    </w:rPr>
  </w:style>
  <w:style w:type="paragraph" w:customStyle="1" w:styleId="toc65">
    <w:name w:val="toc 65"/>
    <w:next w:val="a3"/>
    <w:qFormat/>
    <w:pPr>
      <w:wordWrap w:val="0"/>
      <w:ind w:left="2125"/>
      <w:jc w:val="both"/>
    </w:pPr>
    <w:rPr>
      <w:rFonts w:ascii="Calibri" w:hAnsi="Calibri"/>
      <w:sz w:val="21"/>
    </w:rPr>
  </w:style>
  <w:style w:type="paragraph" w:customStyle="1" w:styleId="toc25">
    <w:name w:val="toc 25"/>
    <w:next w:val="a3"/>
    <w:qFormat/>
    <w:pPr>
      <w:wordWrap w:val="0"/>
      <w:ind w:left="425"/>
      <w:jc w:val="both"/>
    </w:pPr>
    <w:rPr>
      <w:rFonts w:ascii="Calibri" w:hAnsi="Calibri"/>
      <w:sz w:val="21"/>
    </w:rPr>
  </w:style>
  <w:style w:type="paragraph" w:customStyle="1" w:styleId="xl84">
    <w:name w:val="xl84"/>
    <w:basedOn w:val="a3"/>
    <w:next w:val="toc99"/>
    <w:qFormat/>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pPr>
      <w:wordWrap w:val="0"/>
      <w:ind w:left="3400"/>
      <w:jc w:val="both"/>
    </w:pPr>
    <w:rPr>
      <w:rFonts w:ascii="Calibri" w:hAnsi="Calibri"/>
      <w:sz w:val="21"/>
    </w:rPr>
  </w:style>
  <w:style w:type="paragraph" w:customStyle="1" w:styleId="xl81">
    <w:name w:val="xl81"/>
    <w:basedOn w:val="a3"/>
    <w:next w:val="toc59"/>
    <w:qFormat/>
    <w:pPr>
      <w:widowControl/>
      <w:shd w:val="clear" w:color="000000" w:fill="FFFFFF"/>
      <w:spacing w:before="280" w:after="280"/>
    </w:pPr>
    <w:rPr>
      <w:rFonts w:ascii="宋体" w:hAnsi="Calibri"/>
      <w:kern w:val="0"/>
      <w:sz w:val="20"/>
      <w:szCs w:val="20"/>
    </w:rPr>
  </w:style>
  <w:style w:type="paragraph" w:customStyle="1" w:styleId="toc59">
    <w:name w:val="toc 59"/>
    <w:next w:val="a3"/>
    <w:qFormat/>
    <w:pPr>
      <w:wordWrap w:val="0"/>
      <w:ind w:left="1700"/>
      <w:jc w:val="both"/>
    </w:pPr>
    <w:rPr>
      <w:rFonts w:ascii="Calibri" w:hAnsi="Calibri"/>
      <w:sz w:val="21"/>
    </w:rPr>
  </w:style>
  <w:style w:type="paragraph" w:customStyle="1" w:styleId="110">
    <w:name w:val="目录 11"/>
    <w:next w:val="a3"/>
    <w:qFormat/>
    <w:pPr>
      <w:wordWrap w:val="0"/>
      <w:jc w:val="both"/>
    </w:pPr>
    <w:rPr>
      <w:rFonts w:ascii="Calibri" w:hAnsi="Calibri"/>
      <w:sz w:val="21"/>
    </w:rPr>
  </w:style>
  <w:style w:type="paragraph" w:customStyle="1" w:styleId="toc513">
    <w:name w:val="toc 513"/>
    <w:next w:val="a3"/>
    <w:qFormat/>
    <w:pPr>
      <w:wordWrap w:val="0"/>
      <w:ind w:left="1700"/>
      <w:jc w:val="both"/>
    </w:pPr>
    <w:rPr>
      <w:rFonts w:ascii="Calibri" w:hAnsi="Calibri"/>
      <w:sz w:val="21"/>
    </w:rPr>
  </w:style>
  <w:style w:type="paragraph" w:customStyle="1" w:styleId="TOCHeading12">
    <w:name w:val="TOC Heading12"/>
    <w:next w:val="a3"/>
    <w:qFormat/>
    <w:pPr>
      <w:wordWrap w:val="0"/>
    </w:pPr>
    <w:rPr>
      <w:rFonts w:ascii="Calibri" w:hAnsi="Calibri"/>
      <w:sz w:val="32"/>
    </w:rPr>
  </w:style>
  <w:style w:type="paragraph" w:customStyle="1" w:styleId="TOCHeading8">
    <w:name w:val="TOC Heading8"/>
    <w:next w:val="a3"/>
    <w:qFormat/>
    <w:pPr>
      <w:wordWrap w:val="0"/>
    </w:pPr>
    <w:rPr>
      <w:rFonts w:ascii="Calibri" w:hAnsi="Calibri"/>
      <w:sz w:val="32"/>
    </w:rPr>
  </w:style>
  <w:style w:type="paragraph" w:customStyle="1" w:styleId="toc711">
    <w:name w:val="toc 711"/>
    <w:next w:val="a3"/>
    <w:qFormat/>
    <w:pPr>
      <w:wordWrap w:val="0"/>
      <w:ind w:left="2550"/>
      <w:jc w:val="both"/>
    </w:pPr>
    <w:rPr>
      <w:rFonts w:ascii="Calibri" w:hAnsi="Calibri"/>
      <w:sz w:val="21"/>
    </w:rPr>
  </w:style>
  <w:style w:type="paragraph" w:customStyle="1" w:styleId="toc212">
    <w:name w:val="toc 212"/>
    <w:next w:val="a3"/>
    <w:qFormat/>
    <w:pPr>
      <w:wordWrap w:val="0"/>
      <w:ind w:left="425"/>
      <w:jc w:val="both"/>
    </w:pPr>
    <w:rPr>
      <w:rFonts w:ascii="Calibri" w:hAnsi="Calibri"/>
      <w:sz w:val="21"/>
    </w:rPr>
  </w:style>
  <w:style w:type="paragraph" w:customStyle="1" w:styleId="210">
    <w:name w:val="目录 21"/>
    <w:next w:val="a3"/>
    <w:qFormat/>
    <w:pPr>
      <w:wordWrap w:val="0"/>
      <w:ind w:left="425"/>
      <w:jc w:val="both"/>
    </w:pPr>
    <w:rPr>
      <w:rFonts w:ascii="Calibri" w:hAnsi="Calibri"/>
      <w:sz w:val="21"/>
    </w:rPr>
  </w:style>
  <w:style w:type="paragraph" w:customStyle="1" w:styleId="toc45">
    <w:name w:val="toc 45"/>
    <w:next w:val="a3"/>
    <w:qFormat/>
    <w:pPr>
      <w:wordWrap w:val="0"/>
      <w:ind w:left="1275"/>
      <w:jc w:val="both"/>
    </w:pPr>
    <w:rPr>
      <w:rFonts w:ascii="Calibri" w:hAnsi="Calibri"/>
      <w:sz w:val="21"/>
    </w:rPr>
  </w:style>
  <w:style w:type="paragraph" w:customStyle="1" w:styleId="xl116">
    <w:name w:val="xl116"/>
    <w:basedOn w:val="a3"/>
    <w:next w:val="toc78"/>
    <w:qFormat/>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pPr>
      <w:wordWrap w:val="0"/>
      <w:ind w:left="2550"/>
      <w:jc w:val="both"/>
    </w:pPr>
    <w:rPr>
      <w:rFonts w:ascii="Calibri" w:hAnsi="Calibri"/>
      <w:sz w:val="21"/>
    </w:rPr>
  </w:style>
  <w:style w:type="paragraph" w:customStyle="1" w:styleId="font8">
    <w:name w:val="font8"/>
    <w:basedOn w:val="a3"/>
    <w:next w:val="TOCHeading11"/>
    <w:qFormat/>
    <w:pPr>
      <w:widowControl/>
      <w:spacing w:before="280" w:after="280"/>
    </w:pPr>
    <w:rPr>
      <w:rFonts w:ascii="Arial" w:hAnsi="Calibri"/>
      <w:kern w:val="0"/>
      <w:sz w:val="20"/>
      <w:szCs w:val="20"/>
    </w:rPr>
  </w:style>
  <w:style w:type="paragraph" w:customStyle="1" w:styleId="TOCHeading11">
    <w:name w:val="TOC Heading11"/>
    <w:next w:val="a3"/>
    <w:qFormat/>
    <w:pPr>
      <w:wordWrap w:val="0"/>
    </w:pPr>
    <w:rPr>
      <w:rFonts w:ascii="Calibri" w:hAnsi="Calibri"/>
      <w:sz w:val="32"/>
    </w:rPr>
  </w:style>
  <w:style w:type="paragraph" w:customStyle="1" w:styleId="xl69">
    <w:name w:val="xl69"/>
    <w:basedOn w:val="a3"/>
    <w:next w:val="toc48"/>
    <w:qFormat/>
    <w:pPr>
      <w:widowControl/>
      <w:shd w:val="clear" w:color="000000" w:fill="FFFFFF"/>
      <w:spacing w:before="280" w:after="280"/>
    </w:pPr>
    <w:rPr>
      <w:rFonts w:ascii="宋体" w:hAnsi="Calibri"/>
      <w:b/>
      <w:kern w:val="0"/>
      <w:sz w:val="20"/>
      <w:szCs w:val="20"/>
    </w:rPr>
  </w:style>
  <w:style w:type="paragraph" w:customStyle="1" w:styleId="toc48">
    <w:name w:val="toc 48"/>
    <w:next w:val="a3"/>
    <w:qFormat/>
    <w:pPr>
      <w:wordWrap w:val="0"/>
      <w:ind w:left="1275"/>
      <w:jc w:val="both"/>
    </w:pPr>
    <w:rPr>
      <w:rFonts w:ascii="Calibri" w:hAnsi="Calibri"/>
      <w:sz w:val="21"/>
    </w:rPr>
  </w:style>
  <w:style w:type="paragraph" w:customStyle="1" w:styleId="toc813">
    <w:name w:val="toc 813"/>
    <w:next w:val="a3"/>
    <w:qFormat/>
    <w:pPr>
      <w:wordWrap w:val="0"/>
      <w:ind w:left="2975"/>
      <w:jc w:val="both"/>
    </w:pPr>
    <w:rPr>
      <w:rFonts w:ascii="Calibri" w:hAnsi="Calibri"/>
      <w:sz w:val="21"/>
    </w:rPr>
  </w:style>
  <w:style w:type="paragraph" w:customStyle="1" w:styleId="910">
    <w:name w:val="目录 91"/>
    <w:next w:val="a3"/>
    <w:qFormat/>
    <w:pPr>
      <w:wordWrap w:val="0"/>
      <w:ind w:left="3400"/>
      <w:jc w:val="both"/>
    </w:pPr>
    <w:rPr>
      <w:rFonts w:ascii="Calibri" w:hAnsi="Calibri"/>
      <w:sz w:val="21"/>
    </w:rPr>
  </w:style>
  <w:style w:type="paragraph" w:customStyle="1" w:styleId="34">
    <w:name w:val="列出段落3"/>
    <w:basedOn w:val="a3"/>
    <w:next w:val="toc213"/>
    <w:qFormat/>
    <w:pPr>
      <w:ind w:firstLine="420"/>
    </w:pPr>
    <w:rPr>
      <w:rFonts w:hAnsi="Calibri"/>
      <w:kern w:val="0"/>
      <w:szCs w:val="20"/>
    </w:rPr>
  </w:style>
  <w:style w:type="paragraph" w:customStyle="1" w:styleId="toc213">
    <w:name w:val="toc 213"/>
    <w:next w:val="a3"/>
    <w:qFormat/>
    <w:pPr>
      <w:wordWrap w:val="0"/>
      <w:ind w:left="425"/>
      <w:jc w:val="both"/>
    </w:pPr>
    <w:rPr>
      <w:rFonts w:ascii="Calibri" w:hAnsi="Calibri"/>
      <w:sz w:val="21"/>
    </w:rPr>
  </w:style>
  <w:style w:type="paragraph" w:customStyle="1" w:styleId="TOC1">
    <w:name w:val="TOC 标题1"/>
    <w:next w:val="a3"/>
    <w:qFormat/>
    <w:pPr>
      <w:wordWrap w:val="0"/>
    </w:pPr>
    <w:rPr>
      <w:rFonts w:ascii="Calibri" w:hAnsi="Calibri"/>
      <w:sz w:val="32"/>
    </w:rPr>
  </w:style>
  <w:style w:type="paragraph" w:customStyle="1" w:styleId="TOCHeading5">
    <w:name w:val="TOC Heading5"/>
    <w:next w:val="a3"/>
    <w:qFormat/>
    <w:pPr>
      <w:wordWrap w:val="0"/>
    </w:pPr>
    <w:rPr>
      <w:rFonts w:ascii="Calibri" w:hAnsi="Calibri"/>
      <w:sz w:val="32"/>
    </w:rPr>
  </w:style>
  <w:style w:type="paragraph" w:customStyle="1" w:styleId="toc313">
    <w:name w:val="toc 313"/>
    <w:next w:val="a3"/>
    <w:qFormat/>
    <w:pPr>
      <w:wordWrap w:val="0"/>
      <w:ind w:left="850"/>
      <w:jc w:val="both"/>
    </w:pPr>
    <w:rPr>
      <w:rFonts w:ascii="Calibri" w:hAnsi="Calibri"/>
      <w:sz w:val="21"/>
    </w:rPr>
  </w:style>
  <w:style w:type="paragraph" w:customStyle="1" w:styleId="toc716">
    <w:name w:val="toc 716"/>
    <w:next w:val="a3"/>
    <w:qFormat/>
    <w:pPr>
      <w:wordWrap w:val="0"/>
      <w:ind w:left="2550"/>
      <w:jc w:val="both"/>
    </w:pPr>
    <w:rPr>
      <w:rFonts w:ascii="Calibri" w:hAnsi="Calibri"/>
      <w:sz w:val="21"/>
    </w:rPr>
  </w:style>
  <w:style w:type="paragraph" w:customStyle="1" w:styleId="xl115">
    <w:name w:val="xl115"/>
    <w:basedOn w:val="a3"/>
    <w:next w:val="toc712"/>
    <w:qFormat/>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pPr>
      <w:wordWrap w:val="0"/>
      <w:ind w:left="2550"/>
      <w:jc w:val="both"/>
    </w:pPr>
    <w:rPr>
      <w:rFonts w:ascii="Calibri" w:hAnsi="Calibri"/>
      <w:sz w:val="21"/>
    </w:rPr>
  </w:style>
  <w:style w:type="paragraph" w:customStyle="1" w:styleId="toc64">
    <w:name w:val="toc 64"/>
    <w:next w:val="a3"/>
    <w:qFormat/>
    <w:pPr>
      <w:wordWrap w:val="0"/>
      <w:ind w:left="2125"/>
      <w:jc w:val="both"/>
    </w:pPr>
    <w:rPr>
      <w:rFonts w:ascii="Calibri" w:hAnsi="Calibri"/>
      <w:sz w:val="21"/>
    </w:rPr>
  </w:style>
  <w:style w:type="paragraph" w:customStyle="1" w:styleId="toc24">
    <w:name w:val="toc 24"/>
    <w:next w:val="a3"/>
    <w:qFormat/>
    <w:pPr>
      <w:wordWrap w:val="0"/>
      <w:ind w:left="425"/>
      <w:jc w:val="both"/>
    </w:pPr>
    <w:rPr>
      <w:rFonts w:ascii="Calibri" w:hAnsi="Calibri"/>
      <w:sz w:val="21"/>
    </w:rPr>
  </w:style>
  <w:style w:type="paragraph" w:customStyle="1" w:styleId="toc54">
    <w:name w:val="toc 54"/>
    <w:next w:val="a3"/>
    <w:qFormat/>
    <w:pPr>
      <w:wordWrap w:val="0"/>
      <w:ind w:left="1700"/>
      <w:jc w:val="both"/>
    </w:pPr>
    <w:rPr>
      <w:rFonts w:ascii="Calibri" w:hAnsi="Calibri"/>
      <w:sz w:val="21"/>
    </w:rPr>
  </w:style>
  <w:style w:type="paragraph" w:customStyle="1" w:styleId="xl93">
    <w:name w:val="xl93"/>
    <w:basedOn w:val="a3"/>
    <w:next w:val="toc112"/>
    <w:qFormat/>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pPr>
      <w:wordWrap w:val="0"/>
      <w:jc w:val="both"/>
    </w:pPr>
    <w:rPr>
      <w:rFonts w:ascii="Calibri" w:hAnsi="Calibri"/>
      <w:sz w:val="21"/>
    </w:rPr>
  </w:style>
  <w:style w:type="paragraph" w:customStyle="1" w:styleId="xl96">
    <w:name w:val="xl96"/>
    <w:basedOn w:val="a3"/>
    <w:next w:val="toc514"/>
    <w:qFormat/>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pPr>
      <w:widowControl/>
      <w:shd w:val="clear" w:color="000000" w:fill="FFFFFF"/>
      <w:spacing w:before="280" w:after="280"/>
    </w:pPr>
    <w:rPr>
      <w:rFonts w:ascii="宋体" w:hAnsi="Calibri"/>
      <w:kern w:val="0"/>
      <w:sz w:val="20"/>
      <w:szCs w:val="20"/>
    </w:rPr>
  </w:style>
  <w:style w:type="paragraph" w:customStyle="1" w:styleId="toc35">
    <w:name w:val="toc 35"/>
    <w:next w:val="a3"/>
    <w:qFormat/>
    <w:pPr>
      <w:wordWrap w:val="0"/>
      <w:ind w:left="850"/>
      <w:jc w:val="both"/>
    </w:pPr>
    <w:rPr>
      <w:rFonts w:ascii="Calibri" w:hAnsi="Calibri"/>
      <w:sz w:val="21"/>
    </w:rPr>
  </w:style>
  <w:style w:type="paragraph" w:customStyle="1" w:styleId="TOCHeading14">
    <w:name w:val="TOC Heading14"/>
    <w:next w:val="a3"/>
    <w:qFormat/>
    <w:pPr>
      <w:wordWrap w:val="0"/>
    </w:pPr>
    <w:rPr>
      <w:rFonts w:ascii="Calibri" w:hAnsi="Calibri"/>
      <w:sz w:val="32"/>
    </w:rPr>
  </w:style>
  <w:style w:type="paragraph" w:customStyle="1" w:styleId="CharCharCharCharCharCharChar1">
    <w:name w:val="Char Char Char Char Char Char Char1"/>
    <w:basedOn w:val="a3"/>
    <w:next w:val="toc67"/>
    <w:qFormat/>
    <w:pPr>
      <w:widowControl/>
      <w:spacing w:after="160" w:line="240" w:lineRule="exact"/>
    </w:pPr>
    <w:rPr>
      <w:rFonts w:hAnsi="Calibri"/>
      <w:kern w:val="0"/>
      <w:szCs w:val="20"/>
    </w:rPr>
  </w:style>
  <w:style w:type="paragraph" w:customStyle="1" w:styleId="toc67">
    <w:name w:val="toc 67"/>
    <w:next w:val="a3"/>
    <w:qFormat/>
    <w:pPr>
      <w:wordWrap w:val="0"/>
      <w:ind w:left="2125"/>
      <w:jc w:val="both"/>
    </w:pPr>
    <w:rPr>
      <w:rFonts w:ascii="Calibri" w:hAnsi="Calibri"/>
      <w:sz w:val="21"/>
    </w:rPr>
  </w:style>
  <w:style w:type="paragraph" w:customStyle="1" w:styleId="43">
    <w:name w:val="列出段落4"/>
    <w:basedOn w:val="a3"/>
    <w:next w:val="TOCHeading9"/>
    <w:qFormat/>
    <w:pPr>
      <w:ind w:firstLine="420"/>
    </w:pPr>
    <w:rPr>
      <w:rFonts w:hAnsi="Calibri"/>
      <w:kern w:val="0"/>
      <w:szCs w:val="20"/>
    </w:rPr>
  </w:style>
  <w:style w:type="paragraph" w:customStyle="1" w:styleId="TOCHeading9">
    <w:name w:val="TOC Heading9"/>
    <w:next w:val="a3"/>
    <w:qFormat/>
    <w:pPr>
      <w:wordWrap w:val="0"/>
    </w:pPr>
    <w:rPr>
      <w:rFonts w:ascii="Calibri" w:hAnsi="Calibri"/>
      <w:sz w:val="32"/>
    </w:rPr>
  </w:style>
  <w:style w:type="paragraph" w:customStyle="1" w:styleId="xl71">
    <w:name w:val="xl71"/>
    <w:basedOn w:val="a3"/>
    <w:next w:val="toc115"/>
    <w:qFormat/>
    <w:pPr>
      <w:widowControl/>
      <w:shd w:val="clear" w:color="000000" w:fill="FFFFFF"/>
      <w:spacing w:before="280" w:after="280"/>
    </w:pPr>
    <w:rPr>
      <w:rFonts w:ascii="宋体" w:hAnsi="Calibri"/>
      <w:kern w:val="0"/>
      <w:sz w:val="24"/>
      <w:szCs w:val="20"/>
    </w:rPr>
  </w:style>
  <w:style w:type="paragraph" w:customStyle="1" w:styleId="toc115">
    <w:name w:val="toc 115"/>
    <w:next w:val="a3"/>
    <w:qFormat/>
    <w:pPr>
      <w:wordWrap w:val="0"/>
      <w:jc w:val="both"/>
    </w:pPr>
    <w:rPr>
      <w:rFonts w:ascii="Calibri" w:hAnsi="Calibri"/>
      <w:sz w:val="21"/>
    </w:rPr>
  </w:style>
  <w:style w:type="paragraph" w:customStyle="1" w:styleId="toc51">
    <w:name w:val="toc 51"/>
    <w:next w:val="a3"/>
    <w:qFormat/>
    <w:pPr>
      <w:wordWrap w:val="0"/>
      <w:ind w:left="1700"/>
      <w:jc w:val="both"/>
    </w:pPr>
    <w:rPr>
      <w:rFonts w:ascii="Calibri" w:hAnsi="Calibri"/>
      <w:sz w:val="21"/>
    </w:rPr>
  </w:style>
  <w:style w:type="paragraph" w:customStyle="1" w:styleId="toc47">
    <w:name w:val="toc 47"/>
    <w:next w:val="a3"/>
    <w:qFormat/>
    <w:pPr>
      <w:wordWrap w:val="0"/>
      <w:ind w:left="1275"/>
      <w:jc w:val="both"/>
    </w:pPr>
    <w:rPr>
      <w:rFonts w:ascii="Calibri" w:hAnsi="Calibri"/>
      <w:sz w:val="21"/>
    </w:rPr>
  </w:style>
  <w:style w:type="paragraph" w:customStyle="1" w:styleId="xl108">
    <w:name w:val="xl108"/>
    <w:basedOn w:val="a3"/>
    <w:next w:val="toc18"/>
    <w:qFormat/>
    <w:pPr>
      <w:widowControl/>
      <w:shd w:val="clear" w:color="000000" w:fill="FFFFFF"/>
      <w:spacing w:before="280" w:after="280"/>
    </w:pPr>
    <w:rPr>
      <w:rFonts w:ascii="宋体" w:hAnsi="Calibri"/>
      <w:kern w:val="0"/>
      <w:sz w:val="18"/>
      <w:szCs w:val="20"/>
    </w:rPr>
  </w:style>
  <w:style w:type="paragraph" w:customStyle="1" w:styleId="toc18">
    <w:name w:val="toc 18"/>
    <w:next w:val="a3"/>
    <w:qFormat/>
    <w:pPr>
      <w:wordWrap w:val="0"/>
      <w:jc w:val="both"/>
    </w:pPr>
    <w:rPr>
      <w:rFonts w:ascii="Calibri" w:hAnsi="Calibri"/>
      <w:sz w:val="21"/>
    </w:rPr>
  </w:style>
  <w:style w:type="paragraph" w:customStyle="1" w:styleId="TOCHeading7">
    <w:name w:val="TOC Heading7"/>
    <w:next w:val="a3"/>
    <w:qFormat/>
    <w:pPr>
      <w:wordWrap w:val="0"/>
    </w:pPr>
    <w:rPr>
      <w:rFonts w:ascii="Calibri" w:hAnsi="Calibri"/>
      <w:sz w:val="32"/>
    </w:rPr>
  </w:style>
  <w:style w:type="character" w:customStyle="1" w:styleId="Char8">
    <w:name w:val="副标题 Char"/>
    <w:basedOn w:val="a6"/>
    <w:link w:val="af2"/>
    <w:qFormat/>
    <w:rPr>
      <w:rFonts w:ascii="Calibri" w:hAnsi="Calibri"/>
      <w:sz w:val="24"/>
    </w:rPr>
  </w:style>
  <w:style w:type="paragraph" w:customStyle="1" w:styleId="710">
    <w:name w:val="目录 71"/>
    <w:next w:val="a3"/>
    <w:qFormat/>
    <w:pPr>
      <w:wordWrap w:val="0"/>
      <w:ind w:left="2550"/>
      <w:jc w:val="both"/>
    </w:pPr>
    <w:rPr>
      <w:rFonts w:ascii="Calibri" w:hAnsi="Calibri"/>
      <w:sz w:val="21"/>
    </w:rPr>
  </w:style>
  <w:style w:type="paragraph" w:customStyle="1" w:styleId="toc413">
    <w:name w:val="toc 413"/>
    <w:next w:val="a3"/>
    <w:qFormat/>
    <w:pPr>
      <w:wordWrap w:val="0"/>
      <w:ind w:left="1275"/>
      <w:jc w:val="both"/>
    </w:pPr>
    <w:rPr>
      <w:rFonts w:ascii="Calibri" w:hAnsi="Calibri"/>
      <w:sz w:val="21"/>
    </w:rPr>
  </w:style>
  <w:style w:type="paragraph" w:customStyle="1" w:styleId="toc85">
    <w:name w:val="toc 85"/>
    <w:next w:val="a3"/>
    <w:qFormat/>
    <w:pPr>
      <w:wordWrap w:val="0"/>
      <w:ind w:left="2975"/>
      <w:jc w:val="both"/>
    </w:pPr>
    <w:rPr>
      <w:rFonts w:ascii="Calibri" w:hAnsi="Calibri"/>
      <w:sz w:val="21"/>
    </w:rPr>
  </w:style>
  <w:style w:type="paragraph" w:customStyle="1" w:styleId="62">
    <w:name w:val="列出段落6"/>
    <w:basedOn w:val="a3"/>
    <w:next w:val="toc86"/>
    <w:qFormat/>
    <w:pPr>
      <w:ind w:firstLine="420"/>
    </w:pPr>
    <w:rPr>
      <w:rFonts w:hAnsi="Calibri"/>
      <w:kern w:val="0"/>
      <w:szCs w:val="20"/>
    </w:rPr>
  </w:style>
  <w:style w:type="paragraph" w:customStyle="1" w:styleId="toc86">
    <w:name w:val="toc 86"/>
    <w:next w:val="a3"/>
    <w:qFormat/>
    <w:pPr>
      <w:wordWrap w:val="0"/>
      <w:ind w:left="2975"/>
      <w:jc w:val="both"/>
    </w:pPr>
    <w:rPr>
      <w:rFonts w:ascii="Calibri" w:hAnsi="Calibri"/>
      <w:sz w:val="21"/>
    </w:rPr>
  </w:style>
  <w:style w:type="paragraph" w:customStyle="1" w:styleId="xl80">
    <w:name w:val="xl80"/>
    <w:basedOn w:val="a3"/>
    <w:next w:val="toc49"/>
    <w:qFormat/>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pPr>
      <w:wordWrap w:val="0"/>
      <w:ind w:left="1275"/>
      <w:jc w:val="both"/>
    </w:pPr>
    <w:rPr>
      <w:rFonts w:ascii="Calibri" w:hAnsi="Calibri"/>
      <w:sz w:val="21"/>
    </w:rPr>
  </w:style>
  <w:style w:type="paragraph" w:customStyle="1" w:styleId="CharCharCharChar1">
    <w:name w:val="Char Char Char Char1"/>
    <w:basedOn w:val="a3"/>
    <w:next w:val="toc713"/>
    <w:qFormat/>
    <w:pPr>
      <w:widowControl/>
      <w:spacing w:after="160" w:line="240" w:lineRule="exact"/>
    </w:pPr>
    <w:rPr>
      <w:rFonts w:ascii="Verdana" w:eastAsia="仿宋_GB2312" w:hAnsi="Calibri"/>
      <w:kern w:val="0"/>
      <w:sz w:val="24"/>
      <w:szCs w:val="20"/>
    </w:rPr>
  </w:style>
  <w:style w:type="paragraph" w:customStyle="1" w:styleId="toc713">
    <w:name w:val="toc 713"/>
    <w:next w:val="a3"/>
    <w:qFormat/>
    <w:pPr>
      <w:wordWrap w:val="0"/>
      <w:ind w:left="2550"/>
      <w:jc w:val="both"/>
    </w:pPr>
    <w:rPr>
      <w:rFonts w:ascii="Calibri" w:hAnsi="Calibri"/>
      <w:sz w:val="21"/>
    </w:rPr>
  </w:style>
  <w:style w:type="paragraph" w:customStyle="1" w:styleId="xl102">
    <w:name w:val="xl102"/>
    <w:basedOn w:val="a3"/>
    <w:next w:val="toc17"/>
    <w:qFormat/>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pPr>
      <w:wordWrap w:val="0"/>
      <w:jc w:val="both"/>
    </w:pPr>
    <w:rPr>
      <w:rFonts w:ascii="Calibri" w:hAnsi="Calibri"/>
      <w:sz w:val="21"/>
    </w:rPr>
  </w:style>
  <w:style w:type="paragraph" w:customStyle="1" w:styleId="toc46">
    <w:name w:val="toc 46"/>
    <w:next w:val="a3"/>
    <w:qFormat/>
    <w:pPr>
      <w:wordWrap w:val="0"/>
      <w:ind w:left="1275"/>
      <w:jc w:val="both"/>
    </w:pPr>
    <w:rPr>
      <w:rFonts w:ascii="Calibri" w:hAnsi="Calibri"/>
      <w:sz w:val="21"/>
    </w:rPr>
  </w:style>
  <w:style w:type="paragraph" w:customStyle="1" w:styleId="toc311">
    <w:name w:val="toc 311"/>
    <w:next w:val="a3"/>
    <w:qFormat/>
    <w:pPr>
      <w:wordWrap w:val="0"/>
      <w:ind w:left="850"/>
      <w:jc w:val="both"/>
    </w:pPr>
    <w:rPr>
      <w:rFonts w:ascii="Calibri" w:hAnsi="Calibri"/>
      <w:sz w:val="21"/>
    </w:rPr>
  </w:style>
  <w:style w:type="paragraph" w:customStyle="1" w:styleId="xl65">
    <w:name w:val="xl65"/>
    <w:basedOn w:val="a3"/>
    <w:next w:val="toc411"/>
    <w:qFormat/>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pPr>
      <w:wordWrap w:val="0"/>
      <w:ind w:left="3400"/>
      <w:jc w:val="both"/>
    </w:pPr>
    <w:rPr>
      <w:rFonts w:ascii="Calibri" w:hAnsi="Calibri"/>
      <w:sz w:val="21"/>
    </w:rPr>
  </w:style>
  <w:style w:type="paragraph" w:customStyle="1" w:styleId="toc55">
    <w:name w:val="toc 55"/>
    <w:next w:val="a3"/>
    <w:qFormat/>
    <w:pPr>
      <w:wordWrap w:val="0"/>
      <w:ind w:left="1700"/>
      <w:jc w:val="both"/>
    </w:pPr>
    <w:rPr>
      <w:rFonts w:ascii="Calibri" w:hAnsi="Calibri"/>
      <w:sz w:val="21"/>
    </w:rPr>
  </w:style>
  <w:style w:type="paragraph" w:customStyle="1" w:styleId="toc812">
    <w:name w:val="toc 812"/>
    <w:next w:val="a3"/>
    <w:qFormat/>
    <w:pPr>
      <w:wordWrap w:val="0"/>
      <w:ind w:left="2975"/>
      <w:jc w:val="both"/>
    </w:pPr>
    <w:rPr>
      <w:rFonts w:ascii="Calibri" w:hAnsi="Calibri"/>
      <w:sz w:val="21"/>
    </w:rPr>
  </w:style>
  <w:style w:type="paragraph" w:customStyle="1" w:styleId="xl75">
    <w:name w:val="xl75"/>
    <w:basedOn w:val="a3"/>
    <w:next w:val="toc914"/>
    <w:qFormat/>
    <w:pPr>
      <w:widowControl/>
      <w:shd w:val="clear" w:color="000000" w:fill="FFFFFF"/>
      <w:spacing w:before="280" w:after="280"/>
    </w:pPr>
    <w:rPr>
      <w:rFonts w:ascii="宋体" w:hAnsi="Calibri"/>
      <w:kern w:val="0"/>
      <w:sz w:val="20"/>
      <w:szCs w:val="20"/>
    </w:rPr>
  </w:style>
  <w:style w:type="paragraph" w:customStyle="1" w:styleId="toc914">
    <w:name w:val="toc 914"/>
    <w:next w:val="a3"/>
    <w:qFormat/>
    <w:pPr>
      <w:wordWrap w:val="0"/>
      <w:ind w:left="3400"/>
      <w:jc w:val="both"/>
    </w:pPr>
    <w:rPr>
      <w:rFonts w:ascii="Calibri" w:hAnsi="Calibri"/>
      <w:sz w:val="21"/>
    </w:rPr>
  </w:style>
  <w:style w:type="paragraph" w:customStyle="1" w:styleId="toc19">
    <w:name w:val="toc 19"/>
    <w:next w:val="a3"/>
    <w:qFormat/>
    <w:pPr>
      <w:wordWrap w:val="0"/>
      <w:jc w:val="both"/>
    </w:pPr>
    <w:rPr>
      <w:rFonts w:ascii="Calibri" w:hAnsi="Calibri"/>
      <w:sz w:val="21"/>
    </w:rPr>
  </w:style>
  <w:style w:type="paragraph" w:customStyle="1" w:styleId="TOCHeading6">
    <w:name w:val="TOC Heading6"/>
    <w:next w:val="a3"/>
    <w:qFormat/>
    <w:pPr>
      <w:wordWrap w:val="0"/>
    </w:pPr>
    <w:rPr>
      <w:rFonts w:ascii="Calibri" w:hAnsi="Calibri"/>
      <w:sz w:val="32"/>
    </w:rPr>
  </w:style>
  <w:style w:type="paragraph" w:customStyle="1" w:styleId="toc52">
    <w:name w:val="toc 52"/>
    <w:next w:val="a3"/>
    <w:qFormat/>
    <w:pPr>
      <w:wordWrap w:val="0"/>
      <w:ind w:left="1700"/>
      <w:jc w:val="both"/>
    </w:pPr>
    <w:rPr>
      <w:rFonts w:ascii="Calibri" w:hAnsi="Calibri"/>
      <w:sz w:val="21"/>
    </w:rPr>
  </w:style>
  <w:style w:type="paragraph" w:customStyle="1" w:styleId="toc36">
    <w:name w:val="toc 36"/>
    <w:next w:val="a3"/>
    <w:qFormat/>
    <w:pPr>
      <w:wordWrap w:val="0"/>
      <w:ind w:left="850"/>
      <w:jc w:val="both"/>
    </w:pPr>
    <w:rPr>
      <w:rFonts w:ascii="Calibri" w:hAnsi="Calibri"/>
      <w:sz w:val="21"/>
    </w:rPr>
  </w:style>
  <w:style w:type="paragraph" w:customStyle="1" w:styleId="toc82">
    <w:name w:val="toc 82"/>
    <w:next w:val="a3"/>
    <w:qFormat/>
    <w:pPr>
      <w:wordWrap w:val="0"/>
      <w:ind w:left="2975"/>
      <w:jc w:val="both"/>
    </w:pPr>
    <w:rPr>
      <w:rFonts w:ascii="Calibri" w:hAnsi="Calibri"/>
      <w:sz w:val="21"/>
    </w:rPr>
  </w:style>
  <w:style w:type="paragraph" w:customStyle="1" w:styleId="xl104">
    <w:name w:val="xl104"/>
    <w:basedOn w:val="a3"/>
    <w:next w:val="toc210"/>
    <w:qFormat/>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pPr>
      <w:wordWrap w:val="0"/>
      <w:ind w:left="425"/>
      <w:jc w:val="both"/>
    </w:pPr>
    <w:rPr>
      <w:rFonts w:ascii="Calibri" w:hAnsi="Calibri"/>
      <w:sz w:val="21"/>
    </w:rPr>
  </w:style>
  <w:style w:type="paragraph" w:customStyle="1" w:styleId="toc110">
    <w:name w:val="toc 110"/>
    <w:next w:val="a3"/>
    <w:qFormat/>
    <w:pPr>
      <w:wordWrap w:val="0"/>
      <w:jc w:val="both"/>
    </w:pPr>
    <w:rPr>
      <w:rFonts w:ascii="Calibri" w:hAnsi="Calibri"/>
      <w:sz w:val="21"/>
    </w:rPr>
  </w:style>
  <w:style w:type="paragraph" w:customStyle="1" w:styleId="toc66">
    <w:name w:val="toc 66"/>
    <w:next w:val="a3"/>
    <w:qFormat/>
    <w:pPr>
      <w:wordWrap w:val="0"/>
      <w:ind w:left="2125"/>
      <w:jc w:val="both"/>
    </w:pPr>
    <w:rPr>
      <w:rFonts w:ascii="Calibri" w:hAnsi="Calibri"/>
      <w:sz w:val="21"/>
    </w:rPr>
  </w:style>
  <w:style w:type="paragraph" w:customStyle="1" w:styleId="toc31">
    <w:name w:val="toc 31"/>
    <w:next w:val="a3"/>
    <w:qFormat/>
    <w:pPr>
      <w:wordWrap w:val="0"/>
      <w:ind w:left="850"/>
      <w:jc w:val="both"/>
    </w:pPr>
    <w:rPr>
      <w:rFonts w:ascii="Calibri" w:hAnsi="Calibri"/>
      <w:sz w:val="21"/>
    </w:rPr>
  </w:style>
  <w:style w:type="paragraph" w:customStyle="1" w:styleId="toc93">
    <w:name w:val="toc 93"/>
    <w:next w:val="a3"/>
    <w:qFormat/>
    <w:pPr>
      <w:wordWrap w:val="0"/>
      <w:ind w:left="3400"/>
      <w:jc w:val="both"/>
    </w:pPr>
    <w:rPr>
      <w:rFonts w:ascii="Calibri" w:hAnsi="Calibri"/>
      <w:sz w:val="21"/>
    </w:rPr>
  </w:style>
  <w:style w:type="paragraph" w:customStyle="1" w:styleId="toc614">
    <w:name w:val="toc 614"/>
    <w:next w:val="a3"/>
    <w:qFormat/>
    <w:pPr>
      <w:wordWrap w:val="0"/>
      <w:ind w:left="2125"/>
      <w:jc w:val="both"/>
    </w:pPr>
    <w:rPr>
      <w:rFonts w:ascii="Calibri" w:hAnsi="Calibri"/>
      <w:sz w:val="21"/>
    </w:rPr>
  </w:style>
  <w:style w:type="paragraph" w:customStyle="1" w:styleId="1c">
    <w:name w:val="无间隔1"/>
    <w:next w:val="toc110"/>
    <w:qFormat/>
    <w:pPr>
      <w:widowControl w:val="0"/>
      <w:jc w:val="both"/>
    </w:pPr>
    <w:rPr>
      <w:rFonts w:ascii="Calibri" w:hAnsi="Calibri"/>
      <w:sz w:val="22"/>
    </w:rPr>
  </w:style>
  <w:style w:type="paragraph" w:customStyle="1" w:styleId="410">
    <w:name w:val="目录 41"/>
    <w:next w:val="a3"/>
    <w:qFormat/>
    <w:pPr>
      <w:wordWrap w:val="0"/>
      <w:ind w:left="1275"/>
      <w:jc w:val="both"/>
    </w:pPr>
    <w:rPr>
      <w:rFonts w:ascii="Calibri" w:hAnsi="Calibri"/>
      <w:sz w:val="21"/>
    </w:rPr>
  </w:style>
  <w:style w:type="paragraph" w:customStyle="1" w:styleId="xl105">
    <w:name w:val="xl105"/>
    <w:basedOn w:val="a3"/>
    <w:next w:val="toc615"/>
    <w:qFormat/>
    <w:pPr>
      <w:widowControl/>
      <w:shd w:val="clear" w:color="000000" w:fill="FFFFFF"/>
      <w:spacing w:before="280" w:after="280"/>
    </w:pPr>
    <w:rPr>
      <w:rFonts w:ascii="宋体" w:hAnsi="Calibri"/>
      <w:kern w:val="0"/>
      <w:sz w:val="18"/>
      <w:szCs w:val="20"/>
    </w:rPr>
  </w:style>
  <w:style w:type="paragraph" w:customStyle="1" w:styleId="toc615">
    <w:name w:val="toc 615"/>
    <w:next w:val="a3"/>
    <w:qFormat/>
    <w:pPr>
      <w:wordWrap w:val="0"/>
      <w:ind w:left="2125"/>
      <w:jc w:val="both"/>
    </w:pPr>
    <w:rPr>
      <w:rFonts w:ascii="Calibri" w:hAnsi="Calibri"/>
      <w:sz w:val="21"/>
    </w:rPr>
  </w:style>
  <w:style w:type="paragraph" w:customStyle="1" w:styleId="toc41">
    <w:name w:val="toc 41"/>
    <w:next w:val="a3"/>
    <w:qFormat/>
    <w:pPr>
      <w:wordWrap w:val="0"/>
      <w:ind w:left="1275"/>
      <w:jc w:val="both"/>
    </w:pPr>
    <w:rPr>
      <w:rFonts w:ascii="Calibri" w:hAnsi="Calibri"/>
      <w:sz w:val="21"/>
    </w:rPr>
  </w:style>
  <w:style w:type="paragraph" w:customStyle="1" w:styleId="toc81">
    <w:name w:val="toc 81"/>
    <w:next w:val="a3"/>
    <w:qFormat/>
    <w:pPr>
      <w:wordWrap w:val="0"/>
      <w:ind w:left="2975"/>
      <w:jc w:val="both"/>
    </w:pPr>
    <w:rPr>
      <w:rFonts w:ascii="Calibri" w:hAnsi="Calibri"/>
      <w:sz w:val="21"/>
    </w:rPr>
  </w:style>
  <w:style w:type="paragraph" w:customStyle="1" w:styleId="xl111">
    <w:name w:val="xl111"/>
    <w:basedOn w:val="a3"/>
    <w:next w:val="toc88"/>
    <w:qFormat/>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pPr>
      <w:wordWrap w:val="0"/>
      <w:ind w:left="2975"/>
      <w:jc w:val="both"/>
    </w:pPr>
    <w:rPr>
      <w:rFonts w:ascii="Calibri" w:hAnsi="Calibri"/>
      <w:sz w:val="21"/>
    </w:rPr>
  </w:style>
  <w:style w:type="paragraph" w:customStyle="1" w:styleId="toc84">
    <w:name w:val="toc 84"/>
    <w:next w:val="a3"/>
    <w:qFormat/>
    <w:pPr>
      <w:wordWrap w:val="0"/>
      <w:ind w:left="2975"/>
      <w:jc w:val="both"/>
    </w:pPr>
    <w:rPr>
      <w:rFonts w:ascii="Calibri" w:hAnsi="Calibri"/>
      <w:sz w:val="21"/>
    </w:rPr>
  </w:style>
  <w:style w:type="paragraph" w:customStyle="1" w:styleId="p0">
    <w:name w:val="p0"/>
    <w:basedOn w:val="a3"/>
    <w:next w:val="toc69"/>
    <w:qFormat/>
    <w:pPr>
      <w:widowControl/>
      <w:spacing w:before="280" w:after="280"/>
    </w:pPr>
    <w:rPr>
      <w:rFonts w:ascii="宋体" w:hAnsi="Calibri"/>
      <w:kern w:val="0"/>
      <w:sz w:val="24"/>
      <w:szCs w:val="20"/>
    </w:rPr>
  </w:style>
  <w:style w:type="paragraph" w:customStyle="1" w:styleId="toc69">
    <w:name w:val="toc 69"/>
    <w:next w:val="a3"/>
    <w:qFormat/>
    <w:pPr>
      <w:wordWrap w:val="0"/>
      <w:ind w:left="2125"/>
      <w:jc w:val="both"/>
    </w:pPr>
    <w:rPr>
      <w:rFonts w:ascii="Calibri" w:hAnsi="Calibri"/>
      <w:sz w:val="21"/>
    </w:rPr>
  </w:style>
  <w:style w:type="paragraph" w:customStyle="1" w:styleId="111">
    <w:name w:val="列出段落11"/>
    <w:basedOn w:val="a3"/>
    <w:next w:val="toc214"/>
    <w:qFormat/>
    <w:pPr>
      <w:widowControl/>
      <w:spacing w:line="360" w:lineRule="auto"/>
      <w:ind w:firstLine="420"/>
    </w:pPr>
    <w:rPr>
      <w:rFonts w:eastAsia="微软雅黑" w:hAnsi="Calibri"/>
      <w:kern w:val="0"/>
      <w:sz w:val="24"/>
      <w:szCs w:val="20"/>
    </w:rPr>
  </w:style>
  <w:style w:type="paragraph" w:customStyle="1" w:styleId="toc214">
    <w:name w:val="toc 214"/>
    <w:next w:val="a3"/>
    <w:qFormat/>
    <w:pPr>
      <w:wordWrap w:val="0"/>
      <w:ind w:left="425"/>
      <w:jc w:val="both"/>
    </w:pPr>
    <w:rPr>
      <w:rFonts w:ascii="Calibri" w:hAnsi="Calibri"/>
      <w:sz w:val="21"/>
    </w:rPr>
  </w:style>
  <w:style w:type="paragraph" w:customStyle="1" w:styleId="toc63">
    <w:name w:val="toc 63"/>
    <w:next w:val="a3"/>
    <w:qFormat/>
    <w:pPr>
      <w:wordWrap w:val="0"/>
      <w:ind w:left="2125"/>
      <w:jc w:val="both"/>
    </w:pPr>
    <w:rPr>
      <w:rFonts w:ascii="Calibri" w:hAnsi="Calibri"/>
      <w:sz w:val="21"/>
    </w:rPr>
  </w:style>
  <w:style w:type="paragraph" w:customStyle="1" w:styleId="xl91">
    <w:name w:val="xl91"/>
    <w:basedOn w:val="a3"/>
    <w:next w:val="toc38"/>
    <w:qFormat/>
    <w:pPr>
      <w:widowControl/>
      <w:shd w:val="clear" w:color="000000" w:fill="FFFFFF"/>
      <w:spacing w:before="280" w:after="280"/>
    </w:pPr>
    <w:rPr>
      <w:rFonts w:ascii="宋体" w:hAnsi="Calibri"/>
      <w:kern w:val="0"/>
      <w:sz w:val="20"/>
      <w:szCs w:val="20"/>
    </w:rPr>
  </w:style>
  <w:style w:type="paragraph" w:customStyle="1" w:styleId="toc316">
    <w:name w:val="toc 316"/>
    <w:next w:val="a3"/>
    <w:qFormat/>
    <w:pPr>
      <w:wordWrap w:val="0"/>
      <w:ind w:left="850"/>
      <w:jc w:val="both"/>
    </w:pPr>
    <w:rPr>
      <w:rFonts w:ascii="Calibri" w:hAnsi="Calibri"/>
      <w:sz w:val="21"/>
    </w:rPr>
  </w:style>
  <w:style w:type="paragraph" w:customStyle="1" w:styleId="Style1">
    <w:name w:val="_Style 1"/>
    <w:basedOn w:val="a3"/>
    <w:next w:val="TOCHeading13"/>
    <w:qFormat/>
    <w:pPr>
      <w:ind w:firstLine="420"/>
    </w:pPr>
    <w:rPr>
      <w:rFonts w:hAnsi="Calibri"/>
      <w:kern w:val="0"/>
      <w:szCs w:val="20"/>
    </w:rPr>
  </w:style>
  <w:style w:type="paragraph" w:customStyle="1" w:styleId="TOCHeading13">
    <w:name w:val="TOC Heading13"/>
    <w:next w:val="a3"/>
    <w:qFormat/>
    <w:pPr>
      <w:wordWrap w:val="0"/>
    </w:pPr>
    <w:rPr>
      <w:rFonts w:ascii="Calibri" w:hAnsi="Calibri"/>
      <w:sz w:val="32"/>
    </w:rPr>
  </w:style>
  <w:style w:type="paragraph" w:customStyle="1" w:styleId="toc116">
    <w:name w:val="toc 116"/>
    <w:next w:val="a3"/>
    <w:qFormat/>
    <w:pPr>
      <w:wordWrap w:val="0"/>
      <w:jc w:val="both"/>
    </w:pPr>
    <w:rPr>
      <w:rFonts w:ascii="Calibri" w:hAnsi="Calibri"/>
      <w:sz w:val="21"/>
    </w:rPr>
  </w:style>
  <w:style w:type="paragraph" w:customStyle="1" w:styleId="toc72">
    <w:name w:val="toc 72"/>
    <w:next w:val="a3"/>
    <w:qFormat/>
    <w:pPr>
      <w:wordWrap w:val="0"/>
      <w:ind w:left="2550"/>
      <w:jc w:val="both"/>
    </w:pPr>
    <w:rPr>
      <w:rFonts w:ascii="Calibri" w:hAnsi="Calibri"/>
      <w:sz w:val="21"/>
    </w:rPr>
  </w:style>
  <w:style w:type="paragraph" w:customStyle="1" w:styleId="xmsonormal">
    <w:name w:val="x_msonormal"/>
    <w:basedOn w:val="a3"/>
    <w:next w:val="toc413"/>
    <w:qFormat/>
    <w:pPr>
      <w:widowControl/>
      <w:spacing w:before="280" w:after="280"/>
    </w:pPr>
    <w:rPr>
      <w:rFonts w:ascii="PMingLiU" w:eastAsia="PMingLiU" w:hAnsi="Calibri"/>
      <w:kern w:val="0"/>
      <w:sz w:val="24"/>
      <w:szCs w:val="20"/>
    </w:rPr>
  </w:style>
  <w:style w:type="paragraph" w:customStyle="1" w:styleId="toc310">
    <w:name w:val="toc 310"/>
    <w:next w:val="a3"/>
    <w:qFormat/>
    <w:pPr>
      <w:wordWrap w:val="0"/>
      <w:ind w:left="850"/>
      <w:jc w:val="both"/>
    </w:pPr>
    <w:rPr>
      <w:rFonts w:ascii="Calibri" w:hAnsi="Calibri"/>
      <w:sz w:val="21"/>
    </w:rPr>
  </w:style>
  <w:style w:type="paragraph" w:customStyle="1" w:styleId="toc83">
    <w:name w:val="toc 83"/>
    <w:next w:val="a3"/>
    <w:qFormat/>
    <w:pPr>
      <w:wordWrap w:val="0"/>
      <w:ind w:left="2975"/>
      <w:jc w:val="both"/>
    </w:pPr>
    <w:rPr>
      <w:rFonts w:ascii="Calibri" w:hAnsi="Calibri"/>
      <w:sz w:val="21"/>
    </w:rPr>
  </w:style>
  <w:style w:type="paragraph" w:customStyle="1" w:styleId="TOCHeading17">
    <w:name w:val="TOC Heading17"/>
    <w:next w:val="a3"/>
    <w:qFormat/>
    <w:pPr>
      <w:wordWrap w:val="0"/>
    </w:pPr>
    <w:rPr>
      <w:rFonts w:ascii="Calibri" w:hAnsi="Calibri"/>
      <w:sz w:val="32"/>
    </w:rPr>
  </w:style>
  <w:style w:type="paragraph" w:customStyle="1" w:styleId="toc911">
    <w:name w:val="toc 911"/>
    <w:next w:val="a3"/>
    <w:qFormat/>
    <w:pPr>
      <w:wordWrap w:val="0"/>
      <w:ind w:left="3400"/>
      <w:jc w:val="both"/>
    </w:pPr>
    <w:rPr>
      <w:rFonts w:ascii="Calibri" w:hAnsi="Calibri"/>
      <w:sz w:val="21"/>
    </w:rPr>
  </w:style>
  <w:style w:type="paragraph" w:customStyle="1" w:styleId="toc811">
    <w:name w:val="toc 811"/>
    <w:next w:val="a3"/>
    <w:qFormat/>
    <w:pPr>
      <w:wordWrap w:val="0"/>
      <w:ind w:left="2975"/>
      <w:jc w:val="both"/>
    </w:pPr>
    <w:rPr>
      <w:rFonts w:ascii="Calibri" w:hAnsi="Calibri"/>
      <w:sz w:val="21"/>
    </w:rPr>
  </w:style>
  <w:style w:type="paragraph" w:customStyle="1" w:styleId="310">
    <w:name w:val="目录 31"/>
    <w:next w:val="a3"/>
    <w:qFormat/>
    <w:pPr>
      <w:wordWrap w:val="0"/>
      <w:ind w:left="850"/>
      <w:jc w:val="both"/>
    </w:pPr>
    <w:rPr>
      <w:rFonts w:ascii="Calibri" w:hAnsi="Calibri"/>
      <w:sz w:val="21"/>
    </w:rPr>
  </w:style>
  <w:style w:type="paragraph" w:customStyle="1" w:styleId="xl118">
    <w:name w:val="xl118"/>
    <w:basedOn w:val="a3"/>
    <w:next w:val="toc410"/>
    <w:qFormat/>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pPr>
      <w:widowControl/>
      <w:shd w:val="clear" w:color="000000" w:fill="FFFFFF"/>
      <w:spacing w:before="280" w:after="280"/>
    </w:pPr>
    <w:rPr>
      <w:rFonts w:ascii="宋体" w:hAnsi="Calibri"/>
      <w:kern w:val="0"/>
      <w:sz w:val="20"/>
      <w:szCs w:val="20"/>
    </w:rPr>
  </w:style>
  <w:style w:type="paragraph" w:customStyle="1" w:styleId="toc111">
    <w:name w:val="toc 111"/>
    <w:next w:val="a3"/>
    <w:qFormat/>
    <w:pPr>
      <w:wordWrap w:val="0"/>
      <w:jc w:val="both"/>
    </w:pPr>
    <w:rPr>
      <w:rFonts w:ascii="Calibri" w:hAnsi="Calibri"/>
      <w:sz w:val="21"/>
    </w:rPr>
  </w:style>
  <w:style w:type="paragraph" w:customStyle="1" w:styleId="xl68">
    <w:name w:val="xl68"/>
    <w:basedOn w:val="a3"/>
    <w:next w:val="TOCHeading16"/>
    <w:qFormat/>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pPr>
      <w:wordWrap w:val="0"/>
    </w:pPr>
    <w:rPr>
      <w:rFonts w:ascii="Calibri" w:hAnsi="Calibri"/>
      <w:sz w:val="32"/>
    </w:rPr>
  </w:style>
  <w:style w:type="paragraph" w:customStyle="1" w:styleId="toc113">
    <w:name w:val="toc 113"/>
    <w:next w:val="a3"/>
    <w:qFormat/>
    <w:pPr>
      <w:wordWrap w:val="0"/>
      <w:jc w:val="both"/>
    </w:pPr>
    <w:rPr>
      <w:rFonts w:ascii="Calibri" w:hAnsi="Calibri"/>
      <w:sz w:val="21"/>
    </w:rPr>
  </w:style>
  <w:style w:type="paragraph" w:customStyle="1" w:styleId="xl94">
    <w:name w:val="xl94"/>
    <w:basedOn w:val="a3"/>
    <w:next w:val="toc513"/>
    <w:qFormat/>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pPr>
      <w:wordWrap w:val="0"/>
      <w:ind w:left="1700"/>
      <w:jc w:val="both"/>
    </w:pPr>
    <w:rPr>
      <w:rFonts w:ascii="Calibri" w:hAnsi="Calibri"/>
      <w:sz w:val="21"/>
    </w:rPr>
  </w:style>
  <w:style w:type="paragraph" w:customStyle="1" w:styleId="xl92">
    <w:name w:val="xl92"/>
    <w:basedOn w:val="a3"/>
    <w:next w:val="toc913"/>
    <w:qFormat/>
    <w:pPr>
      <w:widowControl/>
      <w:shd w:val="clear" w:color="000000" w:fill="FFFFFF"/>
      <w:spacing w:before="280" w:after="280"/>
    </w:pPr>
    <w:rPr>
      <w:rFonts w:ascii="宋体" w:hAnsi="Calibri"/>
      <w:kern w:val="0"/>
      <w:sz w:val="20"/>
      <w:szCs w:val="20"/>
    </w:rPr>
  </w:style>
  <w:style w:type="paragraph" w:customStyle="1" w:styleId="toc913">
    <w:name w:val="toc 913"/>
    <w:next w:val="a3"/>
    <w:qFormat/>
    <w:pPr>
      <w:wordWrap w:val="0"/>
      <w:ind w:left="3400"/>
      <w:jc w:val="both"/>
    </w:pPr>
    <w:rPr>
      <w:rFonts w:ascii="Calibri" w:hAnsi="Calibri"/>
      <w:sz w:val="21"/>
    </w:rPr>
  </w:style>
  <w:style w:type="paragraph" w:customStyle="1" w:styleId="toc512">
    <w:name w:val="toc 512"/>
    <w:next w:val="a3"/>
    <w:qFormat/>
    <w:pPr>
      <w:wordWrap w:val="0"/>
      <w:ind w:left="1700"/>
      <w:jc w:val="both"/>
    </w:pPr>
    <w:rPr>
      <w:rFonts w:ascii="Calibri" w:hAnsi="Calibri"/>
      <w:sz w:val="21"/>
    </w:rPr>
  </w:style>
  <w:style w:type="paragraph" w:customStyle="1" w:styleId="810">
    <w:name w:val="目录 81"/>
    <w:next w:val="a3"/>
    <w:qFormat/>
    <w:pPr>
      <w:wordWrap w:val="0"/>
      <w:ind w:left="2975"/>
      <w:jc w:val="both"/>
    </w:pPr>
    <w:rPr>
      <w:rFonts w:ascii="Calibri" w:hAnsi="Calibri"/>
      <w:sz w:val="21"/>
    </w:rPr>
  </w:style>
  <w:style w:type="paragraph" w:customStyle="1" w:styleId="afff1">
    <w:name w:val="正文表标题"/>
    <w:next w:val="a3"/>
    <w:qFormat/>
    <w:pPr>
      <w:ind w:left="630"/>
      <w:jc w:val="center"/>
    </w:pPr>
    <w:rPr>
      <w:rFonts w:ascii="黑体" w:eastAsia="黑体" w:hAnsi="Calibri"/>
      <w:sz w:val="21"/>
    </w:rPr>
  </w:style>
  <w:style w:type="paragraph" w:customStyle="1" w:styleId="toc28">
    <w:name w:val="toc 28"/>
    <w:next w:val="a3"/>
    <w:qFormat/>
    <w:pPr>
      <w:wordWrap w:val="0"/>
      <w:ind w:left="425"/>
      <w:jc w:val="both"/>
    </w:pPr>
    <w:rPr>
      <w:rFonts w:ascii="Calibri" w:hAnsi="Calibri"/>
      <w:sz w:val="21"/>
    </w:rPr>
  </w:style>
  <w:style w:type="paragraph" w:customStyle="1" w:styleId="toc79">
    <w:name w:val="toc 79"/>
    <w:next w:val="a3"/>
    <w:qFormat/>
    <w:pPr>
      <w:wordWrap w:val="0"/>
      <w:ind w:left="2550"/>
      <w:jc w:val="both"/>
    </w:pPr>
    <w:rPr>
      <w:rFonts w:ascii="Calibri" w:hAnsi="Calibri"/>
      <w:sz w:val="21"/>
    </w:rPr>
  </w:style>
  <w:style w:type="paragraph" w:customStyle="1" w:styleId="xl110">
    <w:name w:val="xl110"/>
    <w:basedOn w:val="a3"/>
    <w:next w:val="toc614"/>
    <w:qFormat/>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pPr>
      <w:wordWrap w:val="0"/>
      <w:ind w:left="1700"/>
      <w:jc w:val="both"/>
    </w:pPr>
    <w:rPr>
      <w:rFonts w:ascii="Calibri" w:hAnsi="Calibri"/>
      <w:sz w:val="21"/>
    </w:rPr>
  </w:style>
  <w:style w:type="paragraph" w:customStyle="1" w:styleId="toc416">
    <w:name w:val="toc 416"/>
    <w:next w:val="a3"/>
    <w:qFormat/>
    <w:pPr>
      <w:wordWrap w:val="0"/>
      <w:ind w:left="1275"/>
      <w:jc w:val="both"/>
    </w:pPr>
    <w:rPr>
      <w:rFonts w:ascii="Calibri" w:hAnsi="Calibri"/>
      <w:sz w:val="21"/>
    </w:rPr>
  </w:style>
  <w:style w:type="paragraph" w:customStyle="1" w:styleId="xl85">
    <w:name w:val="xl85"/>
    <w:basedOn w:val="a3"/>
    <w:next w:val="toc76"/>
    <w:qFormat/>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pPr>
      <w:wordWrap w:val="0"/>
      <w:ind w:left="2550"/>
      <w:jc w:val="both"/>
    </w:pPr>
    <w:rPr>
      <w:rFonts w:ascii="Calibri" w:hAnsi="Calibri"/>
      <w:sz w:val="21"/>
    </w:rPr>
  </w:style>
  <w:style w:type="paragraph" w:customStyle="1" w:styleId="toc27">
    <w:name w:val="toc 27"/>
    <w:next w:val="a3"/>
    <w:qFormat/>
    <w:pPr>
      <w:wordWrap w:val="0"/>
      <w:ind w:left="425"/>
      <w:jc w:val="both"/>
    </w:pPr>
    <w:rPr>
      <w:rFonts w:ascii="Calibri" w:hAnsi="Calibri"/>
      <w:sz w:val="21"/>
    </w:rPr>
  </w:style>
  <w:style w:type="paragraph" w:customStyle="1" w:styleId="toc916">
    <w:name w:val="toc 916"/>
    <w:next w:val="a3"/>
    <w:qFormat/>
    <w:pPr>
      <w:wordWrap w:val="0"/>
      <w:ind w:left="3400"/>
      <w:jc w:val="both"/>
    </w:pPr>
    <w:rPr>
      <w:rFonts w:ascii="Calibri" w:hAnsi="Calibri"/>
      <w:sz w:val="21"/>
    </w:rPr>
  </w:style>
  <w:style w:type="paragraph" w:customStyle="1" w:styleId="toc77">
    <w:name w:val="toc 77"/>
    <w:next w:val="a3"/>
    <w:qFormat/>
    <w:pPr>
      <w:wordWrap w:val="0"/>
      <w:ind w:left="2550"/>
      <w:jc w:val="both"/>
    </w:pPr>
    <w:rPr>
      <w:rFonts w:ascii="Calibri" w:hAnsi="Calibri"/>
      <w:sz w:val="21"/>
    </w:rPr>
  </w:style>
  <w:style w:type="paragraph" w:customStyle="1" w:styleId="toc211">
    <w:name w:val="toc 211"/>
    <w:next w:val="a3"/>
    <w:qFormat/>
    <w:pPr>
      <w:wordWrap w:val="0"/>
      <w:ind w:left="425"/>
      <w:jc w:val="both"/>
    </w:pPr>
    <w:rPr>
      <w:rFonts w:ascii="Calibri" w:hAnsi="Calibri"/>
      <w:sz w:val="21"/>
    </w:rPr>
  </w:style>
  <w:style w:type="paragraph" w:customStyle="1" w:styleId="toc815">
    <w:name w:val="toc 815"/>
    <w:next w:val="a3"/>
    <w:qFormat/>
    <w:pPr>
      <w:wordWrap w:val="0"/>
      <w:ind w:left="2975"/>
      <w:jc w:val="both"/>
    </w:pPr>
    <w:rPr>
      <w:rFonts w:ascii="Calibri" w:hAnsi="Calibri"/>
      <w:sz w:val="21"/>
    </w:rPr>
  </w:style>
  <w:style w:type="paragraph" w:customStyle="1" w:styleId="xl99">
    <w:name w:val="xl99"/>
    <w:basedOn w:val="a3"/>
    <w:next w:val="toc512"/>
    <w:qFormat/>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pPr>
      <w:wordWrap w:val="0"/>
      <w:ind w:left="2125"/>
      <w:jc w:val="both"/>
    </w:pPr>
    <w:rPr>
      <w:rFonts w:ascii="Calibri" w:hAnsi="Calibri"/>
      <w:sz w:val="21"/>
    </w:rPr>
  </w:style>
  <w:style w:type="paragraph" w:customStyle="1" w:styleId="toc315">
    <w:name w:val="toc 315"/>
    <w:next w:val="a3"/>
    <w:qFormat/>
    <w:pPr>
      <w:wordWrap w:val="0"/>
      <w:ind w:left="850"/>
      <w:jc w:val="both"/>
    </w:pPr>
    <w:rPr>
      <w:rFonts w:ascii="Calibri" w:hAnsi="Calibri"/>
      <w:sz w:val="21"/>
    </w:rPr>
  </w:style>
  <w:style w:type="paragraph" w:customStyle="1" w:styleId="TOCHeading15">
    <w:name w:val="TOC Heading15"/>
    <w:next w:val="a3"/>
    <w:qFormat/>
    <w:pPr>
      <w:wordWrap w:val="0"/>
    </w:pPr>
    <w:rPr>
      <w:rFonts w:ascii="Calibri" w:hAnsi="Calibri"/>
      <w:sz w:val="32"/>
    </w:rPr>
  </w:style>
  <w:style w:type="paragraph" w:customStyle="1" w:styleId="toc915">
    <w:name w:val="toc 915"/>
    <w:next w:val="a3"/>
    <w:qFormat/>
    <w:pPr>
      <w:wordWrap w:val="0"/>
      <w:ind w:left="3400"/>
      <w:jc w:val="both"/>
    </w:pPr>
    <w:rPr>
      <w:rFonts w:ascii="Calibri" w:hAnsi="Calibri"/>
      <w:sz w:val="21"/>
    </w:rPr>
  </w:style>
  <w:style w:type="paragraph" w:customStyle="1" w:styleId="toc39">
    <w:name w:val="toc 39"/>
    <w:next w:val="a3"/>
    <w:qFormat/>
    <w:pPr>
      <w:wordWrap w:val="0"/>
      <w:ind w:left="850"/>
      <w:jc w:val="both"/>
    </w:pPr>
    <w:rPr>
      <w:rFonts w:ascii="Calibri" w:hAnsi="Calibri"/>
      <w:sz w:val="21"/>
    </w:rPr>
  </w:style>
  <w:style w:type="paragraph" w:customStyle="1" w:styleId="toc710">
    <w:name w:val="toc 710"/>
    <w:next w:val="a3"/>
    <w:qFormat/>
    <w:pPr>
      <w:wordWrap w:val="0"/>
      <w:ind w:left="2550"/>
      <w:jc w:val="both"/>
    </w:pPr>
    <w:rPr>
      <w:rFonts w:ascii="Calibri" w:hAnsi="Calibri"/>
      <w:sz w:val="21"/>
    </w:rPr>
  </w:style>
  <w:style w:type="paragraph" w:customStyle="1" w:styleId="toc12">
    <w:name w:val="toc 12"/>
    <w:next w:val="a3"/>
    <w:qFormat/>
    <w:pPr>
      <w:wordWrap w:val="0"/>
      <w:jc w:val="both"/>
    </w:pPr>
    <w:rPr>
      <w:rFonts w:ascii="Calibri" w:hAnsi="Calibri"/>
      <w:sz w:val="21"/>
    </w:rPr>
  </w:style>
  <w:style w:type="paragraph" w:customStyle="1" w:styleId="xl95">
    <w:name w:val="xl95"/>
    <w:basedOn w:val="a3"/>
    <w:next w:val="toc415"/>
    <w:qFormat/>
    <w:pPr>
      <w:widowControl/>
      <w:shd w:val="clear" w:color="000000" w:fill="FFFFFF"/>
      <w:spacing w:before="280" w:after="280"/>
    </w:pPr>
    <w:rPr>
      <w:rFonts w:ascii="宋体" w:hAnsi="Calibri"/>
      <w:kern w:val="0"/>
      <w:sz w:val="20"/>
      <w:szCs w:val="20"/>
    </w:rPr>
  </w:style>
  <w:style w:type="paragraph" w:customStyle="1" w:styleId="toc415">
    <w:name w:val="toc 415"/>
    <w:next w:val="a3"/>
    <w:qFormat/>
    <w:pPr>
      <w:wordWrap w:val="0"/>
      <w:ind w:left="1275"/>
      <w:jc w:val="both"/>
    </w:pPr>
    <w:rPr>
      <w:rFonts w:ascii="Calibri" w:hAnsi="Calibri"/>
      <w:sz w:val="21"/>
    </w:rPr>
  </w:style>
  <w:style w:type="paragraph" w:customStyle="1" w:styleId="toc29">
    <w:name w:val="toc 29"/>
    <w:next w:val="a3"/>
    <w:qFormat/>
    <w:pPr>
      <w:wordWrap w:val="0"/>
      <w:ind w:left="425"/>
      <w:jc w:val="both"/>
    </w:pPr>
    <w:rPr>
      <w:rFonts w:ascii="Calibri" w:hAnsi="Calibri"/>
      <w:sz w:val="21"/>
    </w:rPr>
  </w:style>
  <w:style w:type="paragraph" w:customStyle="1" w:styleId="xl67">
    <w:name w:val="xl67"/>
    <w:basedOn w:val="a3"/>
    <w:next w:val="toc714"/>
    <w:qFormat/>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pPr>
      <w:wordWrap w:val="0"/>
      <w:ind w:left="2550"/>
      <w:jc w:val="both"/>
    </w:pPr>
    <w:rPr>
      <w:rFonts w:ascii="Calibri" w:hAnsi="Calibri"/>
      <w:sz w:val="21"/>
    </w:rPr>
  </w:style>
  <w:style w:type="paragraph" w:customStyle="1" w:styleId="toc21">
    <w:name w:val="toc 21"/>
    <w:next w:val="a3"/>
    <w:qFormat/>
    <w:pPr>
      <w:wordWrap w:val="0"/>
      <w:ind w:left="425"/>
      <w:jc w:val="both"/>
    </w:pPr>
    <w:rPr>
      <w:rFonts w:ascii="Calibri" w:hAnsi="Calibri"/>
      <w:sz w:val="21"/>
    </w:rPr>
  </w:style>
  <w:style w:type="paragraph" w:customStyle="1" w:styleId="Afff2">
    <w:name w:val="正文 A"/>
    <w:next w:val="toc812"/>
    <w:qFormat/>
    <w:rPr>
      <w:rFonts w:ascii="Arial" w:eastAsia="Arial Unicode MS" w:hAnsi="Calibri"/>
      <w:color w:val="000000"/>
      <w:sz w:val="21"/>
    </w:rPr>
  </w:style>
  <w:style w:type="paragraph" w:customStyle="1" w:styleId="toc68">
    <w:name w:val="toc 68"/>
    <w:next w:val="a3"/>
    <w:qFormat/>
    <w:pPr>
      <w:wordWrap w:val="0"/>
      <w:ind w:left="2125"/>
      <w:jc w:val="both"/>
    </w:pPr>
    <w:rPr>
      <w:rFonts w:ascii="Calibri" w:hAnsi="Calibri"/>
      <w:sz w:val="21"/>
    </w:rPr>
  </w:style>
  <w:style w:type="paragraph" w:customStyle="1" w:styleId="toc58">
    <w:name w:val="toc 58"/>
    <w:next w:val="a3"/>
    <w:qFormat/>
    <w:pPr>
      <w:wordWrap w:val="0"/>
      <w:ind w:left="1700"/>
      <w:jc w:val="both"/>
    </w:pPr>
    <w:rPr>
      <w:rFonts w:ascii="Calibri" w:hAnsi="Calibri"/>
      <w:sz w:val="21"/>
    </w:rPr>
  </w:style>
  <w:style w:type="paragraph" w:customStyle="1" w:styleId="xl88">
    <w:name w:val="xl88"/>
    <w:basedOn w:val="a3"/>
    <w:next w:val="TOCHeading15"/>
    <w:qFormat/>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pPr>
      <w:wordWrap w:val="0"/>
      <w:ind w:left="2550"/>
      <w:jc w:val="both"/>
    </w:pPr>
    <w:rPr>
      <w:rFonts w:ascii="Calibri" w:hAnsi="Calibri"/>
      <w:sz w:val="21"/>
    </w:rPr>
  </w:style>
  <w:style w:type="paragraph" w:customStyle="1" w:styleId="xl100">
    <w:name w:val="xl100"/>
    <w:basedOn w:val="a3"/>
    <w:next w:val="toc510"/>
    <w:qFormat/>
    <w:pPr>
      <w:widowControl/>
      <w:shd w:val="clear" w:color="000000" w:fill="FFFFFF"/>
      <w:spacing w:before="280" w:after="280"/>
    </w:pPr>
    <w:rPr>
      <w:rFonts w:ascii="宋体" w:hAnsi="Calibri"/>
      <w:kern w:val="0"/>
      <w:sz w:val="20"/>
      <w:szCs w:val="20"/>
    </w:rPr>
  </w:style>
  <w:style w:type="paragraph" w:customStyle="1" w:styleId="toc510">
    <w:name w:val="toc 510"/>
    <w:next w:val="a3"/>
    <w:qFormat/>
    <w:pPr>
      <w:wordWrap w:val="0"/>
      <w:ind w:left="1700"/>
      <w:jc w:val="both"/>
    </w:pPr>
    <w:rPr>
      <w:rFonts w:ascii="Calibri" w:hAnsi="Calibri"/>
      <w:sz w:val="21"/>
    </w:rPr>
  </w:style>
  <w:style w:type="paragraph" w:customStyle="1" w:styleId="toc314">
    <w:name w:val="toc 314"/>
    <w:next w:val="a3"/>
    <w:qFormat/>
    <w:pPr>
      <w:wordWrap w:val="0"/>
      <w:ind w:left="850"/>
      <w:jc w:val="both"/>
    </w:pPr>
    <w:rPr>
      <w:rFonts w:ascii="Calibri" w:hAnsi="Calibri"/>
      <w:sz w:val="21"/>
    </w:rPr>
  </w:style>
  <w:style w:type="paragraph" w:customStyle="1" w:styleId="xl114">
    <w:name w:val="xl114"/>
    <w:basedOn w:val="a3"/>
    <w:next w:val="toc711"/>
    <w:qFormat/>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pPr>
      <w:widowControl/>
      <w:shd w:val="clear" w:color="000000" w:fill="FFFFFF"/>
      <w:spacing w:before="280" w:after="280"/>
    </w:pPr>
    <w:rPr>
      <w:rFonts w:ascii="宋体" w:hAnsi="Calibri"/>
      <w:kern w:val="0"/>
      <w:sz w:val="20"/>
      <w:szCs w:val="20"/>
    </w:rPr>
  </w:style>
  <w:style w:type="paragraph" w:customStyle="1" w:styleId="toc610">
    <w:name w:val="toc 610"/>
    <w:next w:val="a3"/>
    <w:qFormat/>
    <w:pPr>
      <w:wordWrap w:val="0"/>
      <w:ind w:left="2125"/>
      <w:jc w:val="both"/>
    </w:pPr>
    <w:rPr>
      <w:rFonts w:ascii="Calibri" w:hAnsi="Calibri"/>
      <w:sz w:val="21"/>
    </w:rPr>
  </w:style>
  <w:style w:type="paragraph" w:customStyle="1" w:styleId="toc22">
    <w:name w:val="toc 22"/>
    <w:next w:val="a3"/>
    <w:qFormat/>
    <w:pPr>
      <w:wordWrap w:val="0"/>
      <w:ind w:left="425"/>
      <w:jc w:val="both"/>
    </w:pPr>
    <w:rPr>
      <w:rFonts w:ascii="Calibri" w:hAnsi="Calibri"/>
      <w:sz w:val="21"/>
    </w:rPr>
  </w:style>
  <w:style w:type="paragraph" w:customStyle="1" w:styleId="xl90">
    <w:name w:val="xl90"/>
    <w:basedOn w:val="a3"/>
    <w:next w:val="toc414"/>
    <w:qFormat/>
    <w:pPr>
      <w:widowControl/>
      <w:shd w:val="clear" w:color="000000" w:fill="FFFFFF"/>
      <w:spacing w:before="280" w:after="280"/>
    </w:pPr>
    <w:rPr>
      <w:rFonts w:ascii="宋体" w:hAnsi="Calibri"/>
      <w:kern w:val="0"/>
      <w:sz w:val="18"/>
      <w:szCs w:val="20"/>
    </w:rPr>
  </w:style>
  <w:style w:type="paragraph" w:customStyle="1" w:styleId="toc616">
    <w:name w:val="toc 616"/>
    <w:next w:val="a3"/>
    <w:qFormat/>
    <w:pPr>
      <w:wordWrap w:val="0"/>
      <w:ind w:left="2125"/>
      <w:jc w:val="both"/>
    </w:pPr>
    <w:rPr>
      <w:rFonts w:ascii="Calibri" w:hAnsi="Calibri"/>
      <w:sz w:val="21"/>
    </w:rPr>
  </w:style>
  <w:style w:type="paragraph" w:customStyle="1" w:styleId="toc96">
    <w:name w:val="toc 96"/>
    <w:next w:val="a3"/>
    <w:qFormat/>
    <w:pPr>
      <w:wordWrap w:val="0"/>
      <w:ind w:left="3400"/>
      <w:jc w:val="both"/>
    </w:pPr>
    <w:rPr>
      <w:rFonts w:ascii="Calibri" w:hAnsi="Calibri"/>
      <w:sz w:val="21"/>
    </w:rPr>
  </w:style>
  <w:style w:type="paragraph" w:customStyle="1" w:styleId="toc42">
    <w:name w:val="toc 42"/>
    <w:next w:val="a3"/>
    <w:qFormat/>
    <w:pPr>
      <w:wordWrap w:val="0"/>
      <w:ind w:left="1275"/>
      <w:jc w:val="both"/>
    </w:pPr>
    <w:rPr>
      <w:rFonts w:ascii="Calibri" w:hAnsi="Calibri"/>
      <w:sz w:val="21"/>
    </w:rPr>
  </w:style>
  <w:style w:type="paragraph" w:customStyle="1" w:styleId="xl117">
    <w:name w:val="xl117"/>
    <w:basedOn w:val="a3"/>
    <w:next w:val="toc311"/>
    <w:qFormat/>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pPr>
      <w:widowControl/>
      <w:ind w:firstLine="420"/>
    </w:pPr>
    <w:rPr>
      <w:rFonts w:hAnsi="Calibri"/>
      <w:kern w:val="0"/>
      <w:szCs w:val="20"/>
    </w:rPr>
  </w:style>
  <w:style w:type="paragraph" w:customStyle="1" w:styleId="xl87">
    <w:name w:val="xl87"/>
    <w:basedOn w:val="a3"/>
    <w:next w:val="toc98"/>
    <w:qFormat/>
    <w:pPr>
      <w:widowControl/>
      <w:shd w:val="clear" w:color="000000" w:fill="FFFFFF"/>
      <w:spacing w:before="280" w:after="280"/>
    </w:pPr>
    <w:rPr>
      <w:rFonts w:ascii="Arial" w:hAnsi="Calibri"/>
      <w:kern w:val="0"/>
      <w:sz w:val="18"/>
      <w:szCs w:val="20"/>
    </w:rPr>
  </w:style>
  <w:style w:type="paragraph" w:customStyle="1" w:styleId="toc98">
    <w:name w:val="toc 98"/>
    <w:next w:val="a3"/>
    <w:qFormat/>
    <w:pPr>
      <w:wordWrap w:val="0"/>
      <w:ind w:left="3400"/>
      <w:jc w:val="both"/>
    </w:pPr>
    <w:rPr>
      <w:rFonts w:ascii="Calibri" w:hAnsi="Calibri"/>
      <w:sz w:val="21"/>
    </w:rPr>
  </w:style>
  <w:style w:type="paragraph" w:customStyle="1" w:styleId="72">
    <w:name w:val="列出段落7"/>
    <w:basedOn w:val="a3"/>
    <w:next w:val="toc58"/>
    <w:qFormat/>
    <w:pPr>
      <w:ind w:firstLine="420"/>
    </w:pPr>
    <w:rPr>
      <w:rFonts w:hAnsi="Calibri"/>
      <w:kern w:val="0"/>
      <w:szCs w:val="20"/>
    </w:rPr>
  </w:style>
  <w:style w:type="paragraph" w:customStyle="1" w:styleId="xl78">
    <w:name w:val="xl78"/>
    <w:basedOn w:val="a3"/>
    <w:next w:val="toc710"/>
    <w:qFormat/>
    <w:pPr>
      <w:widowControl/>
      <w:shd w:val="clear" w:color="000000" w:fill="FFFFFF"/>
      <w:spacing w:before="280" w:after="280"/>
    </w:pPr>
    <w:rPr>
      <w:rFonts w:ascii="宋体" w:hAnsi="Calibri"/>
      <w:b/>
      <w:kern w:val="0"/>
      <w:sz w:val="20"/>
      <w:szCs w:val="20"/>
    </w:rPr>
  </w:style>
  <w:style w:type="paragraph" w:customStyle="1" w:styleId="toc516">
    <w:name w:val="toc 516"/>
    <w:next w:val="a3"/>
    <w:qFormat/>
    <w:pPr>
      <w:wordWrap w:val="0"/>
      <w:ind w:left="1700"/>
      <w:jc w:val="both"/>
    </w:pPr>
    <w:rPr>
      <w:rFonts w:ascii="Calibri" w:hAnsi="Calibri"/>
      <w:sz w:val="21"/>
    </w:rPr>
  </w:style>
  <w:style w:type="paragraph" w:customStyle="1" w:styleId="xl89">
    <w:name w:val="xl89"/>
    <w:basedOn w:val="a3"/>
    <w:next w:val="toc811"/>
    <w:qFormat/>
    <w:pPr>
      <w:widowControl/>
      <w:shd w:val="clear" w:color="000000" w:fill="FFFFFF"/>
      <w:spacing w:before="280" w:after="280"/>
    </w:pPr>
    <w:rPr>
      <w:rFonts w:ascii="宋体" w:hAnsi="Calibri"/>
      <w:kern w:val="0"/>
      <w:sz w:val="20"/>
      <w:szCs w:val="20"/>
    </w:rPr>
  </w:style>
  <w:style w:type="paragraph" w:customStyle="1" w:styleId="toc910">
    <w:name w:val="toc 910"/>
    <w:next w:val="a3"/>
    <w:qFormat/>
    <w:pPr>
      <w:wordWrap w:val="0"/>
      <w:ind w:left="3400"/>
      <w:jc w:val="both"/>
    </w:pPr>
    <w:rPr>
      <w:rFonts w:ascii="Calibri" w:hAnsi="Calibri"/>
      <w:sz w:val="21"/>
    </w:rPr>
  </w:style>
  <w:style w:type="paragraph" w:customStyle="1" w:styleId="toc34">
    <w:name w:val="toc 34"/>
    <w:next w:val="a3"/>
    <w:qFormat/>
    <w:pPr>
      <w:wordWrap w:val="0"/>
      <w:ind w:left="850"/>
      <w:jc w:val="both"/>
    </w:pPr>
    <w:rPr>
      <w:rFonts w:ascii="Calibri" w:hAnsi="Calibri"/>
      <w:sz w:val="21"/>
    </w:rPr>
  </w:style>
  <w:style w:type="paragraph" w:customStyle="1" w:styleId="toc816">
    <w:name w:val="toc 816"/>
    <w:next w:val="a3"/>
    <w:qFormat/>
    <w:pPr>
      <w:wordWrap w:val="0"/>
      <w:ind w:left="2975"/>
      <w:jc w:val="both"/>
    </w:pPr>
    <w:rPr>
      <w:rFonts w:ascii="Calibri" w:hAnsi="Calibri"/>
      <w:sz w:val="21"/>
    </w:rPr>
  </w:style>
  <w:style w:type="paragraph" w:customStyle="1" w:styleId="toc43">
    <w:name w:val="toc 43"/>
    <w:next w:val="a3"/>
    <w:qFormat/>
    <w:pPr>
      <w:wordWrap w:val="0"/>
      <w:ind w:left="1275"/>
      <w:jc w:val="both"/>
    </w:pPr>
    <w:rPr>
      <w:rFonts w:ascii="Calibri" w:hAnsi="Calibri"/>
      <w:sz w:val="21"/>
    </w:rPr>
  </w:style>
  <w:style w:type="paragraph" w:customStyle="1" w:styleId="toc16">
    <w:name w:val="toc 16"/>
    <w:next w:val="a3"/>
    <w:qFormat/>
    <w:pPr>
      <w:wordWrap w:val="0"/>
      <w:jc w:val="both"/>
    </w:pPr>
    <w:rPr>
      <w:rFonts w:ascii="Calibri" w:hAnsi="Calibri"/>
      <w:sz w:val="21"/>
    </w:rPr>
  </w:style>
  <w:style w:type="paragraph" w:styleId="afff3">
    <w:name w:val="Quote"/>
    <w:next w:val="a3"/>
    <w:link w:val="Charf2"/>
    <w:qFormat/>
    <w:pPr>
      <w:wordWrap w:val="0"/>
      <w:spacing w:before="200" w:after="160"/>
      <w:ind w:left="864" w:right="864"/>
      <w:jc w:val="center"/>
    </w:pPr>
    <w:rPr>
      <w:rFonts w:ascii="Calibri" w:hAnsi="Calibri"/>
      <w:i/>
      <w:sz w:val="21"/>
    </w:rPr>
  </w:style>
  <w:style w:type="character" w:customStyle="1" w:styleId="Charf2">
    <w:name w:val="引用 Char"/>
    <w:basedOn w:val="a6"/>
    <w:link w:val="afff3"/>
    <w:qFormat/>
    <w:rPr>
      <w:rFonts w:ascii="Calibri" w:hAnsi="Calibri"/>
      <w:i/>
      <w:sz w:val="21"/>
    </w:rPr>
  </w:style>
  <w:style w:type="paragraph" w:customStyle="1" w:styleId="toc114">
    <w:name w:val="toc 114"/>
    <w:next w:val="a3"/>
    <w:qFormat/>
    <w:pPr>
      <w:wordWrap w:val="0"/>
      <w:jc w:val="both"/>
    </w:pPr>
    <w:rPr>
      <w:rFonts w:ascii="Calibri" w:hAnsi="Calibri"/>
      <w:sz w:val="21"/>
    </w:rPr>
  </w:style>
  <w:style w:type="paragraph" w:customStyle="1" w:styleId="xl119">
    <w:name w:val="xl119"/>
    <w:basedOn w:val="a3"/>
    <w:next w:val="toc314"/>
    <w:qFormat/>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pPr>
      <w:wordWrap w:val="0"/>
      <w:ind w:left="850"/>
      <w:jc w:val="both"/>
    </w:pPr>
    <w:rPr>
      <w:rFonts w:ascii="Calibri" w:hAnsi="Calibri"/>
      <w:sz w:val="21"/>
    </w:rPr>
  </w:style>
  <w:style w:type="paragraph" w:customStyle="1" w:styleId="xl109">
    <w:name w:val="xl109"/>
    <w:basedOn w:val="a3"/>
    <w:next w:val="toc27"/>
    <w:qFormat/>
    <w:pPr>
      <w:widowControl/>
      <w:shd w:val="clear" w:color="000000" w:fill="FFFFFF"/>
      <w:spacing w:before="280" w:after="280"/>
    </w:pPr>
    <w:rPr>
      <w:rFonts w:ascii="宋体" w:hAnsi="Calibri"/>
      <w:kern w:val="0"/>
      <w:sz w:val="20"/>
      <w:szCs w:val="20"/>
    </w:rPr>
  </w:style>
  <w:style w:type="paragraph" w:customStyle="1" w:styleId="toc215">
    <w:name w:val="toc 215"/>
    <w:next w:val="a3"/>
    <w:qFormat/>
    <w:pPr>
      <w:wordWrap w:val="0"/>
      <w:ind w:left="425"/>
      <w:jc w:val="both"/>
    </w:pPr>
    <w:rPr>
      <w:rFonts w:ascii="Calibri" w:hAnsi="Calibri"/>
      <w:sz w:val="21"/>
    </w:rPr>
  </w:style>
  <w:style w:type="paragraph" w:customStyle="1" w:styleId="xl76">
    <w:name w:val="xl76"/>
    <w:basedOn w:val="a3"/>
    <w:next w:val="toc315"/>
    <w:qFormat/>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pPr>
      <w:wordWrap w:val="0"/>
      <w:ind w:left="3400"/>
      <w:jc w:val="both"/>
    </w:pPr>
    <w:rPr>
      <w:rFonts w:ascii="Calibri" w:hAnsi="Calibri"/>
      <w:sz w:val="21"/>
    </w:rPr>
  </w:style>
  <w:style w:type="paragraph" w:customStyle="1" w:styleId="toc216">
    <w:name w:val="toc 216"/>
    <w:next w:val="a3"/>
    <w:qFormat/>
    <w:pPr>
      <w:wordWrap w:val="0"/>
      <w:ind w:left="425"/>
      <w:jc w:val="both"/>
    </w:pPr>
    <w:rPr>
      <w:rFonts w:ascii="Calibri" w:hAnsi="Calibri"/>
      <w:sz w:val="21"/>
    </w:rPr>
  </w:style>
  <w:style w:type="paragraph" w:customStyle="1" w:styleId="xl70">
    <w:name w:val="xl70"/>
    <w:basedOn w:val="a3"/>
    <w:next w:val="toc113"/>
    <w:qFormat/>
    <w:pPr>
      <w:widowControl/>
      <w:shd w:val="clear" w:color="000000" w:fill="FFFFFF"/>
      <w:spacing w:before="280" w:after="280"/>
    </w:pPr>
    <w:rPr>
      <w:rFonts w:ascii="宋体" w:hAnsi="Calibri"/>
      <w:kern w:val="0"/>
      <w:sz w:val="20"/>
      <w:szCs w:val="20"/>
    </w:rPr>
  </w:style>
  <w:style w:type="paragraph" w:customStyle="1" w:styleId="toc33">
    <w:name w:val="toc 33"/>
    <w:next w:val="a3"/>
    <w:qFormat/>
    <w:pPr>
      <w:wordWrap w:val="0"/>
      <w:ind w:left="850"/>
      <w:jc w:val="both"/>
    </w:pPr>
    <w:rPr>
      <w:rFonts w:ascii="Calibri" w:hAnsi="Calibri"/>
      <w:sz w:val="21"/>
    </w:rPr>
  </w:style>
  <w:style w:type="paragraph" w:customStyle="1" w:styleId="toc61">
    <w:name w:val="toc 61"/>
    <w:next w:val="a3"/>
    <w:qFormat/>
    <w:pPr>
      <w:wordWrap w:val="0"/>
      <w:ind w:left="2125"/>
      <w:jc w:val="both"/>
    </w:pPr>
    <w:rPr>
      <w:rFonts w:ascii="Calibri" w:hAnsi="Calibri"/>
      <w:sz w:val="21"/>
    </w:rPr>
  </w:style>
  <w:style w:type="paragraph" w:customStyle="1" w:styleId="xl98">
    <w:name w:val="xl98"/>
    <w:basedOn w:val="a3"/>
    <w:next w:val="toc211"/>
    <w:qFormat/>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pPr>
      <w:wordWrap w:val="0"/>
      <w:ind w:left="425"/>
      <w:jc w:val="both"/>
    </w:pPr>
    <w:rPr>
      <w:rFonts w:ascii="Calibri" w:hAnsi="Calibri"/>
      <w:sz w:val="21"/>
    </w:rPr>
  </w:style>
  <w:style w:type="paragraph" w:customStyle="1" w:styleId="toc13">
    <w:name w:val="toc 13"/>
    <w:next w:val="a3"/>
    <w:qFormat/>
    <w:pPr>
      <w:wordWrap w:val="0"/>
      <w:jc w:val="both"/>
    </w:pPr>
    <w:rPr>
      <w:rFonts w:ascii="Calibri" w:hAnsi="Calibri"/>
      <w:sz w:val="21"/>
    </w:rPr>
  </w:style>
  <w:style w:type="paragraph" w:customStyle="1" w:styleId="510">
    <w:name w:val="目录 51"/>
    <w:next w:val="a3"/>
    <w:qFormat/>
    <w:pPr>
      <w:wordWrap w:val="0"/>
      <w:ind w:left="1700"/>
      <w:jc w:val="both"/>
    </w:pPr>
    <w:rPr>
      <w:rFonts w:ascii="Calibri" w:hAnsi="Calibri"/>
      <w:sz w:val="21"/>
    </w:rPr>
  </w:style>
  <w:style w:type="paragraph" w:customStyle="1" w:styleId="xl101">
    <w:name w:val="xl101"/>
    <w:basedOn w:val="a3"/>
    <w:next w:val="toc96"/>
    <w:qFormat/>
    <w:pPr>
      <w:widowControl/>
      <w:spacing w:before="280" w:after="280"/>
    </w:pPr>
    <w:rPr>
      <w:rFonts w:ascii="宋体" w:hAnsi="Calibri"/>
      <w:kern w:val="0"/>
      <w:sz w:val="20"/>
      <w:szCs w:val="20"/>
    </w:rPr>
  </w:style>
  <w:style w:type="paragraph" w:customStyle="1" w:styleId="toc75">
    <w:name w:val="toc 75"/>
    <w:next w:val="a3"/>
    <w:qFormat/>
    <w:pPr>
      <w:wordWrap w:val="0"/>
      <w:ind w:left="2550"/>
      <w:jc w:val="both"/>
    </w:pPr>
    <w:rPr>
      <w:rFonts w:ascii="Calibri" w:hAnsi="Calibri"/>
      <w:sz w:val="21"/>
    </w:rPr>
  </w:style>
  <w:style w:type="paragraph" w:customStyle="1" w:styleId="toc715">
    <w:name w:val="toc 715"/>
    <w:next w:val="a3"/>
    <w:qFormat/>
    <w:pPr>
      <w:wordWrap w:val="0"/>
      <w:ind w:left="2550"/>
      <w:jc w:val="both"/>
    </w:pPr>
    <w:rPr>
      <w:rFonts w:ascii="Calibri" w:hAnsi="Calibri"/>
      <w:sz w:val="21"/>
    </w:rPr>
  </w:style>
  <w:style w:type="paragraph" w:styleId="afff4">
    <w:name w:val="Intense Quote"/>
    <w:next w:val="a3"/>
    <w:link w:val="Charf3"/>
    <w:qFormat/>
    <w:pPr>
      <w:wordWrap w:val="0"/>
      <w:spacing w:before="360" w:after="360"/>
      <w:ind w:left="950" w:right="950"/>
      <w:jc w:val="center"/>
    </w:pPr>
    <w:rPr>
      <w:rFonts w:ascii="Calibri" w:hAnsi="Calibri"/>
      <w:i/>
      <w:sz w:val="21"/>
    </w:rPr>
  </w:style>
  <w:style w:type="character" w:customStyle="1" w:styleId="Charf3">
    <w:name w:val="明显引用 Char"/>
    <w:basedOn w:val="a6"/>
    <w:link w:val="afff4"/>
    <w:qFormat/>
    <w:rPr>
      <w:rFonts w:ascii="Calibri" w:hAnsi="Calibri"/>
      <w:i/>
      <w:sz w:val="21"/>
    </w:rPr>
  </w:style>
  <w:style w:type="paragraph" w:customStyle="1" w:styleId="CharCharCharCharCharCharChar">
    <w:name w:val="Char Char Char Char Char Char Char"/>
    <w:basedOn w:val="a3"/>
    <w:next w:val="toc215"/>
    <w:qFormat/>
    <w:pPr>
      <w:widowControl/>
      <w:spacing w:after="160" w:line="240" w:lineRule="exact"/>
    </w:pPr>
    <w:rPr>
      <w:rFonts w:hAnsi="Calibri"/>
      <w:kern w:val="0"/>
      <w:szCs w:val="20"/>
    </w:rPr>
  </w:style>
  <w:style w:type="paragraph" w:customStyle="1" w:styleId="toc23">
    <w:name w:val="toc 23"/>
    <w:next w:val="a3"/>
    <w:qFormat/>
    <w:pPr>
      <w:wordWrap w:val="0"/>
      <w:ind w:left="425"/>
      <w:jc w:val="both"/>
    </w:pPr>
    <w:rPr>
      <w:rFonts w:ascii="Calibri" w:hAnsi="Calibri"/>
      <w:sz w:val="21"/>
    </w:rPr>
  </w:style>
  <w:style w:type="paragraph" w:customStyle="1" w:styleId="610">
    <w:name w:val="目录 61"/>
    <w:next w:val="a3"/>
    <w:qFormat/>
    <w:pPr>
      <w:wordWrap w:val="0"/>
      <w:ind w:left="2125"/>
      <w:jc w:val="both"/>
    </w:pPr>
    <w:rPr>
      <w:rFonts w:ascii="Calibri" w:hAnsi="Calibri"/>
      <w:sz w:val="21"/>
    </w:rPr>
  </w:style>
  <w:style w:type="paragraph" w:customStyle="1" w:styleId="toc97">
    <w:name w:val="toc 97"/>
    <w:next w:val="a3"/>
    <w:qFormat/>
    <w:pPr>
      <w:wordWrap w:val="0"/>
      <w:ind w:left="3400"/>
      <w:jc w:val="both"/>
    </w:pPr>
    <w:rPr>
      <w:rFonts w:ascii="Calibri" w:hAnsi="Calibri"/>
      <w:sz w:val="21"/>
    </w:rPr>
  </w:style>
  <w:style w:type="paragraph" w:customStyle="1" w:styleId="toc74">
    <w:name w:val="toc 74"/>
    <w:next w:val="a3"/>
    <w:qFormat/>
    <w:pPr>
      <w:wordWrap w:val="0"/>
      <w:ind w:left="2550"/>
      <w:jc w:val="both"/>
    </w:pPr>
    <w:rPr>
      <w:rFonts w:ascii="Calibri" w:hAnsi="Calibri"/>
      <w:sz w:val="21"/>
    </w:rPr>
  </w:style>
  <w:style w:type="paragraph" w:customStyle="1" w:styleId="xl64">
    <w:name w:val="xl64"/>
    <w:basedOn w:val="a3"/>
    <w:next w:val="toc114"/>
    <w:qFormat/>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pPr>
      <w:widowControl/>
      <w:shd w:val="clear" w:color="000000" w:fill="FFFFFF"/>
      <w:spacing w:before="280" w:after="280"/>
    </w:pPr>
    <w:rPr>
      <w:rFonts w:ascii="宋体" w:hAnsi="Calibri"/>
      <w:kern w:val="0"/>
      <w:sz w:val="20"/>
      <w:szCs w:val="20"/>
    </w:rPr>
  </w:style>
  <w:style w:type="paragraph" w:customStyle="1" w:styleId="toc32">
    <w:name w:val="toc 32"/>
    <w:next w:val="a3"/>
    <w:qFormat/>
    <w:pPr>
      <w:wordWrap w:val="0"/>
      <w:ind w:left="850"/>
      <w:jc w:val="both"/>
    </w:pPr>
    <w:rPr>
      <w:rFonts w:ascii="Calibri" w:hAnsi="Calibri"/>
      <w:sz w:val="21"/>
    </w:rPr>
  </w:style>
  <w:style w:type="paragraph" w:customStyle="1" w:styleId="xl77">
    <w:name w:val="xl77"/>
    <w:basedOn w:val="a3"/>
    <w:next w:val="toc910"/>
    <w:qFormat/>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Pr>
      <w:rFonts w:eastAsia="宋体"/>
      <w:kern w:val="2"/>
      <w:sz w:val="21"/>
      <w:lang w:val="en-US" w:eastAsia="zh-CN" w:bidi="ar-SA"/>
    </w:rPr>
  </w:style>
  <w:style w:type="character" w:customStyle="1" w:styleId="font51">
    <w:name w:val="font51"/>
    <w:basedOn w:val="a6"/>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479121">
      <w:bodyDiv w:val="1"/>
      <w:marLeft w:val="0"/>
      <w:marRight w:val="0"/>
      <w:marTop w:val="0"/>
      <w:marBottom w:val="1134"/>
      <w:divBdr>
        <w:top w:val="none" w:sz="0" w:space="0" w:color="auto"/>
        <w:left w:val="none" w:sz="0" w:space="0" w:color="auto"/>
        <w:bottom w:val="none" w:sz="0" w:space="0" w:color="auto"/>
        <w:right w:val="none" w:sz="0" w:space="0" w:color="auto"/>
      </w:divBdr>
      <w:divsChild>
        <w:div w:id="237786446">
          <w:marLeft w:val="0"/>
          <w:marRight w:val="0"/>
          <w:marTop w:val="0"/>
          <w:marBottom w:val="0"/>
          <w:divBdr>
            <w:top w:val="none" w:sz="0" w:space="0" w:color="auto"/>
            <w:left w:val="none" w:sz="0" w:space="0" w:color="auto"/>
            <w:bottom w:val="none" w:sz="0" w:space="0" w:color="auto"/>
            <w:right w:val="none" w:sz="0" w:space="0" w:color="auto"/>
          </w:divBdr>
          <w:divsChild>
            <w:div w:id="544951318">
              <w:marLeft w:val="0"/>
              <w:marRight w:val="0"/>
              <w:marTop w:val="0"/>
              <w:marBottom w:val="0"/>
              <w:divBdr>
                <w:top w:val="none" w:sz="0" w:space="0" w:color="auto"/>
                <w:left w:val="none" w:sz="0" w:space="0" w:color="auto"/>
                <w:bottom w:val="none" w:sz="0" w:space="0" w:color="auto"/>
                <w:right w:val="none" w:sz="0" w:space="0" w:color="auto"/>
              </w:divBdr>
            </w:div>
            <w:div w:id="2072653505">
              <w:marLeft w:val="0"/>
              <w:marRight w:val="0"/>
              <w:marTop w:val="0"/>
              <w:marBottom w:val="0"/>
              <w:divBdr>
                <w:top w:val="none" w:sz="0" w:space="0" w:color="auto"/>
                <w:left w:val="none" w:sz="0" w:space="0" w:color="auto"/>
                <w:bottom w:val="none" w:sz="0" w:space="0" w:color="auto"/>
                <w:right w:val="none" w:sz="0" w:space="0" w:color="auto"/>
              </w:divBdr>
            </w:div>
            <w:div w:id="894043065">
              <w:marLeft w:val="0"/>
              <w:marRight w:val="0"/>
              <w:marTop w:val="0"/>
              <w:marBottom w:val="0"/>
              <w:divBdr>
                <w:top w:val="none" w:sz="0" w:space="0" w:color="auto"/>
                <w:left w:val="none" w:sz="0" w:space="0" w:color="auto"/>
                <w:bottom w:val="none" w:sz="0" w:space="0" w:color="auto"/>
                <w:right w:val="none" w:sz="0" w:space="0" w:color="auto"/>
              </w:divBdr>
            </w:div>
            <w:div w:id="1293708597">
              <w:marLeft w:val="0"/>
              <w:marRight w:val="0"/>
              <w:marTop w:val="0"/>
              <w:marBottom w:val="0"/>
              <w:divBdr>
                <w:top w:val="none" w:sz="0" w:space="0" w:color="auto"/>
                <w:left w:val="none" w:sz="0" w:space="0" w:color="auto"/>
                <w:bottom w:val="none" w:sz="0" w:space="0" w:color="auto"/>
                <w:right w:val="none" w:sz="0" w:space="0" w:color="auto"/>
              </w:divBdr>
            </w:div>
            <w:div w:id="1005983928">
              <w:marLeft w:val="0"/>
              <w:marRight w:val="0"/>
              <w:marTop w:val="0"/>
              <w:marBottom w:val="0"/>
              <w:divBdr>
                <w:top w:val="none" w:sz="0" w:space="0" w:color="auto"/>
                <w:left w:val="none" w:sz="0" w:space="0" w:color="auto"/>
                <w:bottom w:val="none" w:sz="0" w:space="0" w:color="auto"/>
                <w:right w:val="none" w:sz="0" w:space="0" w:color="auto"/>
              </w:divBdr>
            </w:div>
            <w:div w:id="702557623">
              <w:marLeft w:val="0"/>
              <w:marRight w:val="0"/>
              <w:marTop w:val="0"/>
              <w:marBottom w:val="0"/>
              <w:divBdr>
                <w:top w:val="none" w:sz="0" w:space="0" w:color="auto"/>
                <w:left w:val="none" w:sz="0" w:space="0" w:color="auto"/>
                <w:bottom w:val="none" w:sz="0" w:space="0" w:color="auto"/>
                <w:right w:val="none" w:sz="0" w:space="0" w:color="auto"/>
              </w:divBdr>
            </w:div>
            <w:div w:id="1510562547">
              <w:marLeft w:val="0"/>
              <w:marRight w:val="0"/>
              <w:marTop w:val="0"/>
              <w:marBottom w:val="0"/>
              <w:divBdr>
                <w:top w:val="none" w:sz="0" w:space="0" w:color="auto"/>
                <w:left w:val="none" w:sz="0" w:space="0" w:color="auto"/>
                <w:bottom w:val="none" w:sz="0" w:space="0" w:color="auto"/>
                <w:right w:val="none" w:sz="0" w:space="0" w:color="auto"/>
              </w:divBdr>
            </w:div>
            <w:div w:id="815797917">
              <w:marLeft w:val="0"/>
              <w:marRight w:val="0"/>
              <w:marTop w:val="0"/>
              <w:marBottom w:val="0"/>
              <w:divBdr>
                <w:top w:val="none" w:sz="0" w:space="0" w:color="auto"/>
                <w:left w:val="none" w:sz="0" w:space="0" w:color="auto"/>
                <w:bottom w:val="none" w:sz="0" w:space="0" w:color="auto"/>
                <w:right w:val="none" w:sz="0" w:space="0" w:color="auto"/>
              </w:divBdr>
            </w:div>
            <w:div w:id="304243872">
              <w:marLeft w:val="0"/>
              <w:marRight w:val="0"/>
              <w:marTop w:val="0"/>
              <w:marBottom w:val="0"/>
              <w:divBdr>
                <w:top w:val="none" w:sz="0" w:space="0" w:color="auto"/>
                <w:left w:val="none" w:sz="0" w:space="0" w:color="auto"/>
                <w:bottom w:val="none" w:sz="0" w:space="0" w:color="auto"/>
                <w:right w:val="none" w:sz="0" w:space="0" w:color="auto"/>
              </w:divBdr>
            </w:div>
            <w:div w:id="1670213031">
              <w:marLeft w:val="0"/>
              <w:marRight w:val="0"/>
              <w:marTop w:val="0"/>
              <w:marBottom w:val="0"/>
              <w:divBdr>
                <w:top w:val="none" w:sz="0" w:space="0" w:color="auto"/>
                <w:left w:val="none" w:sz="0" w:space="0" w:color="auto"/>
                <w:bottom w:val="none" w:sz="0" w:space="0" w:color="auto"/>
                <w:right w:val="none" w:sz="0" w:space="0" w:color="auto"/>
              </w:divBdr>
            </w:div>
            <w:div w:id="933396103">
              <w:marLeft w:val="0"/>
              <w:marRight w:val="0"/>
              <w:marTop w:val="0"/>
              <w:marBottom w:val="0"/>
              <w:divBdr>
                <w:top w:val="none" w:sz="0" w:space="0" w:color="auto"/>
                <w:left w:val="none" w:sz="0" w:space="0" w:color="auto"/>
                <w:bottom w:val="none" w:sz="0" w:space="0" w:color="auto"/>
                <w:right w:val="none" w:sz="0" w:space="0" w:color="auto"/>
              </w:divBdr>
            </w:div>
            <w:div w:id="408309758">
              <w:marLeft w:val="0"/>
              <w:marRight w:val="0"/>
              <w:marTop w:val="0"/>
              <w:marBottom w:val="0"/>
              <w:divBdr>
                <w:top w:val="none" w:sz="0" w:space="0" w:color="auto"/>
                <w:left w:val="none" w:sz="0" w:space="0" w:color="auto"/>
                <w:bottom w:val="none" w:sz="0" w:space="0" w:color="auto"/>
                <w:right w:val="none" w:sz="0" w:space="0" w:color="auto"/>
              </w:divBdr>
            </w:div>
            <w:div w:id="1798648241">
              <w:marLeft w:val="0"/>
              <w:marRight w:val="0"/>
              <w:marTop w:val="0"/>
              <w:marBottom w:val="0"/>
              <w:divBdr>
                <w:top w:val="none" w:sz="0" w:space="0" w:color="auto"/>
                <w:left w:val="none" w:sz="0" w:space="0" w:color="auto"/>
                <w:bottom w:val="none" w:sz="0" w:space="0" w:color="auto"/>
                <w:right w:val="none" w:sz="0" w:space="0" w:color="auto"/>
              </w:divBdr>
            </w:div>
            <w:div w:id="2085294195">
              <w:marLeft w:val="0"/>
              <w:marRight w:val="0"/>
              <w:marTop w:val="0"/>
              <w:marBottom w:val="0"/>
              <w:divBdr>
                <w:top w:val="none" w:sz="0" w:space="0" w:color="auto"/>
                <w:left w:val="none" w:sz="0" w:space="0" w:color="auto"/>
                <w:bottom w:val="none" w:sz="0" w:space="0" w:color="auto"/>
                <w:right w:val="none" w:sz="0" w:space="0" w:color="auto"/>
              </w:divBdr>
            </w:div>
            <w:div w:id="361252686">
              <w:marLeft w:val="0"/>
              <w:marRight w:val="0"/>
              <w:marTop w:val="0"/>
              <w:marBottom w:val="0"/>
              <w:divBdr>
                <w:top w:val="none" w:sz="0" w:space="0" w:color="auto"/>
                <w:left w:val="none" w:sz="0" w:space="0" w:color="auto"/>
                <w:bottom w:val="none" w:sz="0" w:space="0" w:color="auto"/>
                <w:right w:val="none" w:sz="0" w:space="0" w:color="auto"/>
              </w:divBdr>
            </w:div>
            <w:div w:id="496119397">
              <w:marLeft w:val="0"/>
              <w:marRight w:val="0"/>
              <w:marTop w:val="0"/>
              <w:marBottom w:val="0"/>
              <w:divBdr>
                <w:top w:val="none" w:sz="0" w:space="0" w:color="auto"/>
                <w:left w:val="none" w:sz="0" w:space="0" w:color="auto"/>
                <w:bottom w:val="none" w:sz="0" w:space="0" w:color="auto"/>
                <w:right w:val="none" w:sz="0" w:space="0" w:color="auto"/>
              </w:divBdr>
            </w:div>
            <w:div w:id="1574243680">
              <w:marLeft w:val="0"/>
              <w:marRight w:val="0"/>
              <w:marTop w:val="0"/>
              <w:marBottom w:val="0"/>
              <w:divBdr>
                <w:top w:val="none" w:sz="0" w:space="0" w:color="auto"/>
                <w:left w:val="none" w:sz="0" w:space="0" w:color="auto"/>
                <w:bottom w:val="none" w:sz="0" w:space="0" w:color="auto"/>
                <w:right w:val="none" w:sz="0" w:space="0" w:color="auto"/>
              </w:divBdr>
            </w:div>
            <w:div w:id="389957740">
              <w:marLeft w:val="0"/>
              <w:marRight w:val="0"/>
              <w:marTop w:val="0"/>
              <w:marBottom w:val="0"/>
              <w:divBdr>
                <w:top w:val="none" w:sz="0" w:space="0" w:color="auto"/>
                <w:left w:val="none" w:sz="0" w:space="0" w:color="auto"/>
                <w:bottom w:val="none" w:sz="0" w:space="0" w:color="auto"/>
                <w:right w:val="none" w:sz="0" w:space="0" w:color="auto"/>
              </w:divBdr>
            </w:div>
            <w:div w:id="1560555852">
              <w:marLeft w:val="0"/>
              <w:marRight w:val="0"/>
              <w:marTop w:val="0"/>
              <w:marBottom w:val="0"/>
              <w:divBdr>
                <w:top w:val="none" w:sz="0" w:space="0" w:color="auto"/>
                <w:left w:val="none" w:sz="0" w:space="0" w:color="auto"/>
                <w:bottom w:val="none" w:sz="0" w:space="0" w:color="auto"/>
                <w:right w:val="none" w:sz="0" w:space="0" w:color="auto"/>
              </w:divBdr>
            </w:div>
            <w:div w:id="1456486541">
              <w:marLeft w:val="0"/>
              <w:marRight w:val="0"/>
              <w:marTop w:val="0"/>
              <w:marBottom w:val="0"/>
              <w:divBdr>
                <w:top w:val="none" w:sz="0" w:space="0" w:color="auto"/>
                <w:left w:val="none" w:sz="0" w:space="0" w:color="auto"/>
                <w:bottom w:val="none" w:sz="0" w:space="0" w:color="auto"/>
                <w:right w:val="none" w:sz="0" w:space="0" w:color="auto"/>
              </w:divBdr>
            </w:div>
            <w:div w:id="619728313">
              <w:marLeft w:val="0"/>
              <w:marRight w:val="0"/>
              <w:marTop w:val="0"/>
              <w:marBottom w:val="0"/>
              <w:divBdr>
                <w:top w:val="none" w:sz="0" w:space="0" w:color="auto"/>
                <w:left w:val="none" w:sz="0" w:space="0" w:color="auto"/>
                <w:bottom w:val="none" w:sz="0" w:space="0" w:color="auto"/>
                <w:right w:val="none" w:sz="0" w:space="0" w:color="auto"/>
              </w:divBdr>
            </w:div>
            <w:div w:id="1531262397">
              <w:marLeft w:val="0"/>
              <w:marRight w:val="0"/>
              <w:marTop w:val="0"/>
              <w:marBottom w:val="0"/>
              <w:divBdr>
                <w:top w:val="none" w:sz="0" w:space="0" w:color="auto"/>
                <w:left w:val="none" w:sz="0" w:space="0" w:color="auto"/>
                <w:bottom w:val="none" w:sz="0" w:space="0" w:color="auto"/>
                <w:right w:val="none" w:sz="0" w:space="0" w:color="auto"/>
              </w:divBdr>
            </w:div>
            <w:div w:id="445933153">
              <w:marLeft w:val="0"/>
              <w:marRight w:val="0"/>
              <w:marTop w:val="0"/>
              <w:marBottom w:val="0"/>
              <w:divBdr>
                <w:top w:val="none" w:sz="0" w:space="0" w:color="auto"/>
                <w:left w:val="none" w:sz="0" w:space="0" w:color="auto"/>
                <w:bottom w:val="none" w:sz="0" w:space="0" w:color="auto"/>
                <w:right w:val="none" w:sz="0" w:space="0" w:color="auto"/>
              </w:divBdr>
            </w:div>
            <w:div w:id="1202665129">
              <w:marLeft w:val="0"/>
              <w:marRight w:val="0"/>
              <w:marTop w:val="0"/>
              <w:marBottom w:val="0"/>
              <w:divBdr>
                <w:top w:val="none" w:sz="0" w:space="0" w:color="auto"/>
                <w:left w:val="none" w:sz="0" w:space="0" w:color="auto"/>
                <w:bottom w:val="none" w:sz="0" w:space="0" w:color="auto"/>
                <w:right w:val="none" w:sz="0" w:space="0" w:color="auto"/>
              </w:divBdr>
            </w:div>
            <w:div w:id="321475012">
              <w:marLeft w:val="0"/>
              <w:marRight w:val="0"/>
              <w:marTop w:val="0"/>
              <w:marBottom w:val="0"/>
              <w:divBdr>
                <w:top w:val="none" w:sz="0" w:space="0" w:color="auto"/>
                <w:left w:val="none" w:sz="0" w:space="0" w:color="auto"/>
                <w:bottom w:val="none" w:sz="0" w:space="0" w:color="auto"/>
                <w:right w:val="none" w:sz="0" w:space="0" w:color="auto"/>
              </w:divBdr>
            </w:div>
            <w:div w:id="1941643073">
              <w:marLeft w:val="0"/>
              <w:marRight w:val="0"/>
              <w:marTop w:val="0"/>
              <w:marBottom w:val="0"/>
              <w:divBdr>
                <w:top w:val="none" w:sz="0" w:space="0" w:color="auto"/>
                <w:left w:val="none" w:sz="0" w:space="0" w:color="auto"/>
                <w:bottom w:val="none" w:sz="0" w:space="0" w:color="auto"/>
                <w:right w:val="none" w:sz="0" w:space="0" w:color="auto"/>
              </w:divBdr>
            </w:div>
            <w:div w:id="374353246">
              <w:marLeft w:val="0"/>
              <w:marRight w:val="0"/>
              <w:marTop w:val="0"/>
              <w:marBottom w:val="0"/>
              <w:divBdr>
                <w:top w:val="none" w:sz="0" w:space="0" w:color="auto"/>
                <w:left w:val="none" w:sz="0" w:space="0" w:color="auto"/>
                <w:bottom w:val="none" w:sz="0" w:space="0" w:color="auto"/>
                <w:right w:val="none" w:sz="0" w:space="0" w:color="auto"/>
              </w:divBdr>
            </w:div>
            <w:div w:id="875969054">
              <w:marLeft w:val="0"/>
              <w:marRight w:val="0"/>
              <w:marTop w:val="0"/>
              <w:marBottom w:val="0"/>
              <w:divBdr>
                <w:top w:val="none" w:sz="0" w:space="0" w:color="auto"/>
                <w:left w:val="none" w:sz="0" w:space="0" w:color="auto"/>
                <w:bottom w:val="none" w:sz="0" w:space="0" w:color="auto"/>
                <w:right w:val="none" w:sz="0" w:space="0" w:color="auto"/>
              </w:divBdr>
            </w:div>
            <w:div w:id="477039624">
              <w:marLeft w:val="0"/>
              <w:marRight w:val="0"/>
              <w:marTop w:val="0"/>
              <w:marBottom w:val="0"/>
              <w:divBdr>
                <w:top w:val="none" w:sz="0" w:space="0" w:color="auto"/>
                <w:left w:val="none" w:sz="0" w:space="0" w:color="auto"/>
                <w:bottom w:val="none" w:sz="0" w:space="0" w:color="auto"/>
                <w:right w:val="none" w:sz="0" w:space="0" w:color="auto"/>
              </w:divBdr>
            </w:div>
            <w:div w:id="274096359">
              <w:marLeft w:val="0"/>
              <w:marRight w:val="0"/>
              <w:marTop w:val="0"/>
              <w:marBottom w:val="0"/>
              <w:divBdr>
                <w:top w:val="none" w:sz="0" w:space="0" w:color="auto"/>
                <w:left w:val="none" w:sz="0" w:space="0" w:color="auto"/>
                <w:bottom w:val="none" w:sz="0" w:space="0" w:color="auto"/>
                <w:right w:val="none" w:sz="0" w:space="0" w:color="auto"/>
              </w:divBdr>
            </w:div>
            <w:div w:id="389230517">
              <w:marLeft w:val="0"/>
              <w:marRight w:val="0"/>
              <w:marTop w:val="0"/>
              <w:marBottom w:val="0"/>
              <w:divBdr>
                <w:top w:val="none" w:sz="0" w:space="0" w:color="auto"/>
                <w:left w:val="none" w:sz="0" w:space="0" w:color="auto"/>
                <w:bottom w:val="none" w:sz="0" w:space="0" w:color="auto"/>
                <w:right w:val="none" w:sz="0" w:space="0" w:color="auto"/>
              </w:divBdr>
            </w:div>
            <w:div w:id="1088572850">
              <w:marLeft w:val="0"/>
              <w:marRight w:val="0"/>
              <w:marTop w:val="0"/>
              <w:marBottom w:val="0"/>
              <w:divBdr>
                <w:top w:val="none" w:sz="0" w:space="0" w:color="auto"/>
                <w:left w:val="none" w:sz="0" w:space="0" w:color="auto"/>
                <w:bottom w:val="none" w:sz="0" w:space="0" w:color="auto"/>
                <w:right w:val="none" w:sz="0" w:space="0" w:color="auto"/>
              </w:divBdr>
            </w:div>
            <w:div w:id="255944428">
              <w:marLeft w:val="0"/>
              <w:marRight w:val="0"/>
              <w:marTop w:val="0"/>
              <w:marBottom w:val="0"/>
              <w:divBdr>
                <w:top w:val="none" w:sz="0" w:space="0" w:color="auto"/>
                <w:left w:val="none" w:sz="0" w:space="0" w:color="auto"/>
                <w:bottom w:val="none" w:sz="0" w:space="0" w:color="auto"/>
                <w:right w:val="none" w:sz="0" w:space="0" w:color="auto"/>
              </w:divBdr>
            </w:div>
            <w:div w:id="31419202">
              <w:marLeft w:val="0"/>
              <w:marRight w:val="0"/>
              <w:marTop w:val="0"/>
              <w:marBottom w:val="0"/>
              <w:divBdr>
                <w:top w:val="none" w:sz="0" w:space="0" w:color="auto"/>
                <w:left w:val="none" w:sz="0" w:space="0" w:color="auto"/>
                <w:bottom w:val="none" w:sz="0" w:space="0" w:color="auto"/>
                <w:right w:val="none" w:sz="0" w:space="0" w:color="auto"/>
              </w:divBdr>
            </w:div>
            <w:div w:id="1607232119">
              <w:marLeft w:val="0"/>
              <w:marRight w:val="0"/>
              <w:marTop w:val="0"/>
              <w:marBottom w:val="0"/>
              <w:divBdr>
                <w:top w:val="none" w:sz="0" w:space="0" w:color="auto"/>
                <w:left w:val="none" w:sz="0" w:space="0" w:color="auto"/>
                <w:bottom w:val="none" w:sz="0" w:space="0" w:color="auto"/>
                <w:right w:val="none" w:sz="0" w:space="0" w:color="auto"/>
              </w:divBdr>
            </w:div>
            <w:div w:id="61829216">
              <w:marLeft w:val="0"/>
              <w:marRight w:val="0"/>
              <w:marTop w:val="0"/>
              <w:marBottom w:val="0"/>
              <w:divBdr>
                <w:top w:val="none" w:sz="0" w:space="0" w:color="auto"/>
                <w:left w:val="none" w:sz="0" w:space="0" w:color="auto"/>
                <w:bottom w:val="none" w:sz="0" w:space="0" w:color="auto"/>
                <w:right w:val="none" w:sz="0" w:space="0" w:color="auto"/>
              </w:divBdr>
            </w:div>
            <w:div w:id="908880685">
              <w:marLeft w:val="0"/>
              <w:marRight w:val="0"/>
              <w:marTop w:val="0"/>
              <w:marBottom w:val="0"/>
              <w:divBdr>
                <w:top w:val="none" w:sz="0" w:space="0" w:color="auto"/>
                <w:left w:val="none" w:sz="0" w:space="0" w:color="auto"/>
                <w:bottom w:val="none" w:sz="0" w:space="0" w:color="auto"/>
                <w:right w:val="none" w:sz="0" w:space="0" w:color="auto"/>
              </w:divBdr>
            </w:div>
            <w:div w:id="1271426228">
              <w:marLeft w:val="0"/>
              <w:marRight w:val="0"/>
              <w:marTop w:val="0"/>
              <w:marBottom w:val="0"/>
              <w:divBdr>
                <w:top w:val="none" w:sz="0" w:space="0" w:color="auto"/>
                <w:left w:val="none" w:sz="0" w:space="0" w:color="auto"/>
                <w:bottom w:val="none" w:sz="0" w:space="0" w:color="auto"/>
                <w:right w:val="none" w:sz="0" w:space="0" w:color="auto"/>
              </w:divBdr>
            </w:div>
            <w:div w:id="1567372800">
              <w:marLeft w:val="0"/>
              <w:marRight w:val="0"/>
              <w:marTop w:val="0"/>
              <w:marBottom w:val="0"/>
              <w:divBdr>
                <w:top w:val="none" w:sz="0" w:space="0" w:color="auto"/>
                <w:left w:val="none" w:sz="0" w:space="0" w:color="auto"/>
                <w:bottom w:val="none" w:sz="0" w:space="0" w:color="auto"/>
                <w:right w:val="none" w:sz="0" w:space="0" w:color="auto"/>
              </w:divBdr>
            </w:div>
            <w:div w:id="1001465436">
              <w:marLeft w:val="0"/>
              <w:marRight w:val="0"/>
              <w:marTop w:val="0"/>
              <w:marBottom w:val="0"/>
              <w:divBdr>
                <w:top w:val="none" w:sz="0" w:space="0" w:color="auto"/>
                <w:left w:val="none" w:sz="0" w:space="0" w:color="auto"/>
                <w:bottom w:val="none" w:sz="0" w:space="0" w:color="auto"/>
                <w:right w:val="none" w:sz="0" w:space="0" w:color="auto"/>
              </w:divBdr>
            </w:div>
            <w:div w:id="508837470">
              <w:marLeft w:val="0"/>
              <w:marRight w:val="0"/>
              <w:marTop w:val="0"/>
              <w:marBottom w:val="0"/>
              <w:divBdr>
                <w:top w:val="none" w:sz="0" w:space="0" w:color="auto"/>
                <w:left w:val="none" w:sz="0" w:space="0" w:color="auto"/>
                <w:bottom w:val="none" w:sz="0" w:space="0" w:color="auto"/>
                <w:right w:val="none" w:sz="0" w:space="0" w:color="auto"/>
              </w:divBdr>
            </w:div>
            <w:div w:id="1054743952">
              <w:marLeft w:val="0"/>
              <w:marRight w:val="0"/>
              <w:marTop w:val="0"/>
              <w:marBottom w:val="0"/>
              <w:divBdr>
                <w:top w:val="none" w:sz="0" w:space="0" w:color="auto"/>
                <w:left w:val="none" w:sz="0" w:space="0" w:color="auto"/>
                <w:bottom w:val="none" w:sz="0" w:space="0" w:color="auto"/>
                <w:right w:val="none" w:sz="0" w:space="0" w:color="auto"/>
              </w:divBdr>
            </w:div>
            <w:div w:id="1007176058">
              <w:marLeft w:val="0"/>
              <w:marRight w:val="0"/>
              <w:marTop w:val="0"/>
              <w:marBottom w:val="0"/>
              <w:divBdr>
                <w:top w:val="none" w:sz="0" w:space="0" w:color="auto"/>
                <w:left w:val="none" w:sz="0" w:space="0" w:color="auto"/>
                <w:bottom w:val="none" w:sz="0" w:space="0" w:color="auto"/>
                <w:right w:val="none" w:sz="0" w:space="0" w:color="auto"/>
              </w:divBdr>
            </w:div>
            <w:div w:id="1738941269">
              <w:marLeft w:val="0"/>
              <w:marRight w:val="0"/>
              <w:marTop w:val="0"/>
              <w:marBottom w:val="0"/>
              <w:divBdr>
                <w:top w:val="none" w:sz="0" w:space="0" w:color="auto"/>
                <w:left w:val="none" w:sz="0" w:space="0" w:color="auto"/>
                <w:bottom w:val="none" w:sz="0" w:space="0" w:color="auto"/>
                <w:right w:val="none" w:sz="0" w:space="0" w:color="auto"/>
              </w:divBdr>
            </w:div>
            <w:div w:id="300967965">
              <w:marLeft w:val="0"/>
              <w:marRight w:val="0"/>
              <w:marTop w:val="0"/>
              <w:marBottom w:val="0"/>
              <w:divBdr>
                <w:top w:val="none" w:sz="0" w:space="0" w:color="auto"/>
                <w:left w:val="none" w:sz="0" w:space="0" w:color="auto"/>
                <w:bottom w:val="none" w:sz="0" w:space="0" w:color="auto"/>
                <w:right w:val="none" w:sz="0" w:space="0" w:color="auto"/>
              </w:divBdr>
            </w:div>
            <w:div w:id="1165323590">
              <w:marLeft w:val="0"/>
              <w:marRight w:val="0"/>
              <w:marTop w:val="0"/>
              <w:marBottom w:val="0"/>
              <w:divBdr>
                <w:top w:val="none" w:sz="0" w:space="0" w:color="auto"/>
                <w:left w:val="none" w:sz="0" w:space="0" w:color="auto"/>
                <w:bottom w:val="none" w:sz="0" w:space="0" w:color="auto"/>
                <w:right w:val="none" w:sz="0" w:space="0" w:color="auto"/>
              </w:divBdr>
            </w:div>
            <w:div w:id="1294017643">
              <w:marLeft w:val="0"/>
              <w:marRight w:val="0"/>
              <w:marTop w:val="0"/>
              <w:marBottom w:val="0"/>
              <w:divBdr>
                <w:top w:val="none" w:sz="0" w:space="0" w:color="auto"/>
                <w:left w:val="none" w:sz="0" w:space="0" w:color="auto"/>
                <w:bottom w:val="none" w:sz="0" w:space="0" w:color="auto"/>
                <w:right w:val="none" w:sz="0" w:space="0" w:color="auto"/>
              </w:divBdr>
            </w:div>
            <w:div w:id="713964933">
              <w:marLeft w:val="0"/>
              <w:marRight w:val="0"/>
              <w:marTop w:val="0"/>
              <w:marBottom w:val="0"/>
              <w:divBdr>
                <w:top w:val="none" w:sz="0" w:space="0" w:color="auto"/>
                <w:left w:val="none" w:sz="0" w:space="0" w:color="auto"/>
                <w:bottom w:val="none" w:sz="0" w:space="0" w:color="auto"/>
                <w:right w:val="none" w:sz="0" w:space="0" w:color="auto"/>
              </w:divBdr>
            </w:div>
            <w:div w:id="828449744">
              <w:marLeft w:val="0"/>
              <w:marRight w:val="0"/>
              <w:marTop w:val="0"/>
              <w:marBottom w:val="0"/>
              <w:divBdr>
                <w:top w:val="none" w:sz="0" w:space="0" w:color="auto"/>
                <w:left w:val="none" w:sz="0" w:space="0" w:color="auto"/>
                <w:bottom w:val="none" w:sz="0" w:space="0" w:color="auto"/>
                <w:right w:val="none" w:sz="0" w:space="0" w:color="auto"/>
              </w:divBdr>
            </w:div>
            <w:div w:id="2037583867">
              <w:marLeft w:val="0"/>
              <w:marRight w:val="0"/>
              <w:marTop w:val="0"/>
              <w:marBottom w:val="0"/>
              <w:divBdr>
                <w:top w:val="none" w:sz="0" w:space="0" w:color="auto"/>
                <w:left w:val="none" w:sz="0" w:space="0" w:color="auto"/>
                <w:bottom w:val="none" w:sz="0" w:space="0" w:color="auto"/>
                <w:right w:val="none" w:sz="0" w:space="0" w:color="auto"/>
              </w:divBdr>
            </w:div>
            <w:div w:id="778526310">
              <w:marLeft w:val="0"/>
              <w:marRight w:val="0"/>
              <w:marTop w:val="0"/>
              <w:marBottom w:val="0"/>
              <w:divBdr>
                <w:top w:val="none" w:sz="0" w:space="0" w:color="auto"/>
                <w:left w:val="none" w:sz="0" w:space="0" w:color="auto"/>
                <w:bottom w:val="none" w:sz="0" w:space="0" w:color="auto"/>
                <w:right w:val="none" w:sz="0" w:space="0" w:color="auto"/>
              </w:divBdr>
            </w:div>
            <w:div w:id="641928226">
              <w:marLeft w:val="0"/>
              <w:marRight w:val="0"/>
              <w:marTop w:val="0"/>
              <w:marBottom w:val="0"/>
              <w:divBdr>
                <w:top w:val="none" w:sz="0" w:space="0" w:color="auto"/>
                <w:left w:val="none" w:sz="0" w:space="0" w:color="auto"/>
                <w:bottom w:val="none" w:sz="0" w:space="0" w:color="auto"/>
                <w:right w:val="none" w:sz="0" w:space="0" w:color="auto"/>
              </w:divBdr>
            </w:div>
            <w:div w:id="2100445104">
              <w:marLeft w:val="0"/>
              <w:marRight w:val="0"/>
              <w:marTop w:val="0"/>
              <w:marBottom w:val="0"/>
              <w:divBdr>
                <w:top w:val="none" w:sz="0" w:space="0" w:color="auto"/>
                <w:left w:val="none" w:sz="0" w:space="0" w:color="auto"/>
                <w:bottom w:val="none" w:sz="0" w:space="0" w:color="auto"/>
                <w:right w:val="none" w:sz="0" w:space="0" w:color="auto"/>
              </w:divBdr>
            </w:div>
            <w:div w:id="1873686382">
              <w:marLeft w:val="0"/>
              <w:marRight w:val="0"/>
              <w:marTop w:val="0"/>
              <w:marBottom w:val="0"/>
              <w:divBdr>
                <w:top w:val="none" w:sz="0" w:space="0" w:color="auto"/>
                <w:left w:val="none" w:sz="0" w:space="0" w:color="auto"/>
                <w:bottom w:val="none" w:sz="0" w:space="0" w:color="auto"/>
                <w:right w:val="none" w:sz="0" w:space="0" w:color="auto"/>
              </w:divBdr>
            </w:div>
            <w:div w:id="706687008">
              <w:marLeft w:val="0"/>
              <w:marRight w:val="0"/>
              <w:marTop w:val="0"/>
              <w:marBottom w:val="0"/>
              <w:divBdr>
                <w:top w:val="none" w:sz="0" w:space="0" w:color="auto"/>
                <w:left w:val="none" w:sz="0" w:space="0" w:color="auto"/>
                <w:bottom w:val="none" w:sz="0" w:space="0" w:color="auto"/>
                <w:right w:val="none" w:sz="0" w:space="0" w:color="auto"/>
              </w:divBdr>
            </w:div>
            <w:div w:id="439951588">
              <w:marLeft w:val="0"/>
              <w:marRight w:val="0"/>
              <w:marTop w:val="0"/>
              <w:marBottom w:val="0"/>
              <w:divBdr>
                <w:top w:val="none" w:sz="0" w:space="0" w:color="auto"/>
                <w:left w:val="none" w:sz="0" w:space="0" w:color="auto"/>
                <w:bottom w:val="none" w:sz="0" w:space="0" w:color="auto"/>
                <w:right w:val="none" w:sz="0" w:space="0" w:color="auto"/>
              </w:divBdr>
            </w:div>
            <w:div w:id="1617444887">
              <w:marLeft w:val="0"/>
              <w:marRight w:val="0"/>
              <w:marTop w:val="0"/>
              <w:marBottom w:val="0"/>
              <w:divBdr>
                <w:top w:val="none" w:sz="0" w:space="0" w:color="auto"/>
                <w:left w:val="none" w:sz="0" w:space="0" w:color="auto"/>
                <w:bottom w:val="none" w:sz="0" w:space="0" w:color="auto"/>
                <w:right w:val="none" w:sz="0" w:space="0" w:color="auto"/>
              </w:divBdr>
            </w:div>
            <w:div w:id="1286501043">
              <w:marLeft w:val="0"/>
              <w:marRight w:val="0"/>
              <w:marTop w:val="0"/>
              <w:marBottom w:val="0"/>
              <w:divBdr>
                <w:top w:val="none" w:sz="0" w:space="0" w:color="auto"/>
                <w:left w:val="none" w:sz="0" w:space="0" w:color="auto"/>
                <w:bottom w:val="none" w:sz="0" w:space="0" w:color="auto"/>
                <w:right w:val="none" w:sz="0" w:space="0" w:color="auto"/>
              </w:divBdr>
            </w:div>
            <w:div w:id="1447850976">
              <w:marLeft w:val="0"/>
              <w:marRight w:val="0"/>
              <w:marTop w:val="0"/>
              <w:marBottom w:val="0"/>
              <w:divBdr>
                <w:top w:val="none" w:sz="0" w:space="0" w:color="auto"/>
                <w:left w:val="none" w:sz="0" w:space="0" w:color="auto"/>
                <w:bottom w:val="none" w:sz="0" w:space="0" w:color="auto"/>
                <w:right w:val="none" w:sz="0" w:space="0" w:color="auto"/>
              </w:divBdr>
            </w:div>
            <w:div w:id="1973516482">
              <w:marLeft w:val="0"/>
              <w:marRight w:val="0"/>
              <w:marTop w:val="0"/>
              <w:marBottom w:val="0"/>
              <w:divBdr>
                <w:top w:val="none" w:sz="0" w:space="0" w:color="auto"/>
                <w:left w:val="none" w:sz="0" w:space="0" w:color="auto"/>
                <w:bottom w:val="none" w:sz="0" w:space="0" w:color="auto"/>
                <w:right w:val="none" w:sz="0" w:space="0" w:color="auto"/>
              </w:divBdr>
            </w:div>
            <w:div w:id="1209686655">
              <w:marLeft w:val="0"/>
              <w:marRight w:val="0"/>
              <w:marTop w:val="0"/>
              <w:marBottom w:val="0"/>
              <w:divBdr>
                <w:top w:val="none" w:sz="0" w:space="0" w:color="auto"/>
                <w:left w:val="none" w:sz="0" w:space="0" w:color="auto"/>
                <w:bottom w:val="none" w:sz="0" w:space="0" w:color="auto"/>
                <w:right w:val="none" w:sz="0" w:space="0" w:color="auto"/>
              </w:divBdr>
            </w:div>
            <w:div w:id="1546719491">
              <w:marLeft w:val="0"/>
              <w:marRight w:val="0"/>
              <w:marTop w:val="0"/>
              <w:marBottom w:val="0"/>
              <w:divBdr>
                <w:top w:val="none" w:sz="0" w:space="0" w:color="auto"/>
                <w:left w:val="none" w:sz="0" w:space="0" w:color="auto"/>
                <w:bottom w:val="none" w:sz="0" w:space="0" w:color="auto"/>
                <w:right w:val="none" w:sz="0" w:space="0" w:color="auto"/>
              </w:divBdr>
            </w:div>
            <w:div w:id="1006052261">
              <w:marLeft w:val="0"/>
              <w:marRight w:val="0"/>
              <w:marTop w:val="0"/>
              <w:marBottom w:val="0"/>
              <w:divBdr>
                <w:top w:val="none" w:sz="0" w:space="0" w:color="auto"/>
                <w:left w:val="none" w:sz="0" w:space="0" w:color="auto"/>
                <w:bottom w:val="none" w:sz="0" w:space="0" w:color="auto"/>
                <w:right w:val="none" w:sz="0" w:space="0" w:color="auto"/>
              </w:divBdr>
            </w:div>
            <w:div w:id="2071416248">
              <w:marLeft w:val="0"/>
              <w:marRight w:val="0"/>
              <w:marTop w:val="0"/>
              <w:marBottom w:val="0"/>
              <w:divBdr>
                <w:top w:val="none" w:sz="0" w:space="0" w:color="auto"/>
                <w:left w:val="none" w:sz="0" w:space="0" w:color="auto"/>
                <w:bottom w:val="none" w:sz="0" w:space="0" w:color="auto"/>
                <w:right w:val="none" w:sz="0" w:space="0" w:color="auto"/>
              </w:divBdr>
            </w:div>
            <w:div w:id="707070082">
              <w:marLeft w:val="0"/>
              <w:marRight w:val="0"/>
              <w:marTop w:val="0"/>
              <w:marBottom w:val="0"/>
              <w:divBdr>
                <w:top w:val="none" w:sz="0" w:space="0" w:color="auto"/>
                <w:left w:val="none" w:sz="0" w:space="0" w:color="auto"/>
                <w:bottom w:val="none" w:sz="0" w:space="0" w:color="auto"/>
                <w:right w:val="none" w:sz="0" w:space="0" w:color="auto"/>
              </w:divBdr>
            </w:div>
            <w:div w:id="1889680351">
              <w:marLeft w:val="0"/>
              <w:marRight w:val="0"/>
              <w:marTop w:val="0"/>
              <w:marBottom w:val="0"/>
              <w:divBdr>
                <w:top w:val="none" w:sz="0" w:space="0" w:color="auto"/>
                <w:left w:val="none" w:sz="0" w:space="0" w:color="auto"/>
                <w:bottom w:val="none" w:sz="0" w:space="0" w:color="auto"/>
                <w:right w:val="none" w:sz="0" w:space="0" w:color="auto"/>
              </w:divBdr>
            </w:div>
            <w:div w:id="18842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image" Target="media/image5.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image" Target="media/image6.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szzfcg.cn/viewer.do?id=245525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E9550C-1CEB-4160-A01C-848079113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8140</Words>
  <Characters>46401</Characters>
  <Application>Microsoft Office Word</Application>
  <DocSecurity>0</DocSecurity>
  <Lines>386</Lines>
  <Paragraphs>108</Paragraphs>
  <ScaleCrop>false</ScaleCrop>
  <Company>Microsoft</Company>
  <LinksUpToDate>false</LinksUpToDate>
  <CharactersWithSpaces>54433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xb21cn</cp:lastModifiedBy>
  <cp:revision>4</cp:revision>
  <cp:lastPrinted>2018-11-06T09:21:00Z</cp:lastPrinted>
  <dcterms:created xsi:type="dcterms:W3CDTF">2021-04-15T01:50:00Z</dcterms:created>
  <dcterms:modified xsi:type="dcterms:W3CDTF">2021-04-15T05:13:00Z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A498EDD02B17444BAD80BD0A7E1B6043</vt:lpwstr>
  </property>
</Properties>
</file>