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CD7" w:rsidRPr="005E0F22" w:rsidRDefault="0026628E" w:rsidP="00C707AE">
      <w:pPr>
        <w:spacing w:line="360" w:lineRule="auto"/>
        <w:jc w:val="center"/>
        <w:rPr>
          <w:rFonts w:ascii="宋体" w:hAnsi="宋体"/>
          <w:b/>
          <w:sz w:val="32"/>
          <w:szCs w:val="32"/>
        </w:rPr>
      </w:pPr>
      <w:r w:rsidRPr="005E0F22">
        <w:rPr>
          <w:rFonts w:ascii="宋体" w:hAnsi="宋体" w:hint="eastAsia"/>
          <w:b/>
          <w:sz w:val="32"/>
          <w:szCs w:val="32"/>
        </w:rPr>
        <w:t>东莞农村商业银行机房基础设施维保采购项目市场调研</w:t>
      </w:r>
    </w:p>
    <w:p w:rsidR="00C479E2" w:rsidRPr="005E0F22" w:rsidRDefault="00C479E2" w:rsidP="00C707AE">
      <w:pPr>
        <w:spacing w:line="360" w:lineRule="auto"/>
        <w:jc w:val="center"/>
        <w:rPr>
          <w:rFonts w:ascii="宋体" w:hAnsi="宋体"/>
          <w:b/>
          <w:sz w:val="32"/>
          <w:szCs w:val="32"/>
        </w:rPr>
      </w:pPr>
      <w:r w:rsidRPr="005E0F22">
        <w:rPr>
          <w:rFonts w:ascii="宋体" w:hAnsi="宋体" w:hint="eastAsia"/>
          <w:b/>
          <w:sz w:val="32"/>
          <w:szCs w:val="32"/>
        </w:rPr>
        <w:t>项目需求</w:t>
      </w:r>
    </w:p>
    <w:p w:rsidR="00C479E2" w:rsidRPr="005E0F22" w:rsidRDefault="00C479E2" w:rsidP="00697DF5">
      <w:pPr>
        <w:widowControl/>
        <w:spacing w:line="360" w:lineRule="auto"/>
        <w:ind w:firstLineChars="200" w:firstLine="422"/>
        <w:rPr>
          <w:rFonts w:ascii="仿宋_GB2312" w:eastAsia="仿宋_GB2312" w:hAnsi="仿宋_GB2312" w:cs="仿宋_GB2312"/>
          <w:b/>
          <w:bCs/>
          <w:szCs w:val="28"/>
        </w:rPr>
      </w:pPr>
    </w:p>
    <w:p w:rsidR="00C479E2" w:rsidRPr="005E0F22" w:rsidRDefault="00C479E2" w:rsidP="00C479E2">
      <w:pPr>
        <w:widowControl/>
        <w:spacing w:line="360" w:lineRule="auto"/>
        <w:ind w:firstLineChars="200" w:firstLine="482"/>
        <w:rPr>
          <w:rFonts w:asciiTheme="minorEastAsia" w:eastAsiaTheme="minorEastAsia" w:hAnsiTheme="minorEastAsia" w:cs="仿宋_GB2312"/>
          <w:sz w:val="24"/>
        </w:rPr>
      </w:pPr>
      <w:r w:rsidRPr="005E0F22">
        <w:rPr>
          <w:rFonts w:asciiTheme="minorEastAsia" w:eastAsiaTheme="minorEastAsia" w:hAnsiTheme="minorEastAsia" w:cs="仿宋_GB2312"/>
          <w:b/>
          <w:bCs/>
          <w:sz w:val="24"/>
        </w:rPr>
        <w:t>项目名称：</w:t>
      </w:r>
      <w:r w:rsidRPr="005E0F22">
        <w:rPr>
          <w:rFonts w:asciiTheme="minorEastAsia" w:eastAsiaTheme="minorEastAsia" w:hAnsiTheme="minorEastAsia" w:cs="仿宋_GB2312" w:hint="eastAsia"/>
          <w:sz w:val="24"/>
        </w:rPr>
        <w:t>东莞农村商业银行机房基础设施维保采购项目</w:t>
      </w:r>
    </w:p>
    <w:p w:rsidR="00C479E2" w:rsidRPr="005E0F22" w:rsidRDefault="00C479E2" w:rsidP="00C479E2">
      <w:pPr>
        <w:widowControl/>
        <w:spacing w:line="360" w:lineRule="auto"/>
        <w:ind w:firstLineChars="200" w:firstLine="482"/>
        <w:rPr>
          <w:rFonts w:asciiTheme="minorEastAsia" w:eastAsiaTheme="minorEastAsia" w:hAnsiTheme="minorEastAsia" w:cs="仿宋_GB2312"/>
          <w:sz w:val="24"/>
        </w:rPr>
      </w:pPr>
      <w:r w:rsidRPr="005E0F22">
        <w:rPr>
          <w:rFonts w:asciiTheme="minorEastAsia" w:eastAsiaTheme="minorEastAsia" w:hAnsiTheme="minorEastAsia" w:cs="仿宋_GB2312"/>
          <w:b/>
          <w:bCs/>
          <w:sz w:val="24"/>
        </w:rPr>
        <w:t>项目</w:t>
      </w:r>
      <w:r w:rsidR="0058010C" w:rsidRPr="005E0F22">
        <w:rPr>
          <w:rFonts w:asciiTheme="minorEastAsia" w:eastAsiaTheme="minorEastAsia" w:hAnsiTheme="minorEastAsia" w:cs="仿宋_GB2312" w:hint="eastAsia"/>
          <w:b/>
          <w:bCs/>
          <w:sz w:val="24"/>
        </w:rPr>
        <w:t>概算</w:t>
      </w:r>
      <w:r w:rsidRPr="005E0F22">
        <w:rPr>
          <w:rFonts w:asciiTheme="minorEastAsia" w:eastAsiaTheme="minorEastAsia" w:hAnsiTheme="minorEastAsia" w:cs="仿宋_GB2312"/>
          <w:b/>
          <w:bCs/>
          <w:sz w:val="24"/>
        </w:rPr>
        <w:t>：</w:t>
      </w:r>
      <w:r w:rsidRPr="005E0F22">
        <w:rPr>
          <w:rFonts w:asciiTheme="minorEastAsia" w:eastAsiaTheme="minorEastAsia" w:hAnsiTheme="minorEastAsia" w:cs="仿宋_GB2312" w:hint="eastAsia"/>
          <w:bCs/>
          <w:sz w:val="24"/>
        </w:rPr>
        <w:t>人民币</w:t>
      </w:r>
      <w:r w:rsidR="0058010C" w:rsidRPr="005E0F22">
        <w:rPr>
          <w:rFonts w:asciiTheme="minorEastAsia" w:eastAsiaTheme="minorEastAsia" w:hAnsiTheme="minorEastAsia" w:cs="仿宋_GB2312" w:hint="eastAsia"/>
          <w:bCs/>
          <w:sz w:val="24"/>
        </w:rPr>
        <w:t>约</w:t>
      </w:r>
      <w:r w:rsidRPr="005E0F22">
        <w:rPr>
          <w:rFonts w:asciiTheme="minorEastAsia" w:eastAsiaTheme="minorEastAsia" w:hAnsiTheme="minorEastAsia" w:cs="仿宋_GB2312"/>
          <w:sz w:val="24"/>
        </w:rPr>
        <w:t>1</w:t>
      </w:r>
      <w:r w:rsidRPr="005E0F22">
        <w:rPr>
          <w:rFonts w:asciiTheme="minorEastAsia" w:eastAsiaTheme="minorEastAsia" w:hAnsiTheme="minorEastAsia" w:cs="仿宋_GB2312" w:hint="eastAsia"/>
          <w:sz w:val="24"/>
        </w:rPr>
        <w:t>20</w:t>
      </w:r>
      <w:r w:rsidRPr="005E0F22">
        <w:rPr>
          <w:rFonts w:asciiTheme="minorEastAsia" w:eastAsiaTheme="minorEastAsia" w:hAnsiTheme="minorEastAsia" w:cs="仿宋_GB2312"/>
          <w:sz w:val="24"/>
        </w:rPr>
        <w:t>万元</w:t>
      </w:r>
      <w:r w:rsidRPr="005E0F22">
        <w:rPr>
          <w:rFonts w:asciiTheme="minorEastAsia" w:eastAsiaTheme="minorEastAsia" w:hAnsiTheme="minorEastAsia" w:cs="仿宋_GB2312" w:hint="eastAsia"/>
          <w:sz w:val="24"/>
        </w:rPr>
        <w:t>（含税）</w:t>
      </w:r>
    </w:p>
    <w:p w:rsidR="00C479E2" w:rsidRPr="005E0F22" w:rsidRDefault="00C479E2" w:rsidP="003900F9">
      <w:pPr>
        <w:spacing w:line="360" w:lineRule="auto"/>
        <w:rPr>
          <w:rFonts w:ascii="宋体" w:hAnsi="宋体"/>
          <w:b/>
          <w:szCs w:val="21"/>
        </w:rPr>
      </w:pPr>
    </w:p>
    <w:p w:rsidR="00CE7C21" w:rsidRPr="005E0F22" w:rsidRDefault="0026628E" w:rsidP="003900F9">
      <w:pPr>
        <w:spacing w:line="360" w:lineRule="auto"/>
        <w:rPr>
          <w:rFonts w:ascii="宋体" w:hAnsi="宋体"/>
          <w:b/>
          <w:szCs w:val="21"/>
        </w:rPr>
      </w:pPr>
      <w:r w:rsidRPr="005E0F22">
        <w:rPr>
          <w:rFonts w:ascii="宋体" w:hAnsi="宋体" w:hint="eastAsia"/>
          <w:b/>
          <w:szCs w:val="21"/>
        </w:rPr>
        <w:t>一、</w:t>
      </w:r>
      <w:r w:rsidR="00C479E2" w:rsidRPr="005E0F22">
        <w:rPr>
          <w:rFonts w:ascii="宋体" w:hAnsi="宋体" w:hint="eastAsia"/>
          <w:b/>
          <w:szCs w:val="21"/>
        </w:rPr>
        <w:t>招标人概况</w:t>
      </w:r>
    </w:p>
    <w:p w:rsidR="00C479E2" w:rsidRPr="005E0F22" w:rsidRDefault="00C479E2" w:rsidP="00C479E2">
      <w:pPr>
        <w:spacing w:line="360" w:lineRule="auto"/>
        <w:ind w:firstLineChars="200" w:firstLine="420"/>
        <w:rPr>
          <w:rFonts w:ascii="宋体" w:hAnsi="宋体"/>
          <w:szCs w:val="21"/>
        </w:rPr>
      </w:pPr>
      <w:r w:rsidRPr="005E0F22">
        <w:rPr>
          <w:rFonts w:ascii="宋体" w:hAnsi="宋体" w:hint="eastAsia"/>
          <w:szCs w:val="21"/>
        </w:rPr>
        <w:t>东莞农村商业银行是东莞市营业网点最多、业务规模最大的地方性银行金融机构，一级法人，下辖39个一级分支机构，500多个营业网点。为满足业务发展的需要，我行经过多年的持续建设和不断优化，建成了以综合业务系统为核心的业务处理系统群和以管理数据平台（数据仓库）为核心的综合管理信息系统群，实现了各类业务处理的电子化和经营管理信息化，支撑全行业</w:t>
      </w:r>
      <w:proofErr w:type="gramStart"/>
      <w:r w:rsidRPr="005E0F22">
        <w:rPr>
          <w:rFonts w:ascii="宋体" w:hAnsi="宋体" w:hint="eastAsia"/>
          <w:szCs w:val="21"/>
        </w:rPr>
        <w:t>务</w:t>
      </w:r>
      <w:proofErr w:type="gramEnd"/>
      <w:r w:rsidRPr="005E0F22">
        <w:rPr>
          <w:rFonts w:ascii="宋体" w:hAnsi="宋体" w:hint="eastAsia"/>
          <w:szCs w:val="21"/>
        </w:rPr>
        <w:t>运营和经营管理的系统涵盖传统银行业务、支付结算、中间业务、国际结算、银行卡、电子服务渠道、统计报表、信贷管理、稽核监督、绩效考核、办公自动化等多个系统。</w:t>
      </w:r>
    </w:p>
    <w:p w:rsidR="000D3882" w:rsidRPr="005E0F22" w:rsidRDefault="001E7CB5" w:rsidP="003900F9">
      <w:pPr>
        <w:spacing w:line="360" w:lineRule="auto"/>
        <w:rPr>
          <w:rFonts w:ascii="宋体" w:hAnsi="宋体"/>
          <w:b/>
          <w:szCs w:val="21"/>
        </w:rPr>
      </w:pPr>
      <w:r w:rsidRPr="005E0F22">
        <w:rPr>
          <w:rFonts w:ascii="宋体" w:hAnsi="宋体" w:hint="eastAsia"/>
          <w:b/>
          <w:szCs w:val="21"/>
        </w:rPr>
        <w:t>二</w:t>
      </w:r>
      <w:r w:rsidR="000D3882" w:rsidRPr="005E0F22">
        <w:rPr>
          <w:rFonts w:ascii="宋体" w:hAnsi="宋体"/>
          <w:b/>
          <w:szCs w:val="21"/>
        </w:rPr>
        <w:t>、</w:t>
      </w:r>
      <w:r w:rsidR="00C479E2" w:rsidRPr="005E0F22">
        <w:rPr>
          <w:rFonts w:ascii="宋体" w:hAnsi="宋体" w:hint="eastAsia"/>
          <w:b/>
          <w:szCs w:val="21"/>
        </w:rPr>
        <w:t>项目背景</w:t>
      </w:r>
    </w:p>
    <w:p w:rsidR="001C2DAC" w:rsidRPr="005E0F22" w:rsidRDefault="001C2DAC" w:rsidP="001C2DAC">
      <w:pPr>
        <w:pStyle w:val="a9"/>
        <w:spacing w:after="0" w:line="360" w:lineRule="auto"/>
        <w:ind w:firstLineChars="200" w:firstLine="420"/>
        <w:rPr>
          <w:rFonts w:ascii="宋体" w:hAnsi="宋体" w:cs="宋体"/>
          <w:szCs w:val="21"/>
        </w:rPr>
      </w:pPr>
      <w:r w:rsidRPr="005E0F22">
        <w:rPr>
          <w:rFonts w:ascii="宋体" w:hAnsi="宋体" w:cs="宋体" w:hint="eastAsia"/>
          <w:szCs w:val="21"/>
        </w:rPr>
        <w:t>东莞农村商业银行股份有限公司生产数据中心机房始建于2012年，位于东莞市东城区鸿福东路2号裙楼3楼；同城</w:t>
      </w:r>
      <w:proofErr w:type="gramStart"/>
      <w:r w:rsidRPr="005E0F22">
        <w:rPr>
          <w:rFonts w:ascii="宋体" w:hAnsi="宋体" w:cs="宋体" w:hint="eastAsia"/>
          <w:szCs w:val="21"/>
        </w:rPr>
        <w:t>灾备中心</w:t>
      </w:r>
      <w:proofErr w:type="gramEnd"/>
      <w:r w:rsidRPr="005E0F22">
        <w:rPr>
          <w:rFonts w:ascii="宋体" w:hAnsi="宋体" w:cs="宋体" w:hint="eastAsia"/>
          <w:szCs w:val="21"/>
        </w:rPr>
        <w:t>始建于2013年，位于东莞市塘厦镇迎宾大道5号12楼；旗峰路机房位于东莞市莞城街道旗峰路2号。</w:t>
      </w:r>
    </w:p>
    <w:p w:rsidR="001C2DAC" w:rsidRPr="005E0F22" w:rsidRDefault="001C2DAC" w:rsidP="001C2DAC">
      <w:pPr>
        <w:pStyle w:val="a9"/>
        <w:spacing w:after="0" w:line="360" w:lineRule="auto"/>
        <w:ind w:firstLineChars="200" w:firstLine="420"/>
        <w:rPr>
          <w:rFonts w:ascii="宋体" w:hAnsi="宋体" w:cs="宋体"/>
          <w:szCs w:val="21"/>
        </w:rPr>
      </w:pPr>
      <w:r w:rsidRPr="005E0F22">
        <w:rPr>
          <w:rFonts w:ascii="宋体" w:hAnsi="宋体" w:cs="宋体" w:hint="eastAsia"/>
          <w:szCs w:val="21"/>
        </w:rPr>
        <w:t>目前，机房基础</w:t>
      </w:r>
      <w:proofErr w:type="gramStart"/>
      <w:r w:rsidRPr="005E0F22">
        <w:rPr>
          <w:rFonts w:ascii="宋体" w:hAnsi="宋体" w:cs="宋体" w:hint="eastAsia"/>
          <w:szCs w:val="21"/>
        </w:rPr>
        <w:t>设施维保服务</w:t>
      </w:r>
      <w:proofErr w:type="gramEnd"/>
      <w:r w:rsidRPr="005E0F22">
        <w:rPr>
          <w:rFonts w:ascii="宋体" w:hAnsi="宋体" w:cs="宋体" w:hint="eastAsia"/>
          <w:szCs w:val="21"/>
        </w:rPr>
        <w:t>期即将到期，为保障我行数据中心机房业务安全、可靠、稳定运行，延长设备使用寿命，我行决定对生产数据中心、同城</w:t>
      </w:r>
      <w:proofErr w:type="gramStart"/>
      <w:r w:rsidRPr="005E0F22">
        <w:rPr>
          <w:rFonts w:ascii="宋体" w:hAnsi="宋体" w:cs="宋体" w:hint="eastAsia"/>
          <w:szCs w:val="21"/>
        </w:rPr>
        <w:t>灾备中心</w:t>
      </w:r>
      <w:proofErr w:type="gramEnd"/>
      <w:r w:rsidRPr="005E0F22">
        <w:rPr>
          <w:rFonts w:ascii="宋体" w:hAnsi="宋体" w:cs="宋体" w:hint="eastAsia"/>
          <w:szCs w:val="21"/>
        </w:rPr>
        <w:t>以及旗峰路机房</w:t>
      </w:r>
      <w:proofErr w:type="gramStart"/>
      <w:r w:rsidRPr="005E0F22">
        <w:rPr>
          <w:rFonts w:ascii="宋体" w:hAnsi="宋体" w:cs="宋体" w:hint="eastAsia"/>
          <w:szCs w:val="21"/>
        </w:rPr>
        <w:t>采购维保服务</w:t>
      </w:r>
      <w:proofErr w:type="gramEnd"/>
      <w:r w:rsidRPr="005E0F22">
        <w:rPr>
          <w:rFonts w:ascii="宋体" w:hAnsi="宋体" w:cs="宋体" w:hint="eastAsia"/>
          <w:szCs w:val="21"/>
        </w:rPr>
        <w:t>。</w:t>
      </w:r>
      <w:proofErr w:type="gramStart"/>
      <w:r w:rsidR="00115BC4" w:rsidRPr="005E0F22">
        <w:rPr>
          <w:rFonts w:ascii="宋体" w:hAnsi="宋体" w:cs="宋体" w:hint="eastAsia"/>
          <w:szCs w:val="21"/>
        </w:rPr>
        <w:t>维保供应</w:t>
      </w:r>
      <w:proofErr w:type="gramEnd"/>
      <w:r w:rsidR="00115BC4" w:rsidRPr="005E0F22">
        <w:rPr>
          <w:rFonts w:ascii="宋体" w:hAnsi="宋体" w:cs="宋体" w:hint="eastAsia"/>
          <w:szCs w:val="21"/>
        </w:rPr>
        <w:t>商</w:t>
      </w:r>
      <w:r w:rsidRPr="005E0F22">
        <w:rPr>
          <w:rFonts w:ascii="宋体" w:hAnsi="宋体" w:cs="宋体" w:hint="eastAsia"/>
          <w:szCs w:val="21"/>
        </w:rPr>
        <w:t>承担的</w:t>
      </w:r>
      <w:proofErr w:type="gramStart"/>
      <w:r w:rsidRPr="005E0F22">
        <w:rPr>
          <w:rFonts w:ascii="宋体" w:hAnsi="宋体" w:cs="宋体" w:hint="eastAsia"/>
          <w:szCs w:val="21"/>
        </w:rPr>
        <w:t>维保对象</w:t>
      </w:r>
      <w:proofErr w:type="gramEnd"/>
      <w:r w:rsidRPr="005E0F22">
        <w:rPr>
          <w:rFonts w:ascii="宋体" w:hAnsi="宋体" w:cs="宋体" w:hint="eastAsia"/>
          <w:szCs w:val="21"/>
        </w:rPr>
        <w:t>是生产数据中心、同城</w:t>
      </w:r>
      <w:proofErr w:type="gramStart"/>
      <w:r w:rsidRPr="005E0F22">
        <w:rPr>
          <w:rFonts w:ascii="宋体" w:hAnsi="宋体" w:cs="宋体" w:hint="eastAsia"/>
          <w:szCs w:val="21"/>
        </w:rPr>
        <w:t>灾备中心</w:t>
      </w:r>
      <w:proofErr w:type="gramEnd"/>
      <w:r w:rsidRPr="005E0F22">
        <w:rPr>
          <w:rFonts w:ascii="宋体" w:hAnsi="宋体" w:cs="宋体" w:hint="eastAsia"/>
          <w:szCs w:val="21"/>
        </w:rPr>
        <w:t>以及旗峰路机房的配电系统、UPS系统和空调系统。</w:t>
      </w:r>
    </w:p>
    <w:p w:rsidR="00C479E2" w:rsidRPr="005E0F22" w:rsidRDefault="00C479E2" w:rsidP="003900F9">
      <w:pPr>
        <w:spacing w:line="360" w:lineRule="auto"/>
        <w:rPr>
          <w:rFonts w:ascii="宋体" w:hAnsi="宋体"/>
          <w:szCs w:val="21"/>
        </w:rPr>
      </w:pPr>
    </w:p>
    <w:p w:rsidR="000D3882" w:rsidRPr="005E0F22" w:rsidRDefault="000D3882" w:rsidP="003900F9">
      <w:pPr>
        <w:spacing w:line="360" w:lineRule="auto"/>
        <w:rPr>
          <w:rFonts w:ascii="宋体" w:hAnsi="宋体"/>
          <w:b/>
          <w:bCs/>
          <w:szCs w:val="21"/>
        </w:rPr>
      </w:pPr>
      <w:r w:rsidRPr="005E0F22">
        <w:rPr>
          <w:rFonts w:ascii="宋体" w:hAnsi="宋体" w:hint="eastAsia"/>
          <w:b/>
          <w:szCs w:val="21"/>
        </w:rPr>
        <w:t>三</w:t>
      </w:r>
      <w:r w:rsidRPr="005E0F22">
        <w:rPr>
          <w:rFonts w:ascii="宋体" w:hAnsi="宋体"/>
          <w:b/>
          <w:szCs w:val="21"/>
        </w:rPr>
        <w:t>、</w:t>
      </w:r>
      <w:r w:rsidR="001C2DAC" w:rsidRPr="005E0F22">
        <w:rPr>
          <w:rFonts w:ascii="宋体" w:hAnsi="宋体" w:hint="eastAsia"/>
          <w:b/>
          <w:bCs/>
          <w:szCs w:val="21"/>
        </w:rPr>
        <w:t>机房基础设施维保清单</w:t>
      </w:r>
    </w:p>
    <w:p w:rsidR="001C2DAC" w:rsidRPr="005E0F22" w:rsidRDefault="001C2DAC" w:rsidP="001C2DAC">
      <w:pPr>
        <w:pStyle w:val="a9"/>
        <w:spacing w:after="0" w:line="360" w:lineRule="auto"/>
        <w:ind w:firstLineChars="200" w:firstLine="420"/>
        <w:rPr>
          <w:rFonts w:asciiTheme="minorEastAsia" w:eastAsiaTheme="minorEastAsia" w:hAnsiTheme="minorEastAsia" w:cs="宋体"/>
          <w:szCs w:val="21"/>
        </w:rPr>
      </w:pPr>
      <w:r w:rsidRPr="005E0F22">
        <w:rPr>
          <w:rFonts w:asciiTheme="minorEastAsia" w:eastAsiaTheme="minorEastAsia" w:hAnsiTheme="minorEastAsia" w:cs="宋体" w:hint="eastAsia"/>
          <w:szCs w:val="21"/>
        </w:rPr>
        <w:t>东莞农村商业银行股份有限公司生产数据中心于2012年投运，主要机房基础设施包括26台配电柜、16台精密空调和4台不间断电源（UPS）及其配套蓄电池；位于塘厦镇的同城</w:t>
      </w:r>
      <w:proofErr w:type="gramStart"/>
      <w:r w:rsidRPr="005E0F22">
        <w:rPr>
          <w:rFonts w:asciiTheme="minorEastAsia" w:eastAsiaTheme="minorEastAsia" w:hAnsiTheme="minorEastAsia" w:cs="宋体" w:hint="eastAsia"/>
          <w:szCs w:val="21"/>
        </w:rPr>
        <w:t>灾备中心</w:t>
      </w:r>
      <w:proofErr w:type="gramEnd"/>
      <w:r w:rsidRPr="005E0F22">
        <w:rPr>
          <w:rFonts w:asciiTheme="minorEastAsia" w:eastAsiaTheme="minorEastAsia" w:hAnsiTheme="minorEastAsia" w:cs="宋体" w:hint="eastAsia"/>
          <w:szCs w:val="21"/>
        </w:rPr>
        <w:t>于2013年投运，主要基础设施包括12台配电柜、7台精密空调和2台不间断电源（UPS）及其配套蓄电池；位于旗峰路的机房主要基础设施包括2台精密空调和4台不间断电源（UPS）及其配套蓄电池，具体设备清单如下:</w:t>
      </w:r>
    </w:p>
    <w:tbl>
      <w:tblPr>
        <w:tblStyle w:val="a4"/>
        <w:tblW w:w="0" w:type="auto"/>
        <w:tblInd w:w="-176" w:type="dxa"/>
        <w:tblLook w:val="04A0" w:firstRow="1" w:lastRow="0" w:firstColumn="1" w:lastColumn="0" w:noHBand="0" w:noVBand="1"/>
      </w:tblPr>
      <w:tblGrid>
        <w:gridCol w:w="604"/>
        <w:gridCol w:w="1381"/>
        <w:gridCol w:w="1058"/>
        <w:gridCol w:w="1209"/>
        <w:gridCol w:w="2978"/>
        <w:gridCol w:w="851"/>
        <w:gridCol w:w="1044"/>
        <w:gridCol w:w="1019"/>
      </w:tblGrid>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序号</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设施名称</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安装时间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设备品牌</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设备型号</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数量</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备注</w:t>
            </w:r>
          </w:p>
        </w:tc>
        <w:tc>
          <w:tcPr>
            <w:tcW w:w="1019"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使用地点</w:t>
            </w: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ATS切换柜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2018年</w:t>
            </w:r>
          </w:p>
        </w:tc>
        <w:tc>
          <w:tcPr>
            <w:tcW w:w="1209"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雅华电气</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GCL</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restart"/>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生产数据中心</w:t>
            </w: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馈电柜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2018年</w:t>
            </w:r>
          </w:p>
        </w:tc>
        <w:tc>
          <w:tcPr>
            <w:tcW w:w="1209"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雅华电气</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GCL</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lastRenderedPageBreak/>
              <w:t>3</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ATS切换柜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雅华电气</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BLOCKSET</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3</w:t>
            </w:r>
          </w:p>
        </w:tc>
        <w:tc>
          <w:tcPr>
            <w:tcW w:w="1044"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4</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馈电柜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雅华电气</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BLOCKSET</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5</w:t>
            </w:r>
          </w:p>
        </w:tc>
        <w:tc>
          <w:tcPr>
            <w:tcW w:w="1044"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5</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精密配电柜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spacing w:line="360" w:lineRule="auto"/>
              <w:jc w:val="center"/>
              <w:rPr>
                <w:rFonts w:asciiTheme="minorEastAsia" w:eastAsiaTheme="minorEastAsia" w:hAnsiTheme="minorEastAsia"/>
                <w:szCs w:val="21"/>
              </w:rPr>
            </w:pPr>
            <w:r w:rsidRPr="005E0F22">
              <w:rPr>
                <w:rFonts w:asciiTheme="minorEastAsia" w:eastAsiaTheme="minorEastAsia" w:hAnsiTheme="minorEastAsia" w:cs="宋体" w:hint="eastAsia"/>
                <w:kern w:val="0"/>
                <w:szCs w:val="21"/>
              </w:rPr>
              <w:t>雅华电气</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PRISMA</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15</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6</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Liebert NXr 200kVA</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4</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b/>
                <w:kern w:val="0"/>
                <w:szCs w:val="21"/>
              </w:rPr>
            </w:pPr>
            <w:r w:rsidRPr="005E0F22">
              <w:rPr>
                <w:rFonts w:asciiTheme="minorEastAsia" w:eastAsiaTheme="minorEastAsia" w:hAnsiTheme="minorEastAsia" w:cs="宋体" w:hint="eastAsia"/>
                <w:b/>
                <w:kern w:val="0"/>
                <w:szCs w:val="21"/>
              </w:rPr>
              <w:t>原厂</w:t>
            </w:r>
          </w:p>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b/>
                <w:kern w:val="0"/>
                <w:szCs w:val="21"/>
              </w:rPr>
              <w:t>服务</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7</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UPS配套蓄电池</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2019年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松下</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LC-QA12110/100AH（10HR）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640</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电池巡检维护</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8</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P2045FAPMS1R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10</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9</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2012年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P2040FARMS1R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4</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10</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2017年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P2070FARMP1R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11</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ATS切换柜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proofErr w:type="gramStart"/>
            <w:r w:rsidRPr="005E0F22">
              <w:rPr>
                <w:rFonts w:asciiTheme="minorEastAsia" w:eastAsiaTheme="minorEastAsia" w:hAnsiTheme="minorEastAsia" w:cs="宋体" w:hint="eastAsia"/>
                <w:kern w:val="0"/>
                <w:szCs w:val="21"/>
              </w:rPr>
              <w:t>泰昂</w:t>
            </w:r>
            <w:proofErr w:type="gramEnd"/>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GQH</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restart"/>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同城</w:t>
            </w:r>
            <w:proofErr w:type="gramStart"/>
            <w:r w:rsidRPr="005E0F22">
              <w:rPr>
                <w:rFonts w:asciiTheme="minorEastAsia" w:eastAsiaTheme="minorEastAsia" w:hAnsiTheme="minorEastAsia" w:cs="宋体" w:hint="eastAsia"/>
                <w:kern w:val="0"/>
                <w:szCs w:val="21"/>
              </w:rPr>
              <w:t>灾备中心</w:t>
            </w:r>
            <w:proofErr w:type="gramEnd"/>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12</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馈电柜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proofErr w:type="gramStart"/>
            <w:r w:rsidRPr="005E0F22">
              <w:rPr>
                <w:rFonts w:asciiTheme="minorEastAsia" w:eastAsiaTheme="minorEastAsia" w:hAnsiTheme="minorEastAsia" w:cs="宋体" w:hint="eastAsia"/>
                <w:kern w:val="0"/>
                <w:szCs w:val="21"/>
              </w:rPr>
              <w:t>泰昂</w:t>
            </w:r>
            <w:proofErr w:type="gramEnd"/>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GQH</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5</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13</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精密配电柜</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proofErr w:type="gramStart"/>
            <w:r w:rsidRPr="005E0F22">
              <w:rPr>
                <w:rFonts w:asciiTheme="minorEastAsia" w:eastAsiaTheme="minorEastAsia" w:hAnsiTheme="minorEastAsia" w:cs="宋体" w:hint="eastAsia"/>
                <w:kern w:val="0"/>
                <w:szCs w:val="21"/>
              </w:rPr>
              <w:t>泰昂</w:t>
            </w:r>
            <w:proofErr w:type="gramEnd"/>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SPC</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6</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14</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梅兰日兰</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GALAXY 5000 100kVA</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15</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UPS配套蓄电池</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2021年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汤浅</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NPL100-12/100AH（10HR）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240</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电池巡检维护</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16</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P2040FARMS1R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5</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17</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P1020FARMP1R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ign w:val="center"/>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18</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2008年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UL33-0300L/30kVA</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val="restart"/>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旗峰路机房</w:t>
            </w: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19</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2008年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艾默生</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UL33-0400L/40kVA</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UPS配套蓄电池</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2021年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汤浅</w:t>
            </w:r>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NPL100-12/100AH（10HR）</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240</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电池巡检维护</w:t>
            </w:r>
          </w:p>
        </w:tc>
        <w:tc>
          <w:tcPr>
            <w:tcW w:w="1019" w:type="dxa"/>
            <w:vMerge/>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21</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2010年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proofErr w:type="gramStart"/>
            <w:r w:rsidRPr="005E0F22">
              <w:rPr>
                <w:rFonts w:asciiTheme="minorEastAsia" w:eastAsiaTheme="minorEastAsia" w:hAnsiTheme="minorEastAsia" w:cs="宋体" w:hint="eastAsia"/>
                <w:kern w:val="0"/>
                <w:szCs w:val="21"/>
              </w:rPr>
              <w:t>海络斯</w:t>
            </w:r>
            <w:proofErr w:type="gramEnd"/>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P07VA001VH00020FHS2L03606</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60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22</w:t>
            </w:r>
          </w:p>
        </w:tc>
        <w:tc>
          <w:tcPr>
            <w:tcW w:w="138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精密空调</w:t>
            </w:r>
          </w:p>
        </w:tc>
        <w:tc>
          <w:tcPr>
            <w:tcW w:w="105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2008年</w:t>
            </w:r>
          </w:p>
        </w:tc>
        <w:tc>
          <w:tcPr>
            <w:tcW w:w="1209"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proofErr w:type="gramStart"/>
            <w:r w:rsidRPr="005E0F22">
              <w:rPr>
                <w:rFonts w:asciiTheme="minorEastAsia" w:eastAsiaTheme="minorEastAsia" w:hAnsiTheme="minorEastAsia" w:cs="宋体" w:hint="eastAsia"/>
                <w:kern w:val="0"/>
                <w:szCs w:val="21"/>
              </w:rPr>
              <w:t>海络斯</w:t>
            </w:r>
            <w:proofErr w:type="gramEnd"/>
          </w:p>
        </w:tc>
        <w:tc>
          <w:tcPr>
            <w:tcW w:w="2978"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P06VA001VH00110F2</w:t>
            </w:r>
          </w:p>
        </w:tc>
        <w:tc>
          <w:tcPr>
            <w:tcW w:w="851"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w:t>
            </w:r>
          </w:p>
        </w:tc>
        <w:tc>
          <w:tcPr>
            <w:tcW w:w="1044" w:type="dxa"/>
            <w:vAlign w:val="center"/>
          </w:tcPr>
          <w:p w:rsidR="001C2DAC" w:rsidRPr="005E0F22" w:rsidRDefault="001C2DAC" w:rsidP="001C2DAC">
            <w:pPr>
              <w:widowControl/>
              <w:spacing w:line="360" w:lineRule="auto"/>
              <w:jc w:val="center"/>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全保</w:t>
            </w:r>
          </w:p>
        </w:tc>
        <w:tc>
          <w:tcPr>
            <w:tcW w:w="1019" w:type="dxa"/>
            <w:vMerge/>
          </w:tcPr>
          <w:p w:rsidR="001C2DAC" w:rsidRPr="005E0F22" w:rsidRDefault="001C2DAC" w:rsidP="001C2DAC">
            <w:pPr>
              <w:pStyle w:val="a9"/>
              <w:spacing w:after="0" w:line="360" w:lineRule="auto"/>
              <w:rPr>
                <w:rFonts w:asciiTheme="minorEastAsia" w:eastAsiaTheme="minorEastAsia" w:hAnsiTheme="minorEastAsia" w:cs="宋体"/>
                <w:szCs w:val="21"/>
              </w:rPr>
            </w:pPr>
          </w:p>
        </w:tc>
      </w:tr>
      <w:tr w:rsidR="005E0F22" w:rsidRPr="005E0F22" w:rsidTr="001C2DAC">
        <w:tc>
          <w:tcPr>
            <w:tcW w:w="10144" w:type="dxa"/>
            <w:gridSpan w:val="8"/>
            <w:vAlign w:val="center"/>
          </w:tcPr>
          <w:p w:rsidR="001C2DAC" w:rsidRPr="005E0F22" w:rsidRDefault="001C2DAC" w:rsidP="001C2DAC">
            <w:pPr>
              <w:widowControl/>
              <w:spacing w:line="360" w:lineRule="auto"/>
              <w:jc w:val="left"/>
              <w:rPr>
                <w:rFonts w:asciiTheme="minorEastAsia" w:eastAsiaTheme="minorEastAsia" w:hAnsiTheme="minorEastAsia" w:cs="宋体"/>
                <w:kern w:val="0"/>
                <w:szCs w:val="21"/>
              </w:rPr>
            </w:pPr>
            <w:r w:rsidRPr="005E0F22">
              <w:rPr>
                <w:rFonts w:asciiTheme="minorEastAsia" w:eastAsiaTheme="minorEastAsia" w:hAnsiTheme="minorEastAsia" w:cs="宋体"/>
                <w:kern w:val="0"/>
                <w:szCs w:val="21"/>
              </w:rPr>
              <w:t>备注</w:t>
            </w:r>
            <w:r w:rsidRPr="005E0F22">
              <w:rPr>
                <w:rFonts w:asciiTheme="minorEastAsia" w:eastAsiaTheme="minorEastAsia" w:hAnsiTheme="minorEastAsia" w:cs="宋体" w:hint="eastAsia"/>
                <w:kern w:val="0"/>
                <w:szCs w:val="21"/>
              </w:rPr>
              <w:t>：</w:t>
            </w:r>
          </w:p>
          <w:p w:rsidR="001C2DAC" w:rsidRPr="005E0F22" w:rsidRDefault="001C2DAC" w:rsidP="001C2DAC">
            <w:pPr>
              <w:widowControl/>
              <w:spacing w:line="360" w:lineRule="auto"/>
              <w:jc w:val="left"/>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1、全保指</w:t>
            </w:r>
            <w:r w:rsidR="00833E0B" w:rsidRPr="005E0F22">
              <w:rPr>
                <w:rFonts w:asciiTheme="minorEastAsia" w:eastAsiaTheme="minorEastAsia" w:hAnsiTheme="minorEastAsia" w:cs="宋体" w:hint="eastAsia"/>
                <w:kern w:val="0"/>
                <w:szCs w:val="21"/>
              </w:rPr>
              <w:t>维保</w:t>
            </w:r>
            <w:r w:rsidRPr="005E0F22">
              <w:rPr>
                <w:rFonts w:asciiTheme="minorEastAsia" w:eastAsiaTheme="minorEastAsia" w:hAnsiTheme="minorEastAsia" w:cs="宋体" w:hint="eastAsia"/>
                <w:kern w:val="0"/>
                <w:szCs w:val="21"/>
              </w:rPr>
              <w:t>供应商为保障设备正常运行提供（包括但不限于）配件更换、维修维保、安全检测等全包服务。</w:t>
            </w:r>
          </w:p>
          <w:p w:rsidR="001C2DAC" w:rsidRPr="005E0F22" w:rsidRDefault="001C2DAC" w:rsidP="001C2DAC">
            <w:pPr>
              <w:widowControl/>
              <w:spacing w:line="360" w:lineRule="auto"/>
              <w:jc w:val="left"/>
              <w:rPr>
                <w:rFonts w:asciiTheme="minorEastAsia" w:eastAsiaTheme="minorEastAsia" w:hAnsiTheme="minorEastAsia" w:cs="宋体"/>
                <w:kern w:val="0"/>
                <w:szCs w:val="21"/>
              </w:rPr>
            </w:pPr>
            <w:r w:rsidRPr="005E0F22">
              <w:rPr>
                <w:rFonts w:asciiTheme="minorEastAsia" w:eastAsiaTheme="minorEastAsia" w:hAnsiTheme="minorEastAsia" w:cs="宋体" w:hint="eastAsia"/>
                <w:kern w:val="0"/>
                <w:szCs w:val="21"/>
              </w:rPr>
              <w:t>2、合同期内UPS配套蓄电池故障总数不超5个时</w:t>
            </w:r>
            <w:r w:rsidR="00833E0B" w:rsidRPr="005E0F22">
              <w:rPr>
                <w:rFonts w:asciiTheme="minorEastAsia" w:eastAsiaTheme="minorEastAsia" w:hAnsiTheme="minorEastAsia" w:cs="宋体" w:hint="eastAsia"/>
                <w:kern w:val="0"/>
                <w:szCs w:val="21"/>
              </w:rPr>
              <w:t>维保供应商</w:t>
            </w:r>
            <w:r w:rsidRPr="005E0F22">
              <w:rPr>
                <w:rFonts w:asciiTheme="minorEastAsia" w:eastAsiaTheme="minorEastAsia" w:hAnsiTheme="minorEastAsia" w:cs="宋体" w:hint="eastAsia"/>
                <w:kern w:val="0"/>
                <w:szCs w:val="21"/>
              </w:rPr>
              <w:t>免费更换，超出5个时超出部分由招标人采购蓄电池，</w:t>
            </w:r>
            <w:r w:rsidR="00833E0B" w:rsidRPr="005E0F22">
              <w:rPr>
                <w:rFonts w:asciiTheme="minorEastAsia" w:eastAsiaTheme="minorEastAsia" w:hAnsiTheme="minorEastAsia" w:cs="宋体" w:hint="eastAsia"/>
                <w:kern w:val="0"/>
                <w:szCs w:val="21"/>
              </w:rPr>
              <w:t>维保</w:t>
            </w:r>
            <w:r w:rsidRPr="005E0F22">
              <w:rPr>
                <w:rFonts w:asciiTheme="minorEastAsia" w:eastAsiaTheme="minorEastAsia" w:hAnsiTheme="minorEastAsia" w:cs="宋体" w:hint="eastAsia"/>
                <w:kern w:val="0"/>
                <w:szCs w:val="21"/>
              </w:rPr>
              <w:t>供应商负责更换。</w:t>
            </w:r>
          </w:p>
          <w:p w:rsidR="001C2DAC" w:rsidRPr="005E0F22" w:rsidRDefault="001C2DAC" w:rsidP="001C2DAC">
            <w:pPr>
              <w:pStyle w:val="a9"/>
              <w:spacing w:after="0" w:line="360" w:lineRule="auto"/>
              <w:rPr>
                <w:rFonts w:asciiTheme="minorEastAsia" w:eastAsiaTheme="minorEastAsia" w:hAnsiTheme="minorEastAsia" w:cs="宋体"/>
                <w:szCs w:val="21"/>
              </w:rPr>
            </w:pPr>
            <w:r w:rsidRPr="005E0F22">
              <w:rPr>
                <w:rFonts w:asciiTheme="minorEastAsia" w:eastAsiaTheme="minorEastAsia" w:hAnsiTheme="minorEastAsia" w:cs="宋体" w:hint="eastAsia"/>
                <w:kern w:val="0"/>
                <w:szCs w:val="21"/>
              </w:rPr>
              <w:t>3、精密空调每年更换不少于两次空气过滤网。</w:t>
            </w:r>
          </w:p>
        </w:tc>
      </w:tr>
    </w:tbl>
    <w:p w:rsidR="001C2DAC" w:rsidRPr="005E0F22" w:rsidRDefault="001C2DAC" w:rsidP="001C2DAC">
      <w:pPr>
        <w:pStyle w:val="a9"/>
        <w:spacing w:after="0" w:line="360" w:lineRule="auto"/>
        <w:ind w:firstLineChars="200" w:firstLine="420"/>
        <w:rPr>
          <w:rFonts w:asciiTheme="minorEastAsia" w:eastAsiaTheme="minorEastAsia" w:hAnsiTheme="minorEastAsia" w:cs="宋体"/>
          <w:szCs w:val="21"/>
        </w:rPr>
      </w:pPr>
    </w:p>
    <w:p w:rsidR="001C2DAC" w:rsidRPr="005E0F22" w:rsidRDefault="00AF5E80" w:rsidP="001C2DAC">
      <w:pPr>
        <w:spacing w:line="360" w:lineRule="auto"/>
        <w:rPr>
          <w:rFonts w:ascii="宋体" w:hAnsi="宋体" w:cs="宋体"/>
          <w:b/>
          <w:bCs/>
          <w:szCs w:val="21"/>
        </w:rPr>
      </w:pPr>
      <w:r w:rsidRPr="005E0F22">
        <w:rPr>
          <w:rFonts w:ascii="宋体" w:hAnsi="宋体" w:hint="eastAsia"/>
          <w:b/>
          <w:bCs/>
          <w:szCs w:val="21"/>
        </w:rPr>
        <w:lastRenderedPageBreak/>
        <w:t>四、</w:t>
      </w:r>
      <w:r w:rsidR="001C2DAC" w:rsidRPr="005E0F22">
        <w:rPr>
          <w:rFonts w:ascii="宋体" w:hAnsi="宋体" w:cs="宋体" w:hint="eastAsia"/>
          <w:b/>
          <w:bCs/>
          <w:szCs w:val="21"/>
        </w:rPr>
        <w:t>其他要求</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（一）维保目标要求</w:t>
      </w:r>
    </w:p>
    <w:p w:rsidR="001C2DAC" w:rsidRPr="005E0F22" w:rsidRDefault="00833E0B" w:rsidP="001C2DAC">
      <w:pPr>
        <w:spacing w:line="360" w:lineRule="auto"/>
        <w:ind w:firstLineChars="250" w:firstLine="525"/>
        <w:rPr>
          <w:rFonts w:ascii="宋体" w:hAnsi="宋体" w:cs="宋体"/>
          <w:szCs w:val="21"/>
        </w:rPr>
      </w:pPr>
      <w:r w:rsidRPr="005E0F22">
        <w:rPr>
          <w:rFonts w:asciiTheme="minorEastAsia" w:eastAsiaTheme="minorEastAsia" w:hAnsiTheme="minorEastAsia" w:cs="宋体" w:hint="eastAsia"/>
          <w:kern w:val="0"/>
          <w:szCs w:val="21"/>
        </w:rPr>
        <w:t>维保供应商</w:t>
      </w:r>
      <w:r w:rsidR="001C2DAC" w:rsidRPr="005E0F22">
        <w:rPr>
          <w:rFonts w:ascii="宋体" w:hAnsi="宋体" w:cs="宋体" w:hint="eastAsia"/>
          <w:szCs w:val="21"/>
        </w:rPr>
        <w:t>除了提供正常的设备维护工作外，还需通过本次维护服务，确保机房能长期稳定、可靠、安全运行，保障核心业务不中断，延长主要设备的使用寿命；合理评估机房现有基础设施中不规范、不合理、不安全等风险，提出相应解决方案并配合实施；及时响应维保服务范围内所有设备的运行故障，并采取高效应急措施及合理故障排查手段解决。</w:t>
      </w:r>
    </w:p>
    <w:p w:rsidR="001C2DAC" w:rsidRPr="005E0F22" w:rsidRDefault="00833E0B" w:rsidP="001C2DAC">
      <w:pPr>
        <w:spacing w:line="360" w:lineRule="auto"/>
        <w:ind w:firstLineChars="250" w:firstLine="525"/>
        <w:rPr>
          <w:rFonts w:ascii="宋体" w:hAnsi="宋体" w:cs="宋体"/>
          <w:szCs w:val="21"/>
        </w:rPr>
      </w:pPr>
      <w:r w:rsidRPr="005E0F22">
        <w:rPr>
          <w:rFonts w:asciiTheme="minorEastAsia" w:eastAsiaTheme="minorEastAsia" w:hAnsiTheme="minorEastAsia" w:cs="宋体" w:hint="eastAsia"/>
          <w:kern w:val="0"/>
          <w:szCs w:val="21"/>
        </w:rPr>
        <w:t>维保供应商</w:t>
      </w:r>
      <w:r w:rsidR="001C2DAC" w:rsidRPr="005E0F22">
        <w:rPr>
          <w:rFonts w:ascii="宋体" w:hAnsi="宋体" w:cs="宋体" w:hint="eastAsia"/>
          <w:szCs w:val="21"/>
        </w:rPr>
        <w:t>需承担整体机房配电系统、UPS系统和空调系统的运维服务，负责维保清单内所有设备的损坏硬件、易损件、以及耗材的维修和更换。所有费用均含在本项目报价内，同时提供以下服务：</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（1）制定相关维护服务规范制度；</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（2）熟悉并评估机房运行状态，提供合理化改善建议；</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（3）采取有效维护措施，保障机房和业务系统正常运行；</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（4）建立完善的突发事件处理流程和应急预案；</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（5）针对故障事件</w:t>
      </w:r>
      <w:proofErr w:type="gramStart"/>
      <w:r w:rsidRPr="005E0F22">
        <w:rPr>
          <w:rFonts w:ascii="宋体" w:hAnsi="宋体" w:cs="宋体" w:hint="eastAsia"/>
          <w:szCs w:val="21"/>
        </w:rPr>
        <w:t>确保第</w:t>
      </w:r>
      <w:proofErr w:type="gramEnd"/>
      <w:r w:rsidRPr="005E0F22">
        <w:rPr>
          <w:rFonts w:ascii="宋体" w:hAnsi="宋体" w:cs="宋体" w:hint="eastAsia"/>
          <w:szCs w:val="21"/>
        </w:rPr>
        <w:t>一时间响应和处理，并提供</w:t>
      </w:r>
      <w:proofErr w:type="gramStart"/>
      <w:r w:rsidRPr="005E0F22">
        <w:rPr>
          <w:rFonts w:ascii="宋体" w:hAnsi="宋体" w:cs="宋体" w:hint="eastAsia"/>
          <w:szCs w:val="21"/>
        </w:rPr>
        <w:t>详细维护</w:t>
      </w:r>
      <w:proofErr w:type="gramEnd"/>
      <w:r w:rsidRPr="005E0F22">
        <w:rPr>
          <w:rFonts w:ascii="宋体" w:hAnsi="宋体" w:cs="宋体" w:hint="eastAsia"/>
          <w:szCs w:val="21"/>
        </w:rPr>
        <w:t>报告；</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（6）</w:t>
      </w:r>
      <w:proofErr w:type="gramStart"/>
      <w:r w:rsidRPr="005E0F22">
        <w:rPr>
          <w:rFonts w:ascii="宋体" w:hAnsi="宋体" w:cs="宋体" w:hint="eastAsia"/>
          <w:szCs w:val="21"/>
        </w:rPr>
        <w:t>每两月</w:t>
      </w:r>
      <w:proofErr w:type="gramEnd"/>
      <w:r w:rsidRPr="005E0F22">
        <w:rPr>
          <w:rFonts w:ascii="宋体" w:hAnsi="宋体" w:cs="宋体" w:hint="eastAsia"/>
          <w:szCs w:val="21"/>
        </w:rPr>
        <w:t>提供一次现场巡检与维护服务（具体时间安排由</w:t>
      </w:r>
      <w:r w:rsidR="00697DF5" w:rsidRPr="005E0F22">
        <w:rPr>
          <w:rFonts w:ascii="宋体" w:hAnsi="宋体" w:cs="宋体" w:hint="eastAsia"/>
          <w:szCs w:val="21"/>
        </w:rPr>
        <w:t>招标人</w:t>
      </w:r>
      <w:r w:rsidRPr="005E0F22">
        <w:rPr>
          <w:rFonts w:ascii="宋体" w:hAnsi="宋体" w:cs="宋体" w:hint="eastAsia"/>
          <w:szCs w:val="21"/>
        </w:rPr>
        <w:t>确定），并提供巡检报告，汇报任何异常情况，提出相关整改建议及解决方案。维保服务期限内每年提供一份总结报告，评估各数据中心机房的运行情况，并提出改进建议。</w:t>
      </w:r>
    </w:p>
    <w:p w:rsidR="001C2DAC" w:rsidRPr="005E0F22" w:rsidRDefault="001C2DAC" w:rsidP="001C2DAC">
      <w:pPr>
        <w:spacing w:line="360" w:lineRule="auto"/>
        <w:ind w:firstLineChars="250" w:firstLine="525"/>
        <w:rPr>
          <w:rFonts w:ascii="宋体" w:hAnsi="宋体" w:cs="宋体"/>
          <w:szCs w:val="21"/>
        </w:rPr>
      </w:pPr>
      <w:r w:rsidRPr="005E0F22">
        <w:rPr>
          <w:rFonts w:ascii="宋体" w:hAnsi="宋体" w:cs="宋体" w:hint="eastAsia"/>
          <w:szCs w:val="21"/>
        </w:rPr>
        <w:t>（二）人员配备要求</w:t>
      </w:r>
    </w:p>
    <w:tbl>
      <w:tblPr>
        <w:tblW w:w="9639" w:type="dxa"/>
        <w:tblInd w:w="108" w:type="dxa"/>
        <w:tblLook w:val="04A0" w:firstRow="1" w:lastRow="0" w:firstColumn="1" w:lastColumn="0" w:noHBand="0" w:noVBand="1"/>
      </w:tblPr>
      <w:tblGrid>
        <w:gridCol w:w="709"/>
        <w:gridCol w:w="2835"/>
        <w:gridCol w:w="851"/>
        <w:gridCol w:w="5244"/>
      </w:tblGrid>
      <w:tr w:rsidR="005E0F22" w:rsidRPr="005E0F22" w:rsidTr="000A0DD4">
        <w:trPr>
          <w:trHeight w:val="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b/>
                <w:kern w:val="0"/>
                <w:szCs w:val="21"/>
              </w:rPr>
            </w:pPr>
            <w:r w:rsidRPr="005E0F22">
              <w:rPr>
                <w:rFonts w:asciiTheme="minorEastAsia" w:hAnsiTheme="minorEastAsia" w:cs="宋体" w:hint="eastAsia"/>
                <w:b/>
                <w:kern w:val="0"/>
                <w:szCs w:val="21"/>
              </w:rPr>
              <w:t>序号</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b/>
                <w:kern w:val="0"/>
                <w:szCs w:val="21"/>
              </w:rPr>
            </w:pPr>
            <w:r w:rsidRPr="005E0F22">
              <w:rPr>
                <w:rFonts w:asciiTheme="minorEastAsia" w:hAnsiTheme="minorEastAsia" w:cs="宋体" w:hint="eastAsia"/>
                <w:b/>
                <w:kern w:val="0"/>
                <w:szCs w:val="21"/>
              </w:rPr>
              <w:t>岗位名称</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b/>
                <w:kern w:val="0"/>
                <w:szCs w:val="21"/>
              </w:rPr>
            </w:pPr>
            <w:r w:rsidRPr="005E0F22">
              <w:rPr>
                <w:rFonts w:asciiTheme="minorEastAsia" w:hAnsiTheme="minorEastAsia" w:cs="宋体" w:hint="eastAsia"/>
                <w:b/>
                <w:kern w:val="0"/>
                <w:szCs w:val="21"/>
              </w:rPr>
              <w:t>人数</w:t>
            </w:r>
          </w:p>
        </w:tc>
        <w:tc>
          <w:tcPr>
            <w:tcW w:w="5244"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b/>
                <w:kern w:val="0"/>
                <w:szCs w:val="21"/>
              </w:rPr>
            </w:pPr>
            <w:r w:rsidRPr="005E0F22">
              <w:rPr>
                <w:rFonts w:asciiTheme="minorEastAsia" w:hAnsiTheme="minorEastAsia" w:cs="宋体" w:hint="eastAsia"/>
                <w:b/>
                <w:kern w:val="0"/>
                <w:szCs w:val="21"/>
              </w:rPr>
              <w:t>人员要求</w:t>
            </w:r>
          </w:p>
        </w:tc>
      </w:tr>
      <w:tr w:rsidR="005E0F22" w:rsidRPr="005E0F22" w:rsidTr="000A0DD4">
        <w:trPr>
          <w:trHeight w:val="34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1</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项目技术负责人</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1人</w:t>
            </w:r>
          </w:p>
        </w:tc>
        <w:tc>
          <w:tcPr>
            <w:tcW w:w="5244" w:type="dxa"/>
            <w:tcBorders>
              <w:top w:val="single" w:sz="4" w:space="0" w:color="auto"/>
              <w:left w:val="nil"/>
              <w:bottom w:val="single" w:sz="4" w:space="0" w:color="auto"/>
              <w:right w:val="single" w:sz="4" w:space="0" w:color="auto"/>
            </w:tcBorders>
            <w:shd w:val="clear" w:color="auto" w:fill="auto"/>
            <w:noWrap/>
            <w:hideMark/>
          </w:tcPr>
          <w:p w:rsidR="001C2DAC" w:rsidRPr="005E0F22" w:rsidRDefault="001C2DAC" w:rsidP="001C2DAC">
            <w:pPr>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至少具备机电相关工程师证、技师证或职业资格证书其中一项。</w:t>
            </w:r>
          </w:p>
        </w:tc>
      </w:tr>
      <w:tr w:rsidR="005E0F22" w:rsidRPr="005E0F22" w:rsidTr="000A0DD4">
        <w:trPr>
          <w:trHeight w:val="70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2</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精密空调维保</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2人</w:t>
            </w:r>
          </w:p>
        </w:tc>
        <w:tc>
          <w:tcPr>
            <w:tcW w:w="5244"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spacing w:line="360" w:lineRule="auto"/>
              <w:jc w:val="center"/>
              <w:rPr>
                <w:rFonts w:asciiTheme="minorEastAsia" w:hAnsiTheme="minorEastAsia"/>
                <w:szCs w:val="21"/>
              </w:rPr>
            </w:pPr>
            <w:r w:rsidRPr="005E0F22">
              <w:rPr>
                <w:rFonts w:asciiTheme="minorEastAsia" w:hAnsiTheme="minorEastAsia" w:cs="宋体" w:hint="eastAsia"/>
                <w:kern w:val="0"/>
                <w:szCs w:val="21"/>
              </w:rPr>
              <w:t>空调工程师，具有空调</w:t>
            </w:r>
            <w:proofErr w:type="gramStart"/>
            <w:r w:rsidRPr="005E0F22">
              <w:rPr>
                <w:rFonts w:asciiTheme="minorEastAsia" w:hAnsiTheme="minorEastAsia" w:cs="宋体" w:hint="eastAsia"/>
                <w:kern w:val="0"/>
                <w:szCs w:val="21"/>
              </w:rPr>
              <w:t>维修上岗</w:t>
            </w:r>
            <w:proofErr w:type="gramEnd"/>
            <w:r w:rsidRPr="005E0F22">
              <w:rPr>
                <w:rFonts w:asciiTheme="minorEastAsia" w:hAnsiTheme="minorEastAsia" w:cs="宋体" w:hint="eastAsia"/>
                <w:kern w:val="0"/>
                <w:szCs w:val="21"/>
              </w:rPr>
              <w:t>证。</w:t>
            </w:r>
          </w:p>
        </w:tc>
      </w:tr>
      <w:tr w:rsidR="005E0F22" w:rsidRPr="005E0F22" w:rsidTr="000A0DD4">
        <w:trPr>
          <w:trHeight w:val="68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3</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UPS系统及配电系统维保</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widowControl/>
              <w:spacing w:line="360" w:lineRule="auto"/>
              <w:jc w:val="center"/>
              <w:rPr>
                <w:rFonts w:asciiTheme="minorEastAsia" w:hAnsiTheme="minorEastAsia" w:cs="宋体"/>
                <w:kern w:val="0"/>
                <w:szCs w:val="21"/>
              </w:rPr>
            </w:pPr>
            <w:r w:rsidRPr="005E0F22">
              <w:rPr>
                <w:rFonts w:asciiTheme="minorEastAsia" w:hAnsiTheme="minorEastAsia" w:cs="宋体" w:hint="eastAsia"/>
                <w:kern w:val="0"/>
                <w:szCs w:val="21"/>
              </w:rPr>
              <w:t>2人</w:t>
            </w:r>
          </w:p>
        </w:tc>
        <w:tc>
          <w:tcPr>
            <w:tcW w:w="5244" w:type="dxa"/>
            <w:tcBorders>
              <w:top w:val="single" w:sz="4" w:space="0" w:color="auto"/>
              <w:left w:val="nil"/>
              <w:bottom w:val="single" w:sz="4" w:space="0" w:color="auto"/>
              <w:right w:val="single" w:sz="4" w:space="0" w:color="auto"/>
            </w:tcBorders>
            <w:shd w:val="clear" w:color="auto" w:fill="auto"/>
            <w:noWrap/>
            <w:vAlign w:val="center"/>
            <w:hideMark/>
          </w:tcPr>
          <w:p w:rsidR="001C2DAC" w:rsidRPr="005E0F22" w:rsidRDefault="001C2DAC" w:rsidP="001C2DAC">
            <w:pPr>
              <w:spacing w:line="360" w:lineRule="auto"/>
              <w:jc w:val="center"/>
              <w:rPr>
                <w:rFonts w:asciiTheme="minorEastAsia" w:hAnsiTheme="minorEastAsia"/>
                <w:szCs w:val="21"/>
              </w:rPr>
            </w:pPr>
            <w:r w:rsidRPr="005E0F22">
              <w:rPr>
                <w:rFonts w:asciiTheme="minorEastAsia" w:hAnsiTheme="minorEastAsia" w:cs="宋体" w:hint="eastAsia"/>
                <w:kern w:val="0"/>
                <w:szCs w:val="21"/>
              </w:rPr>
              <w:t>电气工程师，具有电工证。</w:t>
            </w:r>
          </w:p>
        </w:tc>
      </w:tr>
    </w:tbl>
    <w:p w:rsidR="006E028B" w:rsidRPr="005E0F22" w:rsidRDefault="006E028B" w:rsidP="006E028B">
      <w:pPr>
        <w:spacing w:line="360" w:lineRule="auto"/>
        <w:ind w:firstLineChars="250" w:firstLine="525"/>
        <w:rPr>
          <w:rFonts w:ascii="宋体" w:hAnsi="宋体" w:cs="宋体"/>
          <w:szCs w:val="21"/>
        </w:rPr>
      </w:pPr>
      <w:bookmarkStart w:id="0" w:name="_Toc5647"/>
      <w:r w:rsidRPr="005E0F22">
        <w:rPr>
          <w:rFonts w:ascii="宋体" w:hAnsi="宋体" w:cs="宋体" w:hint="eastAsia"/>
          <w:szCs w:val="21"/>
        </w:rPr>
        <w:t>（三）案例要求</w:t>
      </w:r>
    </w:p>
    <w:p w:rsidR="006E028B" w:rsidRPr="005E0F22" w:rsidRDefault="008F5664" w:rsidP="006E028B">
      <w:pPr>
        <w:spacing w:line="360" w:lineRule="auto"/>
        <w:ind w:firstLineChars="250" w:firstLine="525"/>
        <w:rPr>
          <w:rFonts w:ascii="宋体" w:hAnsi="宋体" w:cs="宋体"/>
          <w:szCs w:val="21"/>
        </w:rPr>
      </w:pPr>
      <w:r w:rsidRPr="005E0F22">
        <w:rPr>
          <w:rFonts w:ascii="宋体" w:hAnsi="宋体" w:cs="宋体" w:hint="eastAsia"/>
          <w:szCs w:val="21"/>
        </w:rPr>
        <w:t>近三年</w:t>
      </w:r>
      <w:r w:rsidR="006E028B" w:rsidRPr="005E0F22">
        <w:rPr>
          <w:rFonts w:ascii="宋体" w:hAnsi="宋体" w:cs="宋体" w:hint="eastAsia"/>
          <w:szCs w:val="21"/>
        </w:rPr>
        <w:t>供应商有</w:t>
      </w:r>
      <w:r w:rsidR="00C15B9E" w:rsidRPr="005E0F22">
        <w:rPr>
          <w:rFonts w:ascii="宋体" w:hAnsi="宋体" w:cs="宋体" w:hint="eastAsia"/>
          <w:szCs w:val="21"/>
        </w:rPr>
        <w:t>地级市或以上银行总部</w:t>
      </w:r>
      <w:r w:rsidR="006E028B" w:rsidRPr="005E0F22">
        <w:rPr>
          <w:rFonts w:ascii="宋体" w:hAnsi="宋体" w:cs="宋体" w:hint="eastAsia"/>
          <w:szCs w:val="21"/>
        </w:rPr>
        <w:t>数据中心机房基础设施</w:t>
      </w:r>
      <w:r w:rsidRPr="005E0F22">
        <w:rPr>
          <w:rFonts w:ascii="宋体" w:hAnsi="宋体" w:cs="宋体" w:hint="eastAsia"/>
          <w:szCs w:val="21"/>
        </w:rPr>
        <w:t>（</w:t>
      </w:r>
      <w:r w:rsidR="005E0F22" w:rsidRPr="005E0F22">
        <w:rPr>
          <w:rFonts w:ascii="宋体" w:hAnsi="宋体" w:cs="宋体" w:hint="eastAsia"/>
          <w:szCs w:val="21"/>
        </w:rPr>
        <w:t>包含</w:t>
      </w:r>
      <w:r w:rsidRPr="005E0F22">
        <w:rPr>
          <w:rFonts w:ascii="宋体" w:hAnsi="宋体" w:cs="宋体" w:hint="eastAsia"/>
          <w:szCs w:val="21"/>
        </w:rPr>
        <w:t>配电系统、UPS系统和空调系统）</w:t>
      </w:r>
      <w:proofErr w:type="gramStart"/>
      <w:r w:rsidRPr="005E0F22">
        <w:rPr>
          <w:rFonts w:ascii="宋体" w:hAnsi="宋体" w:cs="宋体" w:hint="eastAsia"/>
          <w:szCs w:val="21"/>
        </w:rPr>
        <w:t>维保</w:t>
      </w:r>
      <w:r w:rsidR="006E028B" w:rsidRPr="005E0F22">
        <w:rPr>
          <w:rFonts w:ascii="宋体" w:hAnsi="宋体" w:cs="宋体" w:hint="eastAsia"/>
          <w:szCs w:val="21"/>
        </w:rPr>
        <w:t>案例</w:t>
      </w:r>
      <w:proofErr w:type="gramEnd"/>
      <w:r w:rsidR="006E028B" w:rsidRPr="005E0F22">
        <w:rPr>
          <w:rFonts w:ascii="宋体" w:hAnsi="宋体" w:cs="宋体" w:hint="eastAsia"/>
          <w:szCs w:val="21"/>
        </w:rPr>
        <w:t>。</w:t>
      </w:r>
    </w:p>
    <w:p w:rsidR="001C2DAC" w:rsidRPr="005E0F22" w:rsidRDefault="001C2DAC" w:rsidP="001C2DAC">
      <w:pPr>
        <w:spacing w:line="360" w:lineRule="auto"/>
        <w:rPr>
          <w:rFonts w:ascii="宋体" w:hAnsi="宋体"/>
          <w:b/>
          <w:bCs/>
          <w:szCs w:val="21"/>
        </w:rPr>
      </w:pPr>
    </w:p>
    <w:p w:rsidR="001C2DAC" w:rsidRPr="005E0F22" w:rsidRDefault="001C2DAC" w:rsidP="001C2DAC">
      <w:pPr>
        <w:spacing w:line="360" w:lineRule="auto"/>
        <w:rPr>
          <w:rFonts w:ascii="宋体" w:hAnsi="宋体" w:cs="宋体"/>
          <w:szCs w:val="21"/>
        </w:rPr>
      </w:pPr>
      <w:r w:rsidRPr="005E0F22">
        <w:rPr>
          <w:rFonts w:ascii="宋体" w:hAnsi="宋体" w:hint="eastAsia"/>
          <w:b/>
          <w:bCs/>
          <w:szCs w:val="21"/>
        </w:rPr>
        <w:t>五、服务期</w:t>
      </w:r>
      <w:bookmarkEnd w:id="0"/>
      <w:r w:rsidRPr="005E0F22">
        <w:rPr>
          <w:rFonts w:ascii="宋体" w:hAnsi="宋体" w:cs="宋体" w:hint="eastAsia"/>
          <w:szCs w:val="21"/>
        </w:rPr>
        <w:t>：合同签订之日起 24个月。</w:t>
      </w:r>
      <w:r w:rsidR="006E028B" w:rsidRPr="005E0F22">
        <w:rPr>
          <w:rFonts w:ascii="宋体" w:hAnsi="宋体" w:cs="宋体" w:hint="eastAsia"/>
          <w:szCs w:val="21"/>
        </w:rPr>
        <w:t>根据维保设备的生</w:t>
      </w:r>
      <w:r w:rsidR="00C15B9E" w:rsidRPr="005E0F22">
        <w:rPr>
          <w:rFonts w:ascii="宋体" w:hAnsi="宋体" w:cs="宋体" w:hint="eastAsia"/>
          <w:szCs w:val="21"/>
        </w:rPr>
        <w:t>命</w:t>
      </w:r>
      <w:r w:rsidR="006E028B" w:rsidRPr="005E0F22">
        <w:rPr>
          <w:rFonts w:ascii="宋体" w:hAnsi="宋体" w:cs="宋体" w:hint="eastAsia"/>
          <w:szCs w:val="21"/>
        </w:rPr>
        <w:t>周期管理（部分设备淘汰），合同付款以实际维保设备数量的维护费用进行结算。</w:t>
      </w:r>
    </w:p>
    <w:p w:rsidR="001C2DAC" w:rsidRPr="005E0F22" w:rsidRDefault="001C2DAC" w:rsidP="003900F9">
      <w:pPr>
        <w:spacing w:line="360" w:lineRule="auto"/>
        <w:rPr>
          <w:rFonts w:ascii="宋体" w:hAnsi="宋体"/>
          <w:szCs w:val="21"/>
        </w:rPr>
      </w:pPr>
    </w:p>
    <w:p w:rsidR="00833E0B" w:rsidRPr="005E0F22" w:rsidRDefault="00833E0B" w:rsidP="00833E0B">
      <w:pPr>
        <w:spacing w:line="360" w:lineRule="auto"/>
        <w:rPr>
          <w:rFonts w:ascii="宋体" w:hAnsi="宋体"/>
          <w:b/>
          <w:bCs/>
          <w:szCs w:val="21"/>
        </w:rPr>
      </w:pPr>
      <w:r w:rsidRPr="005E0F22">
        <w:rPr>
          <w:rFonts w:ascii="宋体" w:hAnsi="宋体" w:hint="eastAsia"/>
          <w:b/>
          <w:bCs/>
          <w:szCs w:val="21"/>
        </w:rPr>
        <w:lastRenderedPageBreak/>
        <w:t>六、维保服务要求</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1、</w:t>
      </w:r>
      <w:proofErr w:type="gramStart"/>
      <w:r w:rsidRPr="005E0F22">
        <w:rPr>
          <w:rFonts w:ascii="宋体" w:hAnsi="宋体" w:cs="宋体" w:hint="eastAsia"/>
          <w:szCs w:val="21"/>
        </w:rPr>
        <w:t>维保供应</w:t>
      </w:r>
      <w:proofErr w:type="gramEnd"/>
      <w:r w:rsidRPr="005E0F22">
        <w:rPr>
          <w:rFonts w:ascii="宋体" w:hAnsi="宋体" w:cs="宋体" w:hint="eastAsia"/>
          <w:szCs w:val="21"/>
        </w:rPr>
        <w:t>商在接到招标人的故障通告后，按下表有关故障级别和相应处理要求，在规定时限内</w:t>
      </w:r>
      <w:proofErr w:type="gramStart"/>
      <w:r w:rsidRPr="005E0F22">
        <w:rPr>
          <w:rFonts w:ascii="宋体" w:hAnsi="宋体" w:cs="宋体" w:hint="eastAsia"/>
          <w:szCs w:val="21"/>
        </w:rPr>
        <w:t>作出</w:t>
      </w:r>
      <w:proofErr w:type="gramEnd"/>
      <w:r w:rsidRPr="005E0F22">
        <w:rPr>
          <w:rFonts w:ascii="宋体" w:hAnsi="宋体" w:cs="宋体" w:hint="eastAsia"/>
          <w:szCs w:val="21"/>
        </w:rPr>
        <w:t>响应和故障修复：</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961"/>
        <w:gridCol w:w="2127"/>
        <w:gridCol w:w="1986"/>
        <w:gridCol w:w="2027"/>
      </w:tblGrid>
      <w:tr w:rsidR="005E0F22" w:rsidRPr="005E0F22" w:rsidTr="000A0DD4">
        <w:trPr>
          <w:jc w:val="center"/>
        </w:trPr>
        <w:tc>
          <w:tcPr>
            <w:tcW w:w="1439" w:type="dxa"/>
            <w:vAlign w:val="center"/>
          </w:tcPr>
          <w:p w:rsidR="00833E0B" w:rsidRPr="005E0F22" w:rsidRDefault="00833E0B" w:rsidP="00833E0B">
            <w:pPr>
              <w:spacing w:line="360" w:lineRule="auto"/>
              <w:jc w:val="center"/>
              <w:rPr>
                <w:rFonts w:asciiTheme="minorEastAsia" w:hAnsiTheme="minorEastAsia"/>
                <w:b/>
                <w:szCs w:val="21"/>
              </w:rPr>
            </w:pPr>
            <w:r w:rsidRPr="005E0F22">
              <w:rPr>
                <w:rFonts w:asciiTheme="minorEastAsia" w:hAnsiTheme="minorEastAsia" w:hint="eastAsia"/>
                <w:b/>
                <w:szCs w:val="21"/>
              </w:rPr>
              <w:t>故障级别</w:t>
            </w:r>
          </w:p>
        </w:tc>
        <w:tc>
          <w:tcPr>
            <w:tcW w:w="1961" w:type="dxa"/>
            <w:vAlign w:val="center"/>
          </w:tcPr>
          <w:p w:rsidR="00833E0B" w:rsidRPr="005E0F22" w:rsidRDefault="00833E0B" w:rsidP="00833E0B">
            <w:pPr>
              <w:spacing w:line="360" w:lineRule="auto"/>
              <w:jc w:val="center"/>
              <w:rPr>
                <w:rFonts w:asciiTheme="minorEastAsia" w:hAnsiTheme="minorEastAsia"/>
                <w:b/>
                <w:szCs w:val="21"/>
              </w:rPr>
            </w:pPr>
            <w:r w:rsidRPr="005E0F22">
              <w:rPr>
                <w:rFonts w:asciiTheme="minorEastAsia" w:hAnsiTheme="minorEastAsia" w:hint="eastAsia"/>
                <w:b/>
                <w:szCs w:val="21"/>
              </w:rPr>
              <w:t>P1级故障</w:t>
            </w:r>
          </w:p>
        </w:tc>
        <w:tc>
          <w:tcPr>
            <w:tcW w:w="2127" w:type="dxa"/>
            <w:vAlign w:val="center"/>
          </w:tcPr>
          <w:p w:rsidR="00833E0B" w:rsidRPr="005E0F22" w:rsidRDefault="00833E0B" w:rsidP="00833E0B">
            <w:pPr>
              <w:spacing w:line="360" w:lineRule="auto"/>
              <w:jc w:val="center"/>
              <w:rPr>
                <w:rFonts w:asciiTheme="minorEastAsia" w:hAnsiTheme="minorEastAsia"/>
                <w:b/>
                <w:szCs w:val="21"/>
              </w:rPr>
            </w:pPr>
            <w:r w:rsidRPr="005E0F22">
              <w:rPr>
                <w:rFonts w:asciiTheme="minorEastAsia" w:hAnsiTheme="minorEastAsia" w:hint="eastAsia"/>
                <w:b/>
                <w:szCs w:val="21"/>
              </w:rPr>
              <w:t>P2级故障</w:t>
            </w:r>
          </w:p>
        </w:tc>
        <w:tc>
          <w:tcPr>
            <w:tcW w:w="1986" w:type="dxa"/>
            <w:vAlign w:val="center"/>
          </w:tcPr>
          <w:p w:rsidR="00833E0B" w:rsidRPr="005E0F22" w:rsidRDefault="00833E0B" w:rsidP="00833E0B">
            <w:pPr>
              <w:spacing w:line="360" w:lineRule="auto"/>
              <w:jc w:val="center"/>
              <w:rPr>
                <w:rFonts w:asciiTheme="minorEastAsia" w:hAnsiTheme="minorEastAsia"/>
                <w:b/>
                <w:szCs w:val="21"/>
              </w:rPr>
            </w:pPr>
            <w:r w:rsidRPr="005E0F22">
              <w:rPr>
                <w:rFonts w:asciiTheme="minorEastAsia" w:hAnsiTheme="minorEastAsia" w:hint="eastAsia"/>
                <w:b/>
                <w:szCs w:val="21"/>
              </w:rPr>
              <w:t>P3级故障</w:t>
            </w:r>
          </w:p>
        </w:tc>
        <w:tc>
          <w:tcPr>
            <w:tcW w:w="2027" w:type="dxa"/>
            <w:vAlign w:val="center"/>
          </w:tcPr>
          <w:p w:rsidR="00833E0B" w:rsidRPr="005E0F22" w:rsidRDefault="00833E0B" w:rsidP="00833E0B">
            <w:pPr>
              <w:spacing w:line="360" w:lineRule="auto"/>
              <w:jc w:val="center"/>
              <w:rPr>
                <w:rFonts w:asciiTheme="minorEastAsia" w:hAnsiTheme="minorEastAsia"/>
                <w:b/>
                <w:szCs w:val="21"/>
              </w:rPr>
            </w:pPr>
            <w:r w:rsidRPr="005E0F22">
              <w:rPr>
                <w:rFonts w:asciiTheme="minorEastAsia" w:hAnsiTheme="minorEastAsia" w:hint="eastAsia"/>
                <w:b/>
                <w:szCs w:val="21"/>
              </w:rPr>
              <w:t>P4级故障</w:t>
            </w:r>
          </w:p>
        </w:tc>
      </w:tr>
      <w:tr w:rsidR="005E0F22" w:rsidRPr="005E0F22" w:rsidTr="000A0DD4">
        <w:trPr>
          <w:jc w:val="center"/>
        </w:trPr>
        <w:tc>
          <w:tcPr>
            <w:tcW w:w="1439"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故障级别</w:t>
            </w:r>
          </w:p>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定义</w:t>
            </w:r>
          </w:p>
        </w:tc>
        <w:tc>
          <w:tcPr>
            <w:tcW w:w="1961"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关键系统上的硬件运作不正常，启用备机后硬件仍然不能正常运行，业务仍受到较大影响。</w:t>
            </w:r>
          </w:p>
        </w:tc>
        <w:tc>
          <w:tcPr>
            <w:tcW w:w="2127"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硬件性能己</w:t>
            </w:r>
            <w:proofErr w:type="gramStart"/>
            <w:r w:rsidRPr="005E0F22">
              <w:rPr>
                <w:rFonts w:asciiTheme="minorEastAsia" w:hAnsiTheme="minorEastAsia" w:hint="eastAsia"/>
                <w:szCs w:val="21"/>
              </w:rPr>
              <w:t>经严重</w:t>
            </w:r>
            <w:proofErr w:type="gramEnd"/>
            <w:r w:rsidRPr="005E0F22">
              <w:rPr>
                <w:rFonts w:asciiTheme="minorEastAsia" w:hAnsiTheme="minorEastAsia" w:hint="eastAsia"/>
                <w:szCs w:val="21"/>
              </w:rPr>
              <w:t>下降，对其业务运作造成了较大影响；或一部分关键系统的硬件运作不正常，启用备机上的硬件后，业务可正常进行。</w:t>
            </w:r>
          </w:p>
        </w:tc>
        <w:tc>
          <w:tcPr>
            <w:tcW w:w="1986"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硬件运行出现异常，但大部分业务运作仍可正常工作。存在潜在运行风险。</w:t>
            </w:r>
          </w:p>
        </w:tc>
        <w:tc>
          <w:tcPr>
            <w:tcW w:w="2027"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产品功能、安装或配置方面需要信息或支援，很显然对业务运作几乎无影响，或根本没有影响。</w:t>
            </w:r>
          </w:p>
        </w:tc>
      </w:tr>
      <w:tr w:rsidR="005E0F22" w:rsidRPr="005E0F22" w:rsidTr="000A0DD4">
        <w:trPr>
          <w:trHeight w:val="580"/>
          <w:jc w:val="center"/>
        </w:trPr>
        <w:tc>
          <w:tcPr>
            <w:tcW w:w="1439"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响应时间</w:t>
            </w:r>
          </w:p>
        </w:tc>
        <w:tc>
          <w:tcPr>
            <w:tcW w:w="1961"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15分钟</w:t>
            </w:r>
          </w:p>
        </w:tc>
        <w:tc>
          <w:tcPr>
            <w:tcW w:w="2127"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15分钟</w:t>
            </w:r>
          </w:p>
        </w:tc>
        <w:tc>
          <w:tcPr>
            <w:tcW w:w="1986"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30分钟</w:t>
            </w:r>
          </w:p>
        </w:tc>
        <w:tc>
          <w:tcPr>
            <w:tcW w:w="2027" w:type="dxa"/>
            <w:vAlign w:val="center"/>
          </w:tcPr>
          <w:p w:rsidR="00833E0B" w:rsidRPr="005E0F22" w:rsidRDefault="00833E0B" w:rsidP="00833E0B">
            <w:pPr>
              <w:spacing w:line="360" w:lineRule="auto"/>
              <w:rPr>
                <w:rFonts w:asciiTheme="minorEastAsia" w:hAnsiTheme="minorEastAsia"/>
                <w:szCs w:val="21"/>
              </w:rPr>
            </w:pPr>
            <w:r w:rsidRPr="005E0F22">
              <w:rPr>
                <w:rFonts w:asciiTheme="minorEastAsia" w:hAnsiTheme="minorEastAsia" w:hint="eastAsia"/>
                <w:szCs w:val="21"/>
              </w:rPr>
              <w:t>60分钟</w:t>
            </w:r>
          </w:p>
        </w:tc>
      </w:tr>
      <w:tr w:rsidR="005E0F22" w:rsidRPr="005E0F22" w:rsidTr="000A0DD4">
        <w:trPr>
          <w:trHeight w:val="1264"/>
          <w:jc w:val="center"/>
        </w:trPr>
        <w:tc>
          <w:tcPr>
            <w:tcW w:w="1439" w:type="dxa"/>
            <w:vAlign w:val="center"/>
          </w:tcPr>
          <w:p w:rsidR="00833E0B" w:rsidRPr="005E0F22" w:rsidRDefault="00833E0B" w:rsidP="00833E0B">
            <w:pPr>
              <w:spacing w:line="360" w:lineRule="auto"/>
              <w:ind w:left="108"/>
              <w:rPr>
                <w:rFonts w:asciiTheme="minorEastAsia" w:hAnsiTheme="minorEastAsia"/>
                <w:szCs w:val="21"/>
              </w:rPr>
            </w:pPr>
            <w:proofErr w:type="gramStart"/>
            <w:r w:rsidRPr="005E0F22">
              <w:rPr>
                <w:rFonts w:asciiTheme="minorEastAsia" w:hAnsiTheme="minorEastAsia" w:hint="eastAsia"/>
                <w:szCs w:val="21"/>
              </w:rPr>
              <w:t>维保供应</w:t>
            </w:r>
            <w:proofErr w:type="gramEnd"/>
            <w:r w:rsidRPr="005E0F22">
              <w:rPr>
                <w:rFonts w:asciiTheme="minorEastAsia" w:hAnsiTheme="minorEastAsia" w:hint="eastAsia"/>
                <w:szCs w:val="21"/>
              </w:rPr>
              <w:t>商或原厂人员到达现场时间</w:t>
            </w:r>
          </w:p>
        </w:tc>
        <w:tc>
          <w:tcPr>
            <w:tcW w:w="1961" w:type="dxa"/>
            <w:tcBorders>
              <w:bottom w:val="single" w:sz="4" w:space="0" w:color="auto"/>
            </w:tcBorders>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2小时</w:t>
            </w:r>
          </w:p>
        </w:tc>
        <w:tc>
          <w:tcPr>
            <w:tcW w:w="2127" w:type="dxa"/>
            <w:tcBorders>
              <w:bottom w:val="single" w:sz="4" w:space="0" w:color="auto"/>
            </w:tcBorders>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2小时</w:t>
            </w:r>
          </w:p>
        </w:tc>
        <w:tc>
          <w:tcPr>
            <w:tcW w:w="1986" w:type="dxa"/>
            <w:tcBorders>
              <w:bottom w:val="single" w:sz="4" w:space="0" w:color="auto"/>
            </w:tcBorders>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4小时</w:t>
            </w:r>
          </w:p>
        </w:tc>
        <w:tc>
          <w:tcPr>
            <w:tcW w:w="2027" w:type="dxa"/>
            <w:tcBorders>
              <w:bottom w:val="single" w:sz="4" w:space="0" w:color="auto"/>
            </w:tcBorders>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4小时（远程无法排除故障前提下）</w:t>
            </w:r>
          </w:p>
        </w:tc>
      </w:tr>
      <w:tr w:rsidR="005E0F22" w:rsidRPr="005E0F22" w:rsidTr="000A0DD4">
        <w:trPr>
          <w:jc w:val="center"/>
        </w:trPr>
        <w:tc>
          <w:tcPr>
            <w:tcW w:w="1439"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备件到达现场时间</w:t>
            </w:r>
          </w:p>
        </w:tc>
        <w:tc>
          <w:tcPr>
            <w:tcW w:w="8101" w:type="dxa"/>
            <w:gridSpan w:val="4"/>
            <w:tcBorders>
              <w:bottom w:val="single" w:sz="4" w:space="0" w:color="auto"/>
            </w:tcBorders>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备件4小时到达现场</w:t>
            </w:r>
          </w:p>
        </w:tc>
      </w:tr>
      <w:tr w:rsidR="005E0F22" w:rsidRPr="005E0F22" w:rsidTr="000A0DD4">
        <w:tblPrEx>
          <w:tblLook w:val="0000" w:firstRow="0" w:lastRow="0" w:firstColumn="0" w:lastColumn="0" w:noHBand="0" w:noVBand="0"/>
        </w:tblPrEx>
        <w:trPr>
          <w:trHeight w:val="1380"/>
          <w:jc w:val="center"/>
        </w:trPr>
        <w:tc>
          <w:tcPr>
            <w:tcW w:w="1439" w:type="dxa"/>
            <w:vAlign w:val="center"/>
          </w:tcPr>
          <w:p w:rsidR="00833E0B" w:rsidRPr="005E0F22" w:rsidRDefault="00833E0B" w:rsidP="00833E0B">
            <w:pPr>
              <w:spacing w:line="360" w:lineRule="auto"/>
              <w:ind w:left="108"/>
              <w:rPr>
                <w:rFonts w:asciiTheme="minorEastAsia" w:hAnsiTheme="minorEastAsia"/>
                <w:szCs w:val="21"/>
              </w:rPr>
            </w:pPr>
            <w:r w:rsidRPr="005E0F22">
              <w:rPr>
                <w:rFonts w:asciiTheme="minorEastAsia" w:hAnsiTheme="minorEastAsia" w:hint="eastAsia"/>
                <w:szCs w:val="21"/>
              </w:rPr>
              <w:t>从报障起到排除故障的处理时限</w:t>
            </w:r>
          </w:p>
        </w:tc>
        <w:tc>
          <w:tcPr>
            <w:tcW w:w="4088" w:type="dxa"/>
            <w:gridSpan w:val="2"/>
            <w:vAlign w:val="center"/>
          </w:tcPr>
          <w:p w:rsidR="00833E0B" w:rsidRPr="005E0F22" w:rsidRDefault="00833E0B" w:rsidP="00833E0B">
            <w:pPr>
              <w:widowControl/>
              <w:spacing w:line="360" w:lineRule="auto"/>
              <w:rPr>
                <w:rFonts w:asciiTheme="minorEastAsia" w:hAnsiTheme="minorEastAsia"/>
                <w:szCs w:val="21"/>
              </w:rPr>
            </w:pPr>
            <w:r w:rsidRPr="005E0F22">
              <w:rPr>
                <w:rFonts w:asciiTheme="minorEastAsia" w:hAnsiTheme="minorEastAsia" w:hint="eastAsia"/>
                <w:szCs w:val="21"/>
              </w:rPr>
              <w:t>故障恢复不超过</w:t>
            </w:r>
            <w:r w:rsidRPr="005E0F22">
              <w:rPr>
                <w:rFonts w:asciiTheme="minorEastAsia" w:hAnsiTheme="minorEastAsia"/>
                <w:szCs w:val="21"/>
              </w:rPr>
              <w:t>2</w:t>
            </w:r>
            <w:r w:rsidRPr="005E0F22">
              <w:rPr>
                <w:rFonts w:asciiTheme="minorEastAsia" w:hAnsiTheme="minorEastAsia" w:hint="eastAsia"/>
                <w:szCs w:val="21"/>
              </w:rPr>
              <w:t>小时。</w:t>
            </w:r>
          </w:p>
        </w:tc>
        <w:tc>
          <w:tcPr>
            <w:tcW w:w="4013" w:type="dxa"/>
            <w:gridSpan w:val="2"/>
            <w:vAlign w:val="center"/>
          </w:tcPr>
          <w:p w:rsidR="00833E0B" w:rsidRPr="005E0F22" w:rsidRDefault="00833E0B" w:rsidP="00833E0B">
            <w:pPr>
              <w:widowControl/>
              <w:spacing w:line="360" w:lineRule="auto"/>
              <w:rPr>
                <w:rFonts w:asciiTheme="minorEastAsia" w:hAnsiTheme="minorEastAsia"/>
                <w:szCs w:val="21"/>
              </w:rPr>
            </w:pPr>
            <w:r w:rsidRPr="005E0F22">
              <w:rPr>
                <w:rFonts w:asciiTheme="minorEastAsia" w:hAnsiTheme="minorEastAsia" w:hint="eastAsia"/>
                <w:szCs w:val="21"/>
              </w:rPr>
              <w:t>不涉及到硬件升级或打补丁的，第二天内修复；涉及到硬件升级或打补丁，五天内修复原硬件。</w:t>
            </w:r>
          </w:p>
        </w:tc>
      </w:tr>
    </w:tbl>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2、提供7*24小时技术支持和咨询服务，</w:t>
      </w:r>
      <w:proofErr w:type="gramStart"/>
      <w:r w:rsidRPr="005E0F22">
        <w:rPr>
          <w:rFonts w:ascii="宋体" w:hAnsi="宋体" w:cs="宋体" w:hint="eastAsia"/>
          <w:szCs w:val="21"/>
        </w:rPr>
        <w:t>维保供应</w:t>
      </w:r>
      <w:proofErr w:type="gramEnd"/>
      <w:r w:rsidRPr="005E0F22">
        <w:rPr>
          <w:rFonts w:ascii="宋体" w:hAnsi="宋体" w:cs="宋体" w:hint="eastAsia"/>
          <w:szCs w:val="21"/>
        </w:rPr>
        <w:t>商</w:t>
      </w:r>
      <w:proofErr w:type="gramStart"/>
      <w:r w:rsidRPr="005E0F22">
        <w:rPr>
          <w:rFonts w:ascii="宋体" w:hAnsi="宋体" w:cs="宋体" w:hint="eastAsia"/>
          <w:szCs w:val="21"/>
        </w:rPr>
        <w:t>商</w:t>
      </w:r>
      <w:proofErr w:type="gramEnd"/>
      <w:r w:rsidRPr="005E0F22">
        <w:rPr>
          <w:rFonts w:ascii="宋体" w:hAnsi="宋体" w:cs="宋体" w:hint="eastAsia"/>
          <w:szCs w:val="21"/>
        </w:rPr>
        <w:t>按照服务需求及时提供相应的技术服务，如远程服务无法满足我行要求，应提供现场技术服务。解决招标人合同系统的技术以及非技术问题所需要的全部经费，包括维保供应商聘请原厂工程技术人员提供的现场维护服务、远程技术支持、在线支持等服务所产生的各种费用均包含在合同总价内。</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3、提供巡检与维护服务，按照国家与行业的相关标准，定期对机房基础设施提供巡检与维护工作，消除安全隐患，及时发现并处理设备故障。</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4、提供故障维修服务，招标人的设备故障时，</w:t>
      </w:r>
      <w:proofErr w:type="gramStart"/>
      <w:r w:rsidRPr="005E0F22">
        <w:rPr>
          <w:rFonts w:ascii="宋体" w:hAnsi="宋体" w:cs="宋体" w:hint="eastAsia"/>
          <w:szCs w:val="21"/>
        </w:rPr>
        <w:t>维保供应</w:t>
      </w:r>
      <w:proofErr w:type="gramEnd"/>
      <w:r w:rsidRPr="005E0F22">
        <w:rPr>
          <w:rFonts w:ascii="宋体" w:hAnsi="宋体" w:cs="宋体" w:hint="eastAsia"/>
          <w:szCs w:val="21"/>
        </w:rPr>
        <w:t>商提供7×24小时现场维修服务，参考上述故障级别和相应处理要求表格中要求在规定时限内</w:t>
      </w:r>
      <w:proofErr w:type="gramStart"/>
      <w:r w:rsidRPr="005E0F22">
        <w:rPr>
          <w:rFonts w:ascii="宋体" w:hAnsi="宋体" w:cs="宋体" w:hint="eastAsia"/>
          <w:szCs w:val="21"/>
        </w:rPr>
        <w:t>作出</w:t>
      </w:r>
      <w:proofErr w:type="gramEnd"/>
      <w:r w:rsidRPr="005E0F22">
        <w:rPr>
          <w:rFonts w:ascii="宋体" w:hAnsi="宋体" w:cs="宋体" w:hint="eastAsia"/>
          <w:szCs w:val="21"/>
        </w:rPr>
        <w:t>响应和故障修复，如无法在规定时间内消除故障，应提供临时应急方案。</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lastRenderedPageBreak/>
        <w:t>5、提供支持配合服务，根据招标人工作要求，维保供应商提供其他现场支持服务，包括但不限于机房相关停电演练、消防演练、重要节假日前机房现场巡视检查、技术培训以及其他工程配合等。</w:t>
      </w:r>
    </w:p>
    <w:p w:rsidR="002E69AE"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6、维保供应商人员根据招标人的设施配置在备件库保留一定比例的产品备件，以备招标人故障设备替代备用。</w:t>
      </w:r>
    </w:p>
    <w:p w:rsidR="002E69AE"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7、</w:t>
      </w:r>
      <w:proofErr w:type="gramStart"/>
      <w:r w:rsidRPr="005E0F22">
        <w:rPr>
          <w:rFonts w:ascii="宋体" w:hAnsi="宋体" w:cs="宋体" w:hint="eastAsia"/>
          <w:szCs w:val="21"/>
        </w:rPr>
        <w:t>维保服务</w:t>
      </w:r>
      <w:proofErr w:type="gramEnd"/>
      <w:r w:rsidRPr="005E0F22">
        <w:rPr>
          <w:rFonts w:ascii="宋体" w:hAnsi="宋体" w:cs="宋体" w:hint="eastAsia"/>
          <w:szCs w:val="21"/>
        </w:rPr>
        <w:t>期内，如设备故障处理</w:t>
      </w:r>
      <w:proofErr w:type="gramStart"/>
      <w:r w:rsidRPr="005E0F22">
        <w:rPr>
          <w:rFonts w:ascii="宋体" w:hAnsi="宋体" w:cs="宋体" w:hint="eastAsia"/>
          <w:szCs w:val="21"/>
        </w:rPr>
        <w:t>时需重启</w:t>
      </w:r>
      <w:proofErr w:type="gramEnd"/>
      <w:r w:rsidRPr="005E0F22">
        <w:rPr>
          <w:rFonts w:ascii="宋体" w:hAnsi="宋体" w:cs="宋体" w:hint="eastAsia"/>
          <w:szCs w:val="21"/>
        </w:rPr>
        <w:t>、停机、断电等现场操作，需在故障处理前提交相应的可操作服务文档与故障分析报告。</w:t>
      </w:r>
    </w:p>
    <w:p w:rsidR="00833E0B"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8</w:t>
      </w:r>
      <w:r w:rsidR="00833E0B" w:rsidRPr="005E0F22">
        <w:rPr>
          <w:rFonts w:ascii="宋体" w:hAnsi="宋体" w:cs="宋体" w:hint="eastAsia"/>
          <w:szCs w:val="21"/>
        </w:rPr>
        <w:t>、维保供应商人员必须遵守招标人的规章制度，接受招标人的监督检查。</w:t>
      </w:r>
      <w:proofErr w:type="gramStart"/>
      <w:r w:rsidR="00833E0B" w:rsidRPr="005E0F22">
        <w:rPr>
          <w:rFonts w:ascii="宋体" w:hAnsi="宋体" w:cs="宋体" w:hint="eastAsia"/>
          <w:szCs w:val="21"/>
        </w:rPr>
        <w:t>维保供应</w:t>
      </w:r>
      <w:proofErr w:type="gramEnd"/>
      <w:r w:rsidR="00833E0B" w:rsidRPr="005E0F22">
        <w:rPr>
          <w:rFonts w:ascii="宋体" w:hAnsi="宋体" w:cs="宋体" w:hint="eastAsia"/>
          <w:szCs w:val="21"/>
        </w:rPr>
        <w:t>商人员到现场工作前应通知招标</w:t>
      </w:r>
      <w:proofErr w:type="gramStart"/>
      <w:r w:rsidR="00833E0B" w:rsidRPr="005E0F22">
        <w:rPr>
          <w:rFonts w:ascii="宋体" w:hAnsi="宋体" w:cs="宋体" w:hint="eastAsia"/>
          <w:szCs w:val="21"/>
        </w:rPr>
        <w:t>人人员</w:t>
      </w:r>
      <w:proofErr w:type="gramEnd"/>
      <w:r w:rsidR="00833E0B" w:rsidRPr="005E0F22">
        <w:rPr>
          <w:rFonts w:ascii="宋体" w:hAnsi="宋体" w:cs="宋体" w:hint="eastAsia"/>
          <w:szCs w:val="21"/>
        </w:rPr>
        <w:t>做好相应的防护措施，</w:t>
      </w:r>
      <w:proofErr w:type="gramStart"/>
      <w:r w:rsidR="00833E0B" w:rsidRPr="005E0F22">
        <w:rPr>
          <w:rFonts w:ascii="宋体" w:hAnsi="宋体" w:cs="宋体" w:hint="eastAsia"/>
          <w:szCs w:val="21"/>
        </w:rPr>
        <w:t>维保供应</w:t>
      </w:r>
      <w:proofErr w:type="gramEnd"/>
      <w:r w:rsidR="00833E0B" w:rsidRPr="005E0F22">
        <w:rPr>
          <w:rFonts w:ascii="宋体" w:hAnsi="宋体" w:cs="宋体" w:hint="eastAsia"/>
          <w:szCs w:val="21"/>
        </w:rPr>
        <w:t>商的工程师在招标人场所工作时，</w:t>
      </w:r>
      <w:proofErr w:type="gramStart"/>
      <w:r w:rsidR="00833E0B" w:rsidRPr="005E0F22">
        <w:rPr>
          <w:rFonts w:ascii="宋体" w:hAnsi="宋体" w:cs="宋体" w:hint="eastAsia"/>
          <w:szCs w:val="21"/>
        </w:rPr>
        <w:t>维保供应</w:t>
      </w:r>
      <w:proofErr w:type="gramEnd"/>
      <w:r w:rsidR="00833E0B" w:rsidRPr="005E0F22">
        <w:rPr>
          <w:rFonts w:ascii="宋体" w:hAnsi="宋体" w:cs="宋体" w:hint="eastAsia"/>
          <w:szCs w:val="21"/>
        </w:rPr>
        <w:t>商人员应遵守招标人相应的规章制度；否则，因此而造成的一切损失</w:t>
      </w:r>
      <w:proofErr w:type="gramStart"/>
      <w:r w:rsidR="00833E0B" w:rsidRPr="005E0F22">
        <w:rPr>
          <w:rFonts w:ascii="宋体" w:hAnsi="宋体" w:cs="宋体" w:hint="eastAsia"/>
          <w:szCs w:val="21"/>
        </w:rPr>
        <w:t>由维保供应</w:t>
      </w:r>
      <w:proofErr w:type="gramEnd"/>
      <w:r w:rsidR="00833E0B" w:rsidRPr="005E0F22">
        <w:rPr>
          <w:rFonts w:ascii="宋体" w:hAnsi="宋体" w:cs="宋体" w:hint="eastAsia"/>
          <w:szCs w:val="21"/>
        </w:rPr>
        <w:t>商负责。</w:t>
      </w:r>
    </w:p>
    <w:p w:rsidR="00833E0B"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9</w:t>
      </w:r>
      <w:r w:rsidR="00833E0B" w:rsidRPr="005E0F22">
        <w:rPr>
          <w:rFonts w:ascii="宋体" w:hAnsi="宋体" w:cs="宋体" w:hint="eastAsia"/>
          <w:szCs w:val="21"/>
        </w:rPr>
        <w:t>、维保供应商同意并保证尊重任何他方的知识产权及其它合法权益，承诺其所提供的产品或服务均为有合法权利的，不会侵犯、导致或引起侵犯第三方知识产权及其它合法权益，若因本协议所提供的相关产品或服务及因履行本协议导致侵犯第三方的知识产权及其它合法权益，所引起的任何及/或全部责任均应当由维保供应商承担。</w:t>
      </w:r>
    </w:p>
    <w:p w:rsidR="00833E0B"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10</w:t>
      </w:r>
      <w:r w:rsidR="00833E0B" w:rsidRPr="005E0F22">
        <w:rPr>
          <w:rFonts w:ascii="宋体" w:hAnsi="宋体" w:cs="宋体" w:hint="eastAsia"/>
          <w:szCs w:val="21"/>
        </w:rPr>
        <w:t>、招标人有权对</w:t>
      </w:r>
      <w:proofErr w:type="gramStart"/>
      <w:r w:rsidR="00833E0B" w:rsidRPr="005E0F22">
        <w:rPr>
          <w:rFonts w:ascii="宋体" w:hAnsi="宋体" w:cs="宋体" w:hint="eastAsia"/>
          <w:szCs w:val="21"/>
        </w:rPr>
        <w:t>维保供应商服务</w:t>
      </w:r>
      <w:proofErr w:type="gramEnd"/>
      <w:r w:rsidR="00833E0B" w:rsidRPr="005E0F22">
        <w:rPr>
          <w:rFonts w:ascii="宋体" w:hAnsi="宋体" w:cs="宋体" w:hint="eastAsia"/>
          <w:szCs w:val="21"/>
        </w:rPr>
        <w:t>质量开展评价（包括第三方评价），</w:t>
      </w:r>
      <w:proofErr w:type="gramStart"/>
      <w:r w:rsidR="00833E0B" w:rsidRPr="005E0F22">
        <w:rPr>
          <w:rFonts w:ascii="宋体" w:hAnsi="宋体" w:cs="宋体" w:hint="eastAsia"/>
          <w:szCs w:val="21"/>
        </w:rPr>
        <w:t>维保供应</w:t>
      </w:r>
      <w:proofErr w:type="gramEnd"/>
      <w:r w:rsidR="00833E0B" w:rsidRPr="005E0F22">
        <w:rPr>
          <w:rFonts w:ascii="宋体" w:hAnsi="宋体" w:cs="宋体" w:hint="eastAsia"/>
          <w:szCs w:val="21"/>
        </w:rPr>
        <w:t>商需予以配合。</w:t>
      </w:r>
    </w:p>
    <w:p w:rsidR="00833E0B" w:rsidRPr="005E0F22" w:rsidRDefault="002E69AE" w:rsidP="00833E0B">
      <w:pPr>
        <w:spacing w:line="360" w:lineRule="auto"/>
        <w:ind w:firstLineChars="200" w:firstLine="420"/>
        <w:rPr>
          <w:rFonts w:ascii="宋体" w:hAnsi="宋体" w:cs="宋体"/>
          <w:szCs w:val="21"/>
        </w:rPr>
      </w:pPr>
      <w:r w:rsidRPr="005E0F22">
        <w:rPr>
          <w:rFonts w:ascii="宋体" w:hAnsi="宋体" w:cs="宋体" w:hint="eastAsia"/>
          <w:szCs w:val="21"/>
        </w:rPr>
        <w:t>11</w:t>
      </w:r>
      <w:r w:rsidR="00833E0B" w:rsidRPr="005E0F22">
        <w:rPr>
          <w:rFonts w:ascii="宋体" w:hAnsi="宋体" w:cs="宋体" w:hint="eastAsia"/>
          <w:szCs w:val="21"/>
        </w:rPr>
        <w:t>、维保供应商不得将本合同的全部或部分内容转包或转让给任何第三方</w:t>
      </w:r>
      <w:r w:rsidRPr="005E0F22">
        <w:rPr>
          <w:rFonts w:ascii="宋体" w:hAnsi="宋体" w:cs="宋体" w:hint="eastAsia"/>
          <w:szCs w:val="21"/>
        </w:rPr>
        <w:t>（合同要求的原厂服务除外）</w:t>
      </w:r>
      <w:r w:rsidR="00833E0B" w:rsidRPr="005E0F22">
        <w:rPr>
          <w:rFonts w:ascii="宋体" w:hAnsi="宋体" w:cs="宋体" w:hint="eastAsia"/>
          <w:szCs w:val="21"/>
        </w:rPr>
        <w:t>。</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1</w:t>
      </w:r>
      <w:r w:rsidR="002E69AE" w:rsidRPr="005E0F22">
        <w:rPr>
          <w:rFonts w:ascii="宋体" w:hAnsi="宋体" w:cs="宋体" w:hint="eastAsia"/>
          <w:szCs w:val="21"/>
        </w:rPr>
        <w:t>2</w:t>
      </w:r>
      <w:r w:rsidRPr="005E0F22">
        <w:rPr>
          <w:rFonts w:ascii="宋体" w:hAnsi="宋体" w:cs="宋体" w:hint="eastAsia"/>
          <w:szCs w:val="21"/>
        </w:rPr>
        <w:t>、如果在保修期内，发生故障导致合同产品不能正常运行，则保修期顺延至合同产品正常运行为止。</w:t>
      </w:r>
    </w:p>
    <w:p w:rsidR="00833E0B" w:rsidRPr="005E0F22" w:rsidRDefault="00833E0B" w:rsidP="00833E0B">
      <w:pPr>
        <w:spacing w:line="360" w:lineRule="auto"/>
        <w:rPr>
          <w:rFonts w:ascii="宋体" w:hAnsi="宋体"/>
          <w:b/>
          <w:bCs/>
          <w:szCs w:val="21"/>
        </w:rPr>
      </w:pPr>
    </w:p>
    <w:p w:rsidR="00833E0B" w:rsidRPr="005E0F22" w:rsidRDefault="00833E0B" w:rsidP="00833E0B">
      <w:pPr>
        <w:spacing w:line="360" w:lineRule="auto"/>
        <w:rPr>
          <w:rFonts w:ascii="宋体" w:hAnsi="宋体"/>
          <w:b/>
          <w:bCs/>
          <w:szCs w:val="21"/>
        </w:rPr>
      </w:pPr>
      <w:r w:rsidRPr="005E0F22">
        <w:rPr>
          <w:rFonts w:ascii="宋体" w:hAnsi="宋体" w:hint="eastAsia"/>
          <w:b/>
          <w:bCs/>
          <w:szCs w:val="21"/>
        </w:rPr>
        <w:t>七、培训服务</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1、</w:t>
      </w:r>
      <w:r w:rsidR="00697DF5" w:rsidRPr="005E0F22">
        <w:rPr>
          <w:rFonts w:ascii="宋体" w:hAnsi="宋体" w:cs="宋体" w:hint="eastAsia"/>
          <w:szCs w:val="21"/>
        </w:rPr>
        <w:t>招标人、</w:t>
      </w:r>
      <w:proofErr w:type="gramStart"/>
      <w:r w:rsidR="00697DF5" w:rsidRPr="005E0F22">
        <w:rPr>
          <w:rFonts w:ascii="宋体" w:hAnsi="宋体" w:cs="宋体" w:hint="eastAsia"/>
          <w:szCs w:val="21"/>
        </w:rPr>
        <w:t>维保供应商</w:t>
      </w:r>
      <w:r w:rsidRPr="005E0F22">
        <w:rPr>
          <w:rFonts w:ascii="宋体" w:hAnsi="宋体" w:cs="宋体" w:hint="eastAsia"/>
          <w:szCs w:val="21"/>
        </w:rPr>
        <w:t>双方</w:t>
      </w:r>
      <w:proofErr w:type="gramEnd"/>
      <w:r w:rsidRPr="005E0F22">
        <w:rPr>
          <w:rFonts w:ascii="宋体" w:hAnsi="宋体" w:cs="宋体" w:hint="eastAsia"/>
          <w:szCs w:val="21"/>
        </w:rPr>
        <w:t>在项目实施过程中共同负责培训计划的制订。</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2、维保供应商负责提供培训教材。对于提供的所有培训，维保供应商必须保证师资力量，主要培训教员应有相应的专业资格和实际工作经历并至少有三年的教学经验，必须使招标人技术人员通过培训可以掌握日常的管理和一般性故障处理技能。</w:t>
      </w:r>
    </w:p>
    <w:p w:rsidR="00833E0B" w:rsidRPr="005E0F22" w:rsidRDefault="00833E0B" w:rsidP="00833E0B">
      <w:pPr>
        <w:spacing w:line="360" w:lineRule="auto"/>
        <w:ind w:firstLineChars="200" w:firstLine="420"/>
        <w:rPr>
          <w:rFonts w:ascii="宋体" w:hAnsi="宋体" w:cs="宋体"/>
          <w:szCs w:val="21"/>
        </w:rPr>
      </w:pPr>
      <w:r w:rsidRPr="005E0F22">
        <w:rPr>
          <w:rFonts w:ascii="宋体" w:hAnsi="宋体" w:cs="宋体" w:hint="eastAsia"/>
          <w:szCs w:val="21"/>
        </w:rPr>
        <w:t>3、以上所有培训涉及的费用由维保供应商承担。</w:t>
      </w:r>
      <w:bookmarkStart w:id="1" w:name="_GoBack"/>
      <w:bookmarkEnd w:id="1"/>
    </w:p>
    <w:p w:rsidR="003900F9" w:rsidRPr="005E0F22" w:rsidRDefault="003900F9" w:rsidP="003900F9">
      <w:pPr>
        <w:spacing w:line="360" w:lineRule="auto"/>
        <w:rPr>
          <w:rFonts w:ascii="宋体" w:hAnsi="宋体"/>
          <w:szCs w:val="21"/>
        </w:rPr>
      </w:pPr>
    </w:p>
    <w:sectPr w:rsidR="003900F9" w:rsidRPr="005E0F22" w:rsidSect="00876154">
      <w:pgSz w:w="11906" w:h="16838"/>
      <w:pgMar w:top="1134" w:right="1077" w:bottom="113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DB2" w:rsidRDefault="009F5DB2" w:rsidP="00115306">
      <w:r>
        <w:separator/>
      </w:r>
    </w:p>
  </w:endnote>
  <w:endnote w:type="continuationSeparator" w:id="0">
    <w:p w:rsidR="009F5DB2" w:rsidRDefault="009F5DB2"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DB2" w:rsidRDefault="009F5DB2" w:rsidP="00115306">
      <w:r>
        <w:separator/>
      </w:r>
    </w:p>
  </w:footnote>
  <w:footnote w:type="continuationSeparator" w:id="0">
    <w:p w:rsidR="009F5DB2" w:rsidRDefault="009F5DB2" w:rsidP="00115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28E70"/>
    <w:multiLevelType w:val="singleLevel"/>
    <w:tmpl w:val="EAC28E70"/>
    <w:lvl w:ilvl="0">
      <w:start w:val="1"/>
      <w:numFmt w:val="chineseCounting"/>
      <w:suff w:val="nothing"/>
      <w:lvlText w:val="%1、"/>
      <w:lvlJc w:val="left"/>
      <w:rPr>
        <w:rFonts w:hint="eastAsia"/>
      </w:rPr>
    </w:lvl>
  </w:abstractNum>
  <w:abstractNum w:abstractNumId="1">
    <w:nsid w:val="30C35604"/>
    <w:multiLevelType w:val="hybridMultilevel"/>
    <w:tmpl w:val="AED82EDA"/>
    <w:lvl w:ilvl="0" w:tplc="4F6A03E4">
      <w:start w:val="9"/>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FB4"/>
    <w:rsid w:val="000D3882"/>
    <w:rsid w:val="000E6541"/>
    <w:rsid w:val="000F4946"/>
    <w:rsid w:val="00115306"/>
    <w:rsid w:val="00115BC4"/>
    <w:rsid w:val="001C2DAC"/>
    <w:rsid w:val="001D4644"/>
    <w:rsid w:val="001E7CB5"/>
    <w:rsid w:val="0026628E"/>
    <w:rsid w:val="002C13F5"/>
    <w:rsid w:val="002E69AE"/>
    <w:rsid w:val="003000DE"/>
    <w:rsid w:val="003161EC"/>
    <w:rsid w:val="003425BD"/>
    <w:rsid w:val="00372F3B"/>
    <w:rsid w:val="003900F9"/>
    <w:rsid w:val="004B3E2C"/>
    <w:rsid w:val="0058010C"/>
    <w:rsid w:val="005E0F22"/>
    <w:rsid w:val="00657D6E"/>
    <w:rsid w:val="0067085A"/>
    <w:rsid w:val="0067708D"/>
    <w:rsid w:val="00683ADB"/>
    <w:rsid w:val="00684671"/>
    <w:rsid w:val="00697DF5"/>
    <w:rsid w:val="006B282D"/>
    <w:rsid w:val="006E028B"/>
    <w:rsid w:val="00755FE0"/>
    <w:rsid w:val="00812356"/>
    <w:rsid w:val="00833E0B"/>
    <w:rsid w:val="00834783"/>
    <w:rsid w:val="00876154"/>
    <w:rsid w:val="008F5664"/>
    <w:rsid w:val="00906BCA"/>
    <w:rsid w:val="00932867"/>
    <w:rsid w:val="00932D28"/>
    <w:rsid w:val="00967333"/>
    <w:rsid w:val="009C139A"/>
    <w:rsid w:val="009C6873"/>
    <w:rsid w:val="009F2FB4"/>
    <w:rsid w:val="009F5DB2"/>
    <w:rsid w:val="00AF0288"/>
    <w:rsid w:val="00AF5E80"/>
    <w:rsid w:val="00AF7968"/>
    <w:rsid w:val="00B71931"/>
    <w:rsid w:val="00BB432E"/>
    <w:rsid w:val="00BD79AF"/>
    <w:rsid w:val="00C046DA"/>
    <w:rsid w:val="00C15B9E"/>
    <w:rsid w:val="00C479E2"/>
    <w:rsid w:val="00C707AE"/>
    <w:rsid w:val="00CD62A6"/>
    <w:rsid w:val="00CE7C21"/>
    <w:rsid w:val="00D809E5"/>
    <w:rsid w:val="00DA0CD7"/>
    <w:rsid w:val="00DD11BD"/>
    <w:rsid w:val="00FC204D"/>
    <w:rsid w:val="00FC3DC7"/>
    <w:rsid w:val="00FE62F0"/>
    <w:rsid w:val="00FE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7AE"/>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qFormat/>
    <w:rsid w:val="009C6873"/>
    <w:rPr>
      <w:rFonts w:cs="Times New Roman"/>
      <w:sz w:val="21"/>
      <w:szCs w:val="21"/>
    </w:rPr>
  </w:style>
  <w:style w:type="paragraph" w:customStyle="1" w:styleId="TableParagraph">
    <w:name w:val="Table Paragraph"/>
    <w:basedOn w:val="a"/>
    <w:uiPriority w:val="1"/>
    <w:qFormat/>
    <w:rsid w:val="009C6873"/>
    <w:pPr>
      <w:autoSpaceDE w:val="0"/>
      <w:autoSpaceDN w:val="0"/>
      <w:adjustRightInd w:val="0"/>
      <w:jc w:val="left"/>
    </w:pPr>
    <w:rPr>
      <w:rFonts w:ascii="宋体" w:cs="宋体"/>
      <w:kern w:val="0"/>
      <w:sz w:val="24"/>
    </w:rPr>
  </w:style>
  <w:style w:type="table" w:styleId="a4">
    <w:name w:val="Table Grid"/>
    <w:basedOn w:val="a1"/>
    <w:uiPriority w:val="39"/>
    <w:qFormat/>
    <w:rsid w:val="009C6873"/>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样式4"/>
    <w:basedOn w:val="a"/>
    <w:qFormat/>
    <w:rsid w:val="000D3882"/>
    <w:pPr>
      <w:tabs>
        <w:tab w:val="left" w:pos="2328"/>
      </w:tabs>
      <w:ind w:left="2328" w:hanging="708"/>
    </w:pPr>
  </w:style>
  <w:style w:type="paragraph" w:styleId="a5">
    <w:name w:val="header"/>
    <w:basedOn w:val="a"/>
    <w:link w:val="Char"/>
    <w:uiPriority w:val="99"/>
    <w:unhideWhenUsed/>
    <w:rsid w:val="001153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115306"/>
    <w:rPr>
      <w:rFonts w:ascii="Times New Roman" w:eastAsia="宋体" w:hAnsi="Times New Roman" w:cs="Times New Roman"/>
      <w:sz w:val="18"/>
      <w:szCs w:val="18"/>
    </w:rPr>
  </w:style>
  <w:style w:type="paragraph" w:styleId="a6">
    <w:name w:val="footer"/>
    <w:basedOn w:val="a"/>
    <w:link w:val="Char0"/>
    <w:uiPriority w:val="99"/>
    <w:unhideWhenUsed/>
    <w:rsid w:val="00115306"/>
    <w:pPr>
      <w:tabs>
        <w:tab w:val="center" w:pos="4153"/>
        <w:tab w:val="right" w:pos="8306"/>
      </w:tabs>
      <w:snapToGrid w:val="0"/>
      <w:jc w:val="left"/>
    </w:pPr>
    <w:rPr>
      <w:sz w:val="18"/>
      <w:szCs w:val="18"/>
    </w:rPr>
  </w:style>
  <w:style w:type="character" w:customStyle="1" w:styleId="Char0">
    <w:name w:val="页脚 Char"/>
    <w:link w:val="a6"/>
    <w:uiPriority w:val="99"/>
    <w:rsid w:val="00115306"/>
    <w:rPr>
      <w:rFonts w:ascii="Times New Roman" w:eastAsia="宋体" w:hAnsi="Times New Roman" w:cs="Times New Roman"/>
      <w:sz w:val="18"/>
      <w:szCs w:val="18"/>
    </w:rPr>
  </w:style>
  <w:style w:type="character" w:customStyle="1" w:styleId="font11">
    <w:name w:val="font11"/>
    <w:qFormat/>
    <w:rsid w:val="00DA0CD7"/>
    <w:rPr>
      <w:rFonts w:ascii="Times New Roman" w:hAnsi="Times New Roman" w:cs="Times New Roman" w:hint="default"/>
      <w:color w:val="000000"/>
      <w:sz w:val="24"/>
      <w:szCs w:val="24"/>
      <w:u w:val="none"/>
    </w:rPr>
  </w:style>
  <w:style w:type="character" w:customStyle="1" w:styleId="font21">
    <w:name w:val="font21"/>
    <w:qFormat/>
    <w:rsid w:val="00DA0CD7"/>
    <w:rPr>
      <w:rFonts w:ascii="Arial" w:hAnsi="Arial" w:cs="Arial"/>
      <w:color w:val="000000"/>
      <w:sz w:val="21"/>
      <w:szCs w:val="21"/>
      <w:u w:val="none"/>
    </w:rPr>
  </w:style>
  <w:style w:type="character" w:styleId="a7">
    <w:name w:val="Hyperlink"/>
    <w:uiPriority w:val="99"/>
    <w:unhideWhenUsed/>
    <w:rsid w:val="00AF5E80"/>
    <w:rPr>
      <w:color w:val="0000FF"/>
      <w:u w:val="single"/>
    </w:rPr>
  </w:style>
  <w:style w:type="paragraph" w:styleId="a8">
    <w:name w:val="Normal (Web)"/>
    <w:basedOn w:val="a"/>
    <w:uiPriority w:val="99"/>
    <w:semiHidden/>
    <w:unhideWhenUsed/>
    <w:rsid w:val="00CE7C21"/>
    <w:pPr>
      <w:widowControl/>
      <w:spacing w:before="100" w:beforeAutospacing="1" w:after="100" w:afterAutospacing="1"/>
      <w:jc w:val="left"/>
    </w:pPr>
    <w:rPr>
      <w:rFonts w:ascii="宋体" w:hAnsi="宋体" w:cs="宋体"/>
      <w:kern w:val="0"/>
      <w:sz w:val="24"/>
    </w:rPr>
  </w:style>
  <w:style w:type="paragraph" w:styleId="a9">
    <w:name w:val="Body Text"/>
    <w:basedOn w:val="a"/>
    <w:link w:val="Char1"/>
    <w:qFormat/>
    <w:rsid w:val="001C2DAC"/>
    <w:pPr>
      <w:spacing w:after="120"/>
    </w:pPr>
  </w:style>
  <w:style w:type="character" w:customStyle="1" w:styleId="Char1">
    <w:name w:val="正文文本 Char"/>
    <w:basedOn w:val="a0"/>
    <w:link w:val="a9"/>
    <w:rsid w:val="001C2DAC"/>
    <w:rPr>
      <w:rFonts w:ascii="Times New Roman" w:eastAsia="宋体" w:hAnsi="Times New Roman"/>
      <w:kern w:val="2"/>
      <w:sz w:val="21"/>
      <w:szCs w:val="24"/>
    </w:rPr>
  </w:style>
  <w:style w:type="paragraph" w:styleId="aa">
    <w:name w:val="toa heading"/>
    <w:basedOn w:val="a"/>
    <w:next w:val="a"/>
    <w:uiPriority w:val="99"/>
    <w:unhideWhenUsed/>
    <w:rsid w:val="00833E0B"/>
    <w:pPr>
      <w:spacing w:before="120"/>
    </w:pPr>
    <w:rPr>
      <w:rFonts w:asciiTheme="majorHAnsi" w:hAnsiTheme="majorHAnsi" w:cstheme="majorBidi"/>
      <w:sz w:val="24"/>
    </w:rPr>
  </w:style>
  <w:style w:type="paragraph" w:styleId="ab">
    <w:name w:val="annotation text"/>
    <w:basedOn w:val="a"/>
    <w:link w:val="Char2"/>
    <w:uiPriority w:val="99"/>
    <w:semiHidden/>
    <w:unhideWhenUsed/>
    <w:rsid w:val="0058010C"/>
    <w:pPr>
      <w:jc w:val="left"/>
    </w:pPr>
  </w:style>
  <w:style w:type="character" w:customStyle="1" w:styleId="Char2">
    <w:name w:val="批注文字 Char"/>
    <w:basedOn w:val="a0"/>
    <w:link w:val="ab"/>
    <w:uiPriority w:val="99"/>
    <w:semiHidden/>
    <w:rsid w:val="0058010C"/>
    <w:rPr>
      <w:rFonts w:ascii="Times New Roman" w:eastAsia="宋体" w:hAnsi="Times New Roman"/>
      <w:kern w:val="2"/>
      <w:sz w:val="21"/>
      <w:szCs w:val="24"/>
    </w:rPr>
  </w:style>
  <w:style w:type="paragraph" w:styleId="ac">
    <w:name w:val="annotation subject"/>
    <w:basedOn w:val="ab"/>
    <w:next w:val="ab"/>
    <w:link w:val="Char3"/>
    <w:uiPriority w:val="99"/>
    <w:semiHidden/>
    <w:unhideWhenUsed/>
    <w:rsid w:val="0058010C"/>
    <w:rPr>
      <w:b/>
      <w:bCs/>
    </w:rPr>
  </w:style>
  <w:style w:type="character" w:customStyle="1" w:styleId="Char3">
    <w:name w:val="批注主题 Char"/>
    <w:basedOn w:val="Char2"/>
    <w:link w:val="ac"/>
    <w:uiPriority w:val="99"/>
    <w:semiHidden/>
    <w:rsid w:val="0058010C"/>
    <w:rPr>
      <w:rFonts w:ascii="Times New Roman" w:eastAsia="宋体" w:hAnsi="Times New Roman"/>
      <w:b/>
      <w:bCs/>
      <w:kern w:val="2"/>
      <w:sz w:val="21"/>
      <w:szCs w:val="24"/>
    </w:rPr>
  </w:style>
  <w:style w:type="paragraph" w:styleId="ad">
    <w:name w:val="Balloon Text"/>
    <w:basedOn w:val="a"/>
    <w:link w:val="Char4"/>
    <w:uiPriority w:val="99"/>
    <w:semiHidden/>
    <w:unhideWhenUsed/>
    <w:rsid w:val="0058010C"/>
    <w:rPr>
      <w:sz w:val="18"/>
      <w:szCs w:val="18"/>
    </w:rPr>
  </w:style>
  <w:style w:type="character" w:customStyle="1" w:styleId="Char4">
    <w:name w:val="批注框文本 Char"/>
    <w:basedOn w:val="a0"/>
    <w:link w:val="ad"/>
    <w:uiPriority w:val="99"/>
    <w:semiHidden/>
    <w:rsid w:val="0058010C"/>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7AE"/>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qFormat/>
    <w:rsid w:val="009C6873"/>
    <w:rPr>
      <w:rFonts w:cs="Times New Roman"/>
      <w:sz w:val="21"/>
      <w:szCs w:val="21"/>
    </w:rPr>
  </w:style>
  <w:style w:type="paragraph" w:customStyle="1" w:styleId="TableParagraph">
    <w:name w:val="Table Paragraph"/>
    <w:basedOn w:val="a"/>
    <w:uiPriority w:val="1"/>
    <w:qFormat/>
    <w:rsid w:val="009C6873"/>
    <w:pPr>
      <w:autoSpaceDE w:val="0"/>
      <w:autoSpaceDN w:val="0"/>
      <w:adjustRightInd w:val="0"/>
      <w:jc w:val="left"/>
    </w:pPr>
    <w:rPr>
      <w:rFonts w:ascii="宋体" w:cs="宋体"/>
      <w:kern w:val="0"/>
      <w:sz w:val="24"/>
    </w:rPr>
  </w:style>
  <w:style w:type="table" w:styleId="a4">
    <w:name w:val="Table Grid"/>
    <w:basedOn w:val="a1"/>
    <w:uiPriority w:val="39"/>
    <w:qFormat/>
    <w:rsid w:val="009C6873"/>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
    <w:name w:val="样式4"/>
    <w:basedOn w:val="a"/>
    <w:qFormat/>
    <w:rsid w:val="000D3882"/>
    <w:pPr>
      <w:tabs>
        <w:tab w:val="left" w:pos="2328"/>
      </w:tabs>
      <w:ind w:left="2328" w:hanging="708"/>
    </w:pPr>
  </w:style>
  <w:style w:type="paragraph" w:styleId="a5">
    <w:name w:val="header"/>
    <w:basedOn w:val="a"/>
    <w:link w:val="Char"/>
    <w:uiPriority w:val="99"/>
    <w:unhideWhenUsed/>
    <w:rsid w:val="0011530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rsid w:val="00115306"/>
    <w:rPr>
      <w:rFonts w:ascii="Times New Roman" w:eastAsia="宋体" w:hAnsi="Times New Roman" w:cs="Times New Roman"/>
      <w:sz w:val="18"/>
      <w:szCs w:val="18"/>
    </w:rPr>
  </w:style>
  <w:style w:type="paragraph" w:styleId="a6">
    <w:name w:val="footer"/>
    <w:basedOn w:val="a"/>
    <w:link w:val="Char0"/>
    <w:uiPriority w:val="99"/>
    <w:unhideWhenUsed/>
    <w:rsid w:val="00115306"/>
    <w:pPr>
      <w:tabs>
        <w:tab w:val="center" w:pos="4153"/>
        <w:tab w:val="right" w:pos="8306"/>
      </w:tabs>
      <w:snapToGrid w:val="0"/>
      <w:jc w:val="left"/>
    </w:pPr>
    <w:rPr>
      <w:sz w:val="18"/>
      <w:szCs w:val="18"/>
    </w:rPr>
  </w:style>
  <w:style w:type="character" w:customStyle="1" w:styleId="Char0">
    <w:name w:val="页脚 Char"/>
    <w:link w:val="a6"/>
    <w:uiPriority w:val="99"/>
    <w:rsid w:val="00115306"/>
    <w:rPr>
      <w:rFonts w:ascii="Times New Roman" w:eastAsia="宋体" w:hAnsi="Times New Roman" w:cs="Times New Roman"/>
      <w:sz w:val="18"/>
      <w:szCs w:val="18"/>
    </w:rPr>
  </w:style>
  <w:style w:type="character" w:customStyle="1" w:styleId="font11">
    <w:name w:val="font11"/>
    <w:qFormat/>
    <w:rsid w:val="00DA0CD7"/>
    <w:rPr>
      <w:rFonts w:ascii="Times New Roman" w:hAnsi="Times New Roman" w:cs="Times New Roman" w:hint="default"/>
      <w:color w:val="000000"/>
      <w:sz w:val="24"/>
      <w:szCs w:val="24"/>
      <w:u w:val="none"/>
    </w:rPr>
  </w:style>
  <w:style w:type="character" w:customStyle="1" w:styleId="font21">
    <w:name w:val="font21"/>
    <w:qFormat/>
    <w:rsid w:val="00DA0CD7"/>
    <w:rPr>
      <w:rFonts w:ascii="Arial" w:hAnsi="Arial" w:cs="Arial"/>
      <w:color w:val="000000"/>
      <w:sz w:val="21"/>
      <w:szCs w:val="21"/>
      <w:u w:val="none"/>
    </w:rPr>
  </w:style>
  <w:style w:type="character" w:styleId="a7">
    <w:name w:val="Hyperlink"/>
    <w:uiPriority w:val="99"/>
    <w:unhideWhenUsed/>
    <w:rsid w:val="00AF5E80"/>
    <w:rPr>
      <w:color w:val="0000FF"/>
      <w:u w:val="single"/>
    </w:rPr>
  </w:style>
  <w:style w:type="paragraph" w:styleId="a8">
    <w:name w:val="Normal (Web)"/>
    <w:basedOn w:val="a"/>
    <w:uiPriority w:val="99"/>
    <w:semiHidden/>
    <w:unhideWhenUsed/>
    <w:rsid w:val="00CE7C21"/>
    <w:pPr>
      <w:widowControl/>
      <w:spacing w:before="100" w:beforeAutospacing="1" w:after="100" w:afterAutospacing="1"/>
      <w:jc w:val="left"/>
    </w:pPr>
    <w:rPr>
      <w:rFonts w:ascii="宋体" w:hAnsi="宋体" w:cs="宋体"/>
      <w:kern w:val="0"/>
      <w:sz w:val="24"/>
    </w:rPr>
  </w:style>
  <w:style w:type="paragraph" w:styleId="a9">
    <w:name w:val="Body Text"/>
    <w:basedOn w:val="a"/>
    <w:link w:val="Char1"/>
    <w:qFormat/>
    <w:rsid w:val="001C2DAC"/>
    <w:pPr>
      <w:spacing w:after="120"/>
    </w:pPr>
  </w:style>
  <w:style w:type="character" w:customStyle="1" w:styleId="Char1">
    <w:name w:val="正文文本 Char"/>
    <w:basedOn w:val="a0"/>
    <w:link w:val="a9"/>
    <w:rsid w:val="001C2DAC"/>
    <w:rPr>
      <w:rFonts w:ascii="Times New Roman" w:eastAsia="宋体" w:hAnsi="Times New Roman"/>
      <w:kern w:val="2"/>
      <w:sz w:val="21"/>
      <w:szCs w:val="24"/>
    </w:rPr>
  </w:style>
  <w:style w:type="paragraph" w:styleId="aa">
    <w:name w:val="toa heading"/>
    <w:basedOn w:val="a"/>
    <w:next w:val="a"/>
    <w:uiPriority w:val="99"/>
    <w:unhideWhenUsed/>
    <w:rsid w:val="00833E0B"/>
    <w:pPr>
      <w:spacing w:before="120"/>
    </w:pPr>
    <w:rPr>
      <w:rFonts w:asciiTheme="majorHAnsi" w:hAnsiTheme="majorHAnsi" w:cstheme="majorBidi"/>
      <w:sz w:val="24"/>
    </w:rPr>
  </w:style>
  <w:style w:type="paragraph" w:styleId="ab">
    <w:name w:val="annotation text"/>
    <w:basedOn w:val="a"/>
    <w:link w:val="Char2"/>
    <w:uiPriority w:val="99"/>
    <w:semiHidden/>
    <w:unhideWhenUsed/>
    <w:rsid w:val="0058010C"/>
    <w:pPr>
      <w:jc w:val="left"/>
    </w:pPr>
  </w:style>
  <w:style w:type="character" w:customStyle="1" w:styleId="Char2">
    <w:name w:val="批注文字 Char"/>
    <w:basedOn w:val="a0"/>
    <w:link w:val="ab"/>
    <w:uiPriority w:val="99"/>
    <w:semiHidden/>
    <w:rsid w:val="0058010C"/>
    <w:rPr>
      <w:rFonts w:ascii="Times New Roman" w:eastAsia="宋体" w:hAnsi="Times New Roman"/>
      <w:kern w:val="2"/>
      <w:sz w:val="21"/>
      <w:szCs w:val="24"/>
    </w:rPr>
  </w:style>
  <w:style w:type="paragraph" w:styleId="ac">
    <w:name w:val="annotation subject"/>
    <w:basedOn w:val="ab"/>
    <w:next w:val="ab"/>
    <w:link w:val="Char3"/>
    <w:uiPriority w:val="99"/>
    <w:semiHidden/>
    <w:unhideWhenUsed/>
    <w:rsid w:val="0058010C"/>
    <w:rPr>
      <w:b/>
      <w:bCs/>
    </w:rPr>
  </w:style>
  <w:style w:type="character" w:customStyle="1" w:styleId="Char3">
    <w:name w:val="批注主题 Char"/>
    <w:basedOn w:val="Char2"/>
    <w:link w:val="ac"/>
    <w:uiPriority w:val="99"/>
    <w:semiHidden/>
    <w:rsid w:val="0058010C"/>
    <w:rPr>
      <w:rFonts w:ascii="Times New Roman" w:eastAsia="宋体" w:hAnsi="Times New Roman"/>
      <w:b/>
      <w:bCs/>
      <w:kern w:val="2"/>
      <w:sz w:val="21"/>
      <w:szCs w:val="24"/>
    </w:rPr>
  </w:style>
  <w:style w:type="paragraph" w:styleId="ad">
    <w:name w:val="Balloon Text"/>
    <w:basedOn w:val="a"/>
    <w:link w:val="Char4"/>
    <w:uiPriority w:val="99"/>
    <w:semiHidden/>
    <w:unhideWhenUsed/>
    <w:rsid w:val="0058010C"/>
    <w:rPr>
      <w:sz w:val="18"/>
      <w:szCs w:val="18"/>
    </w:rPr>
  </w:style>
  <w:style w:type="character" w:customStyle="1" w:styleId="Char4">
    <w:name w:val="批注框文本 Char"/>
    <w:basedOn w:val="a0"/>
    <w:link w:val="ad"/>
    <w:uiPriority w:val="99"/>
    <w:semiHidden/>
    <w:rsid w:val="0058010C"/>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272435">
      <w:bodyDiv w:val="1"/>
      <w:marLeft w:val="0"/>
      <w:marRight w:val="0"/>
      <w:marTop w:val="0"/>
      <w:marBottom w:val="0"/>
      <w:divBdr>
        <w:top w:val="none" w:sz="0" w:space="0" w:color="auto"/>
        <w:left w:val="none" w:sz="0" w:space="0" w:color="auto"/>
        <w:bottom w:val="none" w:sz="0" w:space="0" w:color="auto"/>
        <w:right w:val="none" w:sz="0" w:space="0" w:color="auto"/>
      </w:divBdr>
    </w:div>
    <w:div w:id="420180362">
      <w:bodyDiv w:val="1"/>
      <w:marLeft w:val="0"/>
      <w:marRight w:val="0"/>
      <w:marTop w:val="0"/>
      <w:marBottom w:val="0"/>
      <w:divBdr>
        <w:top w:val="none" w:sz="0" w:space="0" w:color="auto"/>
        <w:left w:val="none" w:sz="0" w:space="0" w:color="auto"/>
        <w:bottom w:val="none" w:sz="0" w:space="0" w:color="auto"/>
        <w:right w:val="none" w:sz="0" w:space="0" w:color="auto"/>
      </w:divBdr>
    </w:div>
    <w:div w:id="476610165">
      <w:bodyDiv w:val="1"/>
      <w:marLeft w:val="0"/>
      <w:marRight w:val="0"/>
      <w:marTop w:val="0"/>
      <w:marBottom w:val="0"/>
      <w:divBdr>
        <w:top w:val="none" w:sz="0" w:space="0" w:color="auto"/>
        <w:left w:val="none" w:sz="0" w:space="0" w:color="auto"/>
        <w:bottom w:val="none" w:sz="0" w:space="0" w:color="auto"/>
        <w:right w:val="none" w:sz="0" w:space="0" w:color="auto"/>
      </w:divBdr>
    </w:div>
    <w:div w:id="754327639">
      <w:bodyDiv w:val="1"/>
      <w:marLeft w:val="0"/>
      <w:marRight w:val="0"/>
      <w:marTop w:val="0"/>
      <w:marBottom w:val="0"/>
      <w:divBdr>
        <w:top w:val="none" w:sz="0" w:space="0" w:color="auto"/>
        <w:left w:val="none" w:sz="0" w:space="0" w:color="auto"/>
        <w:bottom w:val="none" w:sz="0" w:space="0" w:color="auto"/>
        <w:right w:val="none" w:sz="0" w:space="0" w:color="auto"/>
      </w:divBdr>
    </w:div>
    <w:div w:id="1153334616">
      <w:bodyDiv w:val="1"/>
      <w:marLeft w:val="0"/>
      <w:marRight w:val="0"/>
      <w:marTop w:val="0"/>
      <w:marBottom w:val="0"/>
      <w:divBdr>
        <w:top w:val="none" w:sz="0" w:space="0" w:color="auto"/>
        <w:left w:val="none" w:sz="0" w:space="0" w:color="auto"/>
        <w:bottom w:val="none" w:sz="0" w:space="0" w:color="auto"/>
        <w:right w:val="none" w:sz="0" w:space="0" w:color="auto"/>
      </w:divBdr>
    </w:div>
    <w:div w:id="1388721119">
      <w:bodyDiv w:val="1"/>
      <w:marLeft w:val="0"/>
      <w:marRight w:val="0"/>
      <w:marTop w:val="0"/>
      <w:marBottom w:val="0"/>
      <w:divBdr>
        <w:top w:val="none" w:sz="0" w:space="0" w:color="auto"/>
        <w:left w:val="none" w:sz="0" w:space="0" w:color="auto"/>
        <w:bottom w:val="none" w:sz="0" w:space="0" w:color="auto"/>
        <w:right w:val="none" w:sz="0" w:space="0" w:color="auto"/>
      </w:divBdr>
    </w:div>
    <w:div w:id="1404571858">
      <w:bodyDiv w:val="1"/>
      <w:marLeft w:val="0"/>
      <w:marRight w:val="0"/>
      <w:marTop w:val="0"/>
      <w:marBottom w:val="0"/>
      <w:divBdr>
        <w:top w:val="none" w:sz="0" w:space="0" w:color="auto"/>
        <w:left w:val="none" w:sz="0" w:space="0" w:color="auto"/>
        <w:bottom w:val="none" w:sz="0" w:space="0" w:color="auto"/>
        <w:right w:val="none" w:sz="0" w:space="0" w:color="auto"/>
      </w:divBdr>
    </w:div>
    <w:div w:id="1484155895">
      <w:bodyDiv w:val="1"/>
      <w:marLeft w:val="0"/>
      <w:marRight w:val="0"/>
      <w:marTop w:val="0"/>
      <w:marBottom w:val="0"/>
      <w:divBdr>
        <w:top w:val="none" w:sz="0" w:space="0" w:color="auto"/>
        <w:left w:val="none" w:sz="0" w:space="0" w:color="auto"/>
        <w:bottom w:val="none" w:sz="0" w:space="0" w:color="auto"/>
        <w:right w:val="none" w:sz="0" w:space="0" w:color="auto"/>
      </w:divBdr>
    </w:div>
    <w:div w:id="1579171283">
      <w:bodyDiv w:val="1"/>
      <w:marLeft w:val="0"/>
      <w:marRight w:val="0"/>
      <w:marTop w:val="0"/>
      <w:marBottom w:val="0"/>
      <w:divBdr>
        <w:top w:val="none" w:sz="0" w:space="0" w:color="auto"/>
        <w:left w:val="none" w:sz="0" w:space="0" w:color="auto"/>
        <w:bottom w:val="none" w:sz="0" w:space="0" w:color="auto"/>
        <w:right w:val="none" w:sz="0" w:space="0" w:color="auto"/>
      </w:divBdr>
    </w:div>
    <w:div w:id="1622371328">
      <w:bodyDiv w:val="1"/>
      <w:marLeft w:val="0"/>
      <w:marRight w:val="0"/>
      <w:marTop w:val="0"/>
      <w:marBottom w:val="0"/>
      <w:divBdr>
        <w:top w:val="none" w:sz="0" w:space="0" w:color="auto"/>
        <w:left w:val="none" w:sz="0" w:space="0" w:color="auto"/>
        <w:bottom w:val="none" w:sz="0" w:space="0" w:color="auto"/>
        <w:right w:val="none" w:sz="0" w:space="0" w:color="auto"/>
      </w:divBdr>
    </w:div>
    <w:div w:id="1676764219">
      <w:bodyDiv w:val="1"/>
      <w:marLeft w:val="0"/>
      <w:marRight w:val="0"/>
      <w:marTop w:val="0"/>
      <w:marBottom w:val="0"/>
      <w:divBdr>
        <w:top w:val="none" w:sz="0" w:space="0" w:color="auto"/>
        <w:left w:val="none" w:sz="0" w:space="0" w:color="auto"/>
        <w:bottom w:val="none" w:sz="0" w:space="0" w:color="auto"/>
        <w:right w:val="none" w:sz="0" w:space="0" w:color="auto"/>
      </w:divBdr>
    </w:div>
    <w:div w:id="17458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619</Words>
  <Characters>3530</Characters>
  <Application>Microsoft Office Word</Application>
  <DocSecurity>0</DocSecurity>
  <Lines>29</Lines>
  <Paragraphs>8</Paragraphs>
  <ScaleCrop>false</ScaleCrop>
  <Company>Microsoft</Company>
  <LinksUpToDate>false</LinksUpToDate>
  <CharactersWithSpaces>4141</CharactersWithSpaces>
  <SharedDoc>false</SharedDoc>
  <HLinks>
    <vt:vector size="6" baseType="variant">
      <vt:variant>
        <vt:i4>2621462</vt:i4>
      </vt:variant>
      <vt:variant>
        <vt:i4>0</vt:i4>
      </vt:variant>
      <vt:variant>
        <vt:i4>0</vt:i4>
      </vt:variant>
      <vt:variant>
        <vt:i4>5</vt:i4>
      </vt:variant>
      <vt:variant>
        <vt:lpwstr>mailto:%E5%8F%91%E9%80%81%E8%87%B33478473573@qq.com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4</cp:revision>
  <dcterms:created xsi:type="dcterms:W3CDTF">2022-11-29T09:10:00Z</dcterms:created>
  <dcterms:modified xsi:type="dcterms:W3CDTF">2022-11-30T01:15:00Z</dcterms:modified>
</cp:coreProperties>
</file>