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7900F6">
      <w:pPr>
        <w:pStyle w:val="NormalWeb"/>
        <w:spacing w:line="360" w:lineRule="auto"/>
        <w:ind w:left="454" w:right="454"/>
        <w:contextualSpacing/>
        <w:jc w:val="center"/>
        <w:outlineLvl w:val="0"/>
        <w:rPr>
          <w:color w:val="000000"/>
          <w:sz w:val="40"/>
          <w:szCs w:val="40"/>
        </w:rPr>
      </w:pPr>
      <w:r>
        <w:rPr>
          <w:color w:val="000000"/>
          <w:sz w:val="40"/>
          <w:szCs w:val="40"/>
        </w:rPr>
        <w:t>生物标志物分析平台改造项目</w:t>
      </w:r>
    </w:p>
    <w:p w:rsidR="007900F6">
      <w:pPr>
        <w:pStyle w:val="NormalWeb"/>
        <w:spacing w:line="360" w:lineRule="auto"/>
        <w:contextualSpacing/>
        <w:jc w:val="center"/>
        <w:outlineLvl w:val="1"/>
        <w:rPr>
          <w:rFonts w:ascii="黑体" w:eastAsia="黑体" w:hAnsi="黑体"/>
          <w:color w:val="000000"/>
          <w:sz w:val="40"/>
          <w:szCs w:val="40"/>
        </w:rPr>
      </w:pPr>
      <w:r>
        <w:rPr>
          <w:rFonts w:ascii="黑体" w:eastAsia="黑体" w:hAnsi="黑体" w:hint="eastAsia"/>
          <w:color w:val="000000"/>
          <w:sz w:val="40"/>
          <w:szCs w:val="40"/>
        </w:rPr>
        <w:t>招标文件信息</w:t>
      </w:r>
    </w:p>
    <w:tbl>
      <w:tblPr>
        <w:tblStyle w:val="TableNormal"/>
        <w:tblW w:w="7938" w:type="dxa"/>
        <w:jc w:val="center"/>
        <w:tblCellSpacing w:w="0" w:type="dxa"/>
        <w:tblInd w:w="0" w:type="dxa"/>
        <w:tblCellMar>
          <w:top w:w="45" w:type="dxa"/>
          <w:left w:w="45" w:type="dxa"/>
          <w:bottom w:w="45" w:type="dxa"/>
          <w:right w:w="45" w:type="dxa"/>
        </w:tblCellMar>
        <w:tblLook w:val="0000"/>
      </w:tblPr>
      <w:tblGrid>
        <w:gridCol w:w="2722"/>
        <w:gridCol w:w="5216"/>
      </w:tblGrid>
      <w:tr>
        <w:tblPrEx>
          <w:tblW w:w="7938" w:type="dxa"/>
          <w:jc w:val="center"/>
          <w:tblCellSpacing w:w="0" w:type="dxa"/>
          <w:tblInd w:w="0" w:type="dxa"/>
          <w:tblCellMar>
            <w:top w:w="45" w:type="dxa"/>
            <w:left w:w="45" w:type="dxa"/>
            <w:bottom w:w="45" w:type="dxa"/>
            <w:right w:w="45" w:type="dxa"/>
          </w:tblCellMar>
          <w:tblLook w:val="0000"/>
        </w:tblPrEx>
        <w:trPr>
          <w:trHeight w:val="737"/>
          <w:tblCellSpacing w:w="0" w:type="dxa"/>
          <w:jc w:val="center"/>
        </w:trPr>
        <w:tc>
          <w:tcPr>
            <w:tcW w:w="2722" w:type="dxa"/>
            <w:vAlign w:val="center"/>
          </w:tcPr>
          <w:p w:rsidR="007900F6">
            <w:pPr>
              <w:spacing w:line="360" w:lineRule="auto"/>
              <w:contextualSpacing/>
              <w:jc w:val="right"/>
              <w:rPr>
                <w:rFonts w:ascii="宋体" w:hAnsi="宋体" w:cs="宋体"/>
                <w:sz w:val="30"/>
                <w:szCs w:val="30"/>
              </w:rPr>
            </w:pPr>
            <w:r>
              <w:rPr>
                <w:sz w:val="30"/>
                <w:szCs w:val="30"/>
              </w:rPr>
              <w:t>项目编号：</w:t>
            </w:r>
          </w:p>
        </w:tc>
        <w:tc>
          <w:tcPr>
            <w:tcW w:w="0" w:type="auto"/>
            <w:vAlign w:val="center"/>
          </w:tcPr>
          <w:p w:rsidR="007900F6">
            <w:pPr>
              <w:spacing w:line="360" w:lineRule="auto"/>
              <w:contextualSpacing/>
              <w:rPr>
                <w:rFonts w:ascii="宋体" w:hAnsi="宋体" w:cs="宋体"/>
                <w:sz w:val="30"/>
                <w:szCs w:val="30"/>
              </w:rPr>
            </w:pPr>
            <w:r>
              <w:rPr>
                <w:rFonts w:ascii="宋体" w:hAnsi="宋体" w:cs="宋体"/>
                <w:sz w:val="30"/>
                <w:szCs w:val="30"/>
              </w:rPr>
              <w:t>SZDL2022001299</w:t>
            </w:r>
          </w:p>
        </w:tc>
      </w:tr>
      <w:tr>
        <w:tblPrEx>
          <w:tblW w:w="7938" w:type="dxa"/>
          <w:jc w:val="center"/>
          <w:tblCellSpacing w:w="0" w:type="dxa"/>
          <w:tblInd w:w="0" w:type="dxa"/>
          <w:tblCellMar>
            <w:top w:w="45" w:type="dxa"/>
            <w:left w:w="45" w:type="dxa"/>
            <w:bottom w:w="45" w:type="dxa"/>
            <w:right w:w="45" w:type="dxa"/>
          </w:tblCellMar>
          <w:tblLook w:val="0000"/>
        </w:tblPrEx>
        <w:trPr>
          <w:trHeight w:val="737"/>
          <w:tblCellSpacing w:w="0" w:type="dxa"/>
          <w:jc w:val="center"/>
        </w:trPr>
        <w:tc>
          <w:tcPr>
            <w:tcW w:w="0" w:type="auto"/>
            <w:vAlign w:val="center"/>
          </w:tcPr>
          <w:p w:rsidR="007900F6">
            <w:pPr>
              <w:spacing w:line="360" w:lineRule="auto"/>
              <w:contextualSpacing/>
              <w:jc w:val="right"/>
              <w:rPr>
                <w:rFonts w:ascii="宋体" w:hAnsi="宋体" w:cs="宋体"/>
                <w:color w:val="000000"/>
                <w:sz w:val="30"/>
                <w:szCs w:val="30"/>
              </w:rPr>
            </w:pPr>
            <w:r>
              <w:rPr>
                <w:color w:val="000000"/>
                <w:sz w:val="30"/>
                <w:szCs w:val="30"/>
              </w:rPr>
              <w:t>项目名称：</w:t>
            </w:r>
          </w:p>
        </w:tc>
        <w:tc>
          <w:tcPr>
            <w:tcW w:w="0" w:type="auto"/>
            <w:vAlign w:val="center"/>
          </w:tcPr>
          <w:p w:rsidR="007900F6">
            <w:pPr>
              <w:spacing w:line="360" w:lineRule="auto"/>
              <w:contextualSpacing/>
              <w:rPr>
                <w:rFonts w:ascii="宋体" w:hAnsi="宋体" w:cs="宋体"/>
                <w:color w:val="000000"/>
                <w:sz w:val="30"/>
                <w:szCs w:val="30"/>
              </w:rPr>
            </w:pPr>
            <w:r>
              <w:rPr>
                <w:color w:val="000000"/>
                <w:sz w:val="30"/>
                <w:szCs w:val="30"/>
              </w:rPr>
              <w:t>生物标志物分析平台改造项目</w:t>
            </w:r>
          </w:p>
        </w:tc>
      </w:tr>
      <w:tr>
        <w:tblPrEx>
          <w:tblW w:w="7938" w:type="dxa"/>
          <w:jc w:val="center"/>
          <w:tblCellSpacing w:w="0" w:type="dxa"/>
          <w:tblInd w:w="0" w:type="dxa"/>
          <w:tblCellMar>
            <w:top w:w="45" w:type="dxa"/>
            <w:left w:w="45" w:type="dxa"/>
            <w:bottom w:w="45" w:type="dxa"/>
            <w:right w:w="45" w:type="dxa"/>
          </w:tblCellMar>
          <w:tblLook w:val="0000"/>
        </w:tblPrEx>
        <w:trPr>
          <w:trHeight w:val="737"/>
          <w:tblCellSpacing w:w="0" w:type="dxa"/>
          <w:jc w:val="center"/>
        </w:trPr>
        <w:tc>
          <w:tcPr>
            <w:tcW w:w="0" w:type="auto"/>
            <w:vAlign w:val="center"/>
          </w:tcPr>
          <w:p w:rsidR="007900F6">
            <w:pPr>
              <w:spacing w:line="360" w:lineRule="auto"/>
              <w:contextualSpacing/>
              <w:jc w:val="right"/>
              <w:rPr>
                <w:rFonts w:ascii="宋体" w:hAnsi="宋体" w:cs="宋体"/>
                <w:color w:val="000000"/>
                <w:sz w:val="30"/>
                <w:szCs w:val="30"/>
              </w:rPr>
            </w:pPr>
            <w:r>
              <w:rPr>
                <w:color w:val="000000"/>
                <w:sz w:val="30"/>
                <w:szCs w:val="30"/>
              </w:rPr>
              <w:t>包 号：</w:t>
            </w:r>
          </w:p>
        </w:tc>
        <w:tc>
          <w:tcPr>
            <w:tcW w:w="0" w:type="auto"/>
            <w:vAlign w:val="center"/>
          </w:tcPr>
          <w:p w:rsidR="007900F6">
            <w:pPr>
              <w:spacing w:line="360" w:lineRule="auto"/>
              <w:contextualSpacing/>
              <w:rPr>
                <w:rFonts w:ascii="宋体" w:hAnsi="宋体" w:cs="宋体"/>
                <w:color w:val="000000"/>
                <w:sz w:val="30"/>
                <w:szCs w:val="30"/>
              </w:rPr>
            </w:pPr>
            <w:r>
              <w:rPr>
                <w:color w:val="000000"/>
                <w:sz w:val="30"/>
                <w:szCs w:val="30"/>
              </w:rPr>
              <w:t>A</w:t>
            </w:r>
          </w:p>
        </w:tc>
      </w:tr>
      <w:tr>
        <w:tblPrEx>
          <w:tblW w:w="7938" w:type="dxa"/>
          <w:jc w:val="center"/>
          <w:tblCellSpacing w:w="0" w:type="dxa"/>
          <w:tblInd w:w="0" w:type="dxa"/>
          <w:tblCellMar>
            <w:top w:w="45" w:type="dxa"/>
            <w:left w:w="45" w:type="dxa"/>
            <w:bottom w:w="45" w:type="dxa"/>
            <w:right w:w="45" w:type="dxa"/>
          </w:tblCellMar>
          <w:tblLook w:val="0000"/>
        </w:tblPrEx>
        <w:trPr>
          <w:trHeight w:val="737"/>
          <w:tblCellSpacing w:w="0" w:type="dxa"/>
          <w:jc w:val="center"/>
        </w:trPr>
        <w:tc>
          <w:tcPr>
            <w:tcW w:w="0" w:type="auto"/>
            <w:vAlign w:val="center"/>
          </w:tcPr>
          <w:p w:rsidR="007900F6">
            <w:pPr>
              <w:spacing w:line="360" w:lineRule="auto"/>
              <w:contextualSpacing/>
              <w:jc w:val="right"/>
              <w:rPr>
                <w:rFonts w:ascii="宋体" w:hAnsi="宋体" w:cs="宋体"/>
                <w:color w:val="000000"/>
                <w:sz w:val="30"/>
                <w:szCs w:val="30"/>
              </w:rPr>
            </w:pPr>
            <w:r>
              <w:rPr>
                <w:color w:val="000000"/>
                <w:sz w:val="30"/>
                <w:szCs w:val="30"/>
              </w:rPr>
              <w:t>项目类型：</w:t>
            </w:r>
          </w:p>
        </w:tc>
        <w:tc>
          <w:tcPr>
            <w:tcW w:w="0" w:type="auto"/>
            <w:vAlign w:val="center"/>
          </w:tcPr>
          <w:p w:rsidR="007900F6">
            <w:pPr>
              <w:spacing w:line="360" w:lineRule="auto"/>
              <w:contextualSpacing/>
              <w:rPr>
                <w:rFonts w:ascii="宋体" w:hAnsi="宋体" w:cs="宋体"/>
                <w:color w:val="000000"/>
                <w:sz w:val="30"/>
                <w:szCs w:val="30"/>
              </w:rPr>
            </w:pPr>
            <w:r>
              <w:rPr>
                <w:color w:val="000000"/>
                <w:sz w:val="30"/>
                <w:szCs w:val="30"/>
              </w:rPr>
              <w:t>工程类</w:t>
            </w:r>
          </w:p>
        </w:tc>
      </w:tr>
      <w:tr>
        <w:tblPrEx>
          <w:tblW w:w="7938" w:type="dxa"/>
          <w:jc w:val="center"/>
          <w:tblCellSpacing w:w="0" w:type="dxa"/>
          <w:tblInd w:w="0" w:type="dxa"/>
          <w:tblCellMar>
            <w:top w:w="45" w:type="dxa"/>
            <w:left w:w="45" w:type="dxa"/>
            <w:bottom w:w="45" w:type="dxa"/>
            <w:right w:w="45" w:type="dxa"/>
          </w:tblCellMar>
          <w:tblLook w:val="0000"/>
        </w:tblPrEx>
        <w:trPr>
          <w:trHeight w:val="737"/>
          <w:tblCellSpacing w:w="0" w:type="dxa"/>
          <w:jc w:val="center"/>
        </w:trPr>
        <w:tc>
          <w:tcPr>
            <w:tcW w:w="0" w:type="auto"/>
            <w:vAlign w:val="center"/>
          </w:tcPr>
          <w:p w:rsidR="007900F6">
            <w:pPr>
              <w:spacing w:line="360" w:lineRule="auto"/>
              <w:contextualSpacing/>
              <w:jc w:val="right"/>
              <w:rPr>
                <w:rFonts w:ascii="宋体" w:hAnsi="宋体" w:cs="宋体"/>
                <w:color w:val="000000"/>
                <w:sz w:val="30"/>
                <w:szCs w:val="30"/>
              </w:rPr>
            </w:pPr>
            <w:r>
              <w:rPr>
                <w:color w:val="000000"/>
                <w:sz w:val="30"/>
                <w:szCs w:val="30"/>
              </w:rPr>
              <w:t>采购方式：</w:t>
            </w:r>
          </w:p>
        </w:tc>
        <w:tc>
          <w:tcPr>
            <w:tcW w:w="0" w:type="auto"/>
            <w:vAlign w:val="center"/>
          </w:tcPr>
          <w:p w:rsidR="007900F6">
            <w:pPr>
              <w:spacing w:line="360" w:lineRule="auto"/>
              <w:contextualSpacing/>
              <w:rPr>
                <w:rFonts w:ascii="宋体" w:hAnsi="宋体" w:cs="宋体"/>
                <w:color w:val="000000"/>
                <w:sz w:val="30"/>
                <w:szCs w:val="30"/>
              </w:rPr>
            </w:pPr>
            <w:r>
              <w:rPr>
                <w:color w:val="000000"/>
                <w:sz w:val="30"/>
                <w:szCs w:val="30"/>
              </w:rPr>
              <w:t>公开招标</w:t>
            </w:r>
          </w:p>
        </w:tc>
      </w:tr>
      <w:tr>
        <w:tblPrEx>
          <w:tblW w:w="7938" w:type="dxa"/>
          <w:jc w:val="center"/>
          <w:tblCellSpacing w:w="0" w:type="dxa"/>
          <w:tblInd w:w="0" w:type="dxa"/>
          <w:tblCellMar>
            <w:top w:w="45" w:type="dxa"/>
            <w:left w:w="45" w:type="dxa"/>
            <w:bottom w:w="45" w:type="dxa"/>
            <w:right w:w="45" w:type="dxa"/>
          </w:tblCellMar>
          <w:tblLook w:val="0000"/>
        </w:tblPrEx>
        <w:trPr>
          <w:trHeight w:val="737"/>
          <w:tblCellSpacing w:w="0" w:type="dxa"/>
          <w:jc w:val="center"/>
        </w:trPr>
        <w:tc>
          <w:tcPr>
            <w:tcW w:w="0" w:type="auto"/>
            <w:vAlign w:val="center"/>
          </w:tcPr>
          <w:p w:rsidR="007900F6">
            <w:pPr>
              <w:spacing w:line="360" w:lineRule="auto"/>
              <w:contextualSpacing/>
              <w:jc w:val="right"/>
              <w:rPr>
                <w:rFonts w:ascii="宋体" w:hAnsi="宋体" w:cs="宋体"/>
                <w:color w:val="000000"/>
                <w:sz w:val="30"/>
                <w:szCs w:val="30"/>
              </w:rPr>
            </w:pPr>
            <w:r>
              <w:rPr>
                <w:color w:val="000000"/>
                <w:sz w:val="30"/>
                <w:szCs w:val="30"/>
              </w:rPr>
              <w:t>货币类型：</w:t>
            </w:r>
          </w:p>
        </w:tc>
        <w:tc>
          <w:tcPr>
            <w:tcW w:w="0" w:type="auto"/>
            <w:vAlign w:val="center"/>
          </w:tcPr>
          <w:p w:rsidR="007900F6">
            <w:pPr>
              <w:spacing w:line="360" w:lineRule="auto"/>
              <w:contextualSpacing/>
              <w:rPr>
                <w:rFonts w:ascii="宋体" w:hAnsi="宋体" w:cs="宋体"/>
                <w:color w:val="000000"/>
                <w:sz w:val="30"/>
                <w:szCs w:val="30"/>
              </w:rPr>
            </w:pPr>
            <w:r>
              <w:rPr>
                <w:color w:val="000000"/>
                <w:sz w:val="30"/>
                <w:szCs w:val="30"/>
              </w:rPr>
              <w:t>人民币</w:t>
            </w:r>
          </w:p>
        </w:tc>
      </w:tr>
      <w:tr>
        <w:tblPrEx>
          <w:tblW w:w="7938" w:type="dxa"/>
          <w:jc w:val="center"/>
          <w:tblCellSpacing w:w="0" w:type="dxa"/>
          <w:tblInd w:w="0" w:type="dxa"/>
          <w:tblCellMar>
            <w:top w:w="45" w:type="dxa"/>
            <w:left w:w="45" w:type="dxa"/>
            <w:bottom w:w="45" w:type="dxa"/>
            <w:right w:w="45" w:type="dxa"/>
          </w:tblCellMar>
          <w:tblLook w:val="0000"/>
        </w:tblPrEx>
        <w:trPr>
          <w:trHeight w:val="737"/>
          <w:tblCellSpacing w:w="0" w:type="dxa"/>
          <w:jc w:val="center"/>
        </w:trPr>
        <w:tc>
          <w:tcPr>
            <w:tcW w:w="0" w:type="auto"/>
            <w:vAlign w:val="center"/>
          </w:tcPr>
          <w:p w:rsidR="007900F6">
            <w:pPr>
              <w:spacing w:line="360" w:lineRule="auto"/>
              <w:contextualSpacing/>
              <w:jc w:val="right"/>
              <w:rPr>
                <w:rFonts w:ascii="宋体" w:hAnsi="宋体" w:cs="宋体"/>
                <w:color w:val="000000"/>
                <w:sz w:val="30"/>
                <w:szCs w:val="30"/>
              </w:rPr>
            </w:pPr>
            <w:r>
              <w:rPr>
                <w:color w:val="000000"/>
                <w:sz w:val="30"/>
                <w:szCs w:val="30"/>
              </w:rPr>
              <w:t>评标方法：</w:t>
            </w:r>
          </w:p>
        </w:tc>
        <w:tc>
          <w:tcPr>
            <w:tcW w:w="0" w:type="auto"/>
            <w:vAlign w:val="center"/>
          </w:tcPr>
          <w:p w:rsidR="007900F6">
            <w:pPr>
              <w:spacing w:line="360" w:lineRule="auto"/>
              <w:contextualSpacing/>
              <w:rPr>
                <w:rFonts w:ascii="宋体" w:hAnsi="宋体" w:cs="宋体"/>
                <w:color w:val="000000"/>
                <w:sz w:val="30"/>
                <w:szCs w:val="30"/>
              </w:rPr>
            </w:pPr>
            <w:r>
              <w:rPr>
                <w:color w:val="000000"/>
                <w:sz w:val="30"/>
                <w:szCs w:val="30"/>
              </w:rPr>
              <w:t>综合评分法（新价格分算法）</w:t>
            </w:r>
          </w:p>
        </w:tc>
      </w:tr>
    </w:tbl>
    <w:p w:rsidR="007900F6">
      <w:pPr>
        <w:pStyle w:val="NormalWeb"/>
        <w:spacing w:line="360" w:lineRule="auto"/>
        <w:contextualSpacing/>
        <w:jc w:val="center"/>
        <w:outlineLvl w:val="1"/>
        <w:rPr>
          <w:rFonts w:ascii="黑体" w:eastAsia="黑体" w:hAnsi="黑体"/>
          <w:color w:val="000000"/>
          <w:sz w:val="40"/>
          <w:szCs w:val="40"/>
        </w:rPr>
      </w:pPr>
      <w:r>
        <w:rPr>
          <w:rFonts w:ascii="黑体" w:eastAsia="黑体" w:hAnsi="黑体" w:hint="eastAsia"/>
          <w:color w:val="000000"/>
          <w:sz w:val="40"/>
          <w:szCs w:val="40"/>
        </w:rPr>
        <w:t>资格性审查表</w:t>
      </w:r>
    </w:p>
    <w:tbl>
      <w:tblPr>
        <w:tblStyle w:val="TableNormal"/>
        <w:tblW w:w="9072"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000"/>
      </w:tblPr>
      <w:tblGrid>
        <w:gridCol w:w="794"/>
        <w:gridCol w:w="8278"/>
      </w:tblGrid>
      <w:tr>
        <w:tblPrEx>
          <w:tblW w:w="9072"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7900F6">
            <w:pPr>
              <w:spacing w:line="360" w:lineRule="auto"/>
              <w:contextualSpacing/>
              <w:jc w:val="center"/>
              <w:rPr>
                <w:rFonts w:ascii="宋体" w:hAnsi="宋体" w:cs="宋体"/>
                <w:color w:val="000000"/>
                <w:szCs w:val="21"/>
              </w:rPr>
            </w:pPr>
            <w:r>
              <w:rPr>
                <w:rFonts w:ascii="宋体" w:hAnsi="宋体"/>
                <w:color w:val="000000"/>
                <w:szCs w:val="21"/>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rsidR="007900F6">
            <w:pPr>
              <w:spacing w:line="360" w:lineRule="auto"/>
              <w:contextualSpacing/>
              <w:jc w:val="center"/>
              <w:rPr>
                <w:rFonts w:ascii="宋体" w:hAnsi="宋体" w:cs="宋体"/>
                <w:color w:val="000000"/>
                <w:szCs w:val="21"/>
              </w:rPr>
            </w:pPr>
            <w:r>
              <w:rPr>
                <w:rFonts w:ascii="宋体" w:hAnsi="宋体"/>
                <w:color w:val="000000"/>
                <w:szCs w:val="21"/>
              </w:rPr>
              <w:t>内容</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olor w:val="000000"/>
                <w:szCs w:val="21"/>
              </w:rPr>
              <w:t>1</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具有独立法人资格或具有独立承担民事责任的能力的其它组织（提供营业执照或事业单位法人证等法人证明扫描件，原件备查）。</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olor w:val="000000"/>
                <w:szCs w:val="21"/>
              </w:rPr>
              <w:t>2</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本项目不接受投标人选用进口产品参与投标。</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olor w:val="000000"/>
                <w:szCs w:val="21"/>
              </w:rPr>
              <w:t>3</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参与本项目投标前三年内，在经营活动中没有重大违法记录（由供应商在《政府采购投标及履约承诺函》中作出声明）。</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olor w:val="000000"/>
                <w:szCs w:val="21"/>
              </w:rPr>
              <w:t>4</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参与本项目政府采购活动时不存在被有关部门禁止参与政府采购活动且在有效期内的情况（由供应商在《政府采购投标及履约承诺函》中作出声明）。</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olor w:val="000000"/>
                <w:szCs w:val="21"/>
              </w:rPr>
              <w:t>5</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参与本项目的供应商具备《中华人民共和国政府采购法》第二十二条第一款规定的条件（由供应商在《政府采购投标及履约承诺函》中作出声明）。</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olor w:val="000000"/>
                <w:szCs w:val="21"/>
              </w:rPr>
              <w:t>6</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参与政府采购项目投标的供应商未被列入失信被执行人、重大税收违法案件当事人名单、政府采购严重违法失信行为记录名单（由供应商在《政府采购投标及履约承诺函》中作出声明）。</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7</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szCs w:val="21"/>
              </w:rPr>
            </w:pPr>
            <w:r>
              <w:rPr>
                <w:rFonts w:ascii="宋体" w:hAnsi="宋体" w:hint="eastAsia"/>
                <w:szCs w:val="21"/>
                <w:shd w:val="clear" w:color="auto" w:fill="FFFFFF"/>
              </w:rPr>
              <w:t>投标人须具有建筑装修装饰工程专业承包贰级（含贰级）或以上资质和安全生产许可证</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8</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本项目不接受联合体投标。</w:t>
            </w:r>
          </w:p>
        </w:tc>
      </w:tr>
    </w:tbl>
    <w:p w:rsidR="007900F6">
      <w:pPr>
        <w:pStyle w:val="NormalWeb"/>
        <w:spacing w:line="360" w:lineRule="auto"/>
        <w:contextualSpacing/>
        <w:jc w:val="center"/>
        <w:outlineLvl w:val="1"/>
        <w:rPr>
          <w:rFonts w:ascii="黑体" w:eastAsia="黑体" w:hAnsi="黑体"/>
          <w:color w:val="000000"/>
          <w:sz w:val="40"/>
          <w:szCs w:val="40"/>
        </w:rPr>
      </w:pPr>
      <w:r>
        <w:rPr>
          <w:rFonts w:ascii="黑体" w:eastAsia="黑体" w:hAnsi="黑体" w:hint="eastAsia"/>
          <w:color w:val="000000"/>
          <w:sz w:val="40"/>
          <w:szCs w:val="40"/>
        </w:rPr>
        <w:t>符合性审查表</w:t>
      </w:r>
    </w:p>
    <w:tbl>
      <w:tblPr>
        <w:tblStyle w:val="TableNormal"/>
        <w:tblW w:w="9072"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000"/>
      </w:tblPr>
      <w:tblGrid>
        <w:gridCol w:w="794"/>
        <w:gridCol w:w="8278"/>
      </w:tblGrid>
      <w:tr>
        <w:tblPrEx>
          <w:tblW w:w="9072"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7900F6">
            <w:pPr>
              <w:spacing w:line="360" w:lineRule="auto"/>
              <w:contextualSpacing/>
              <w:jc w:val="center"/>
              <w:rPr>
                <w:rFonts w:ascii="宋体" w:hAnsi="宋体" w:cs="宋体"/>
                <w:color w:val="000000"/>
                <w:szCs w:val="21"/>
              </w:rPr>
            </w:pPr>
            <w:r>
              <w:rPr>
                <w:rFonts w:ascii="宋体" w:hAnsi="宋体"/>
                <w:color w:val="000000"/>
                <w:szCs w:val="21"/>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rsidR="007900F6">
            <w:pPr>
              <w:spacing w:line="360" w:lineRule="auto"/>
              <w:contextualSpacing/>
              <w:jc w:val="center"/>
              <w:rPr>
                <w:rFonts w:ascii="宋体" w:hAnsi="宋体" w:cs="宋体"/>
                <w:color w:val="000000"/>
                <w:szCs w:val="21"/>
              </w:rPr>
            </w:pPr>
            <w:r>
              <w:rPr>
                <w:rFonts w:ascii="宋体" w:hAnsi="宋体"/>
                <w:color w:val="000000"/>
                <w:szCs w:val="21"/>
              </w:rPr>
              <w:t>内容</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s="宋体" w:hint="eastAsia"/>
                <w:color w:val="000000"/>
                <w:szCs w:val="21"/>
              </w:rPr>
              <w:t>1</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s="宋体" w:hint="eastAsia"/>
                <w:color w:val="000000"/>
                <w:kern w:val="0"/>
                <w:szCs w:val="21"/>
              </w:rPr>
              <w:t>完成网上</w:t>
            </w:r>
            <w:r w:rsidRPr="00832189">
              <w:rPr>
                <w:rFonts w:ascii="宋体" w:hAnsi="宋体" w:cs="宋体" w:hint="eastAsia"/>
                <w:color w:val="000000"/>
                <w:kern w:val="0"/>
                <w:szCs w:val="21"/>
              </w:rPr>
              <w:t>投标响应报名后，供应商如确认参加本项目投标，请于</w:t>
            </w:r>
            <w:r w:rsidRPr="00832189">
              <w:rPr>
                <w:rFonts w:ascii="宋体" w:hAnsi="宋体" w:cs="宋体"/>
                <w:color w:val="000000"/>
                <w:szCs w:val="21"/>
              </w:rPr>
              <w:t>2022</w:t>
            </w:r>
            <w:r w:rsidRPr="00832189">
              <w:rPr>
                <w:rFonts w:ascii="宋体" w:hAnsi="宋体" w:cs="宋体" w:hint="eastAsia"/>
                <w:color w:val="000000"/>
                <w:szCs w:val="21"/>
              </w:rPr>
              <w:t>年</w:t>
            </w:r>
            <w:r w:rsidRPr="00832189">
              <w:rPr>
                <w:rFonts w:ascii="宋体" w:hAnsi="宋体" w:cs="宋体"/>
                <w:color w:val="000000"/>
                <w:szCs w:val="21"/>
              </w:rPr>
              <w:t>06</w:t>
            </w:r>
            <w:r w:rsidRPr="00832189">
              <w:rPr>
                <w:rFonts w:ascii="宋体" w:hAnsi="宋体" w:cs="宋体" w:hint="eastAsia"/>
                <w:color w:val="000000"/>
                <w:szCs w:val="21"/>
              </w:rPr>
              <w:t>月</w:t>
            </w:r>
            <w:r w:rsidRPr="00832189">
              <w:rPr>
                <w:rFonts w:ascii="宋体" w:hAnsi="宋体" w:cs="宋体"/>
                <w:color w:val="000000"/>
                <w:szCs w:val="21"/>
              </w:rPr>
              <w:t>23</w:t>
            </w:r>
            <w:r w:rsidRPr="00832189">
              <w:rPr>
                <w:rFonts w:ascii="宋体" w:hAnsi="宋体" w:cs="宋体" w:hint="eastAsia"/>
                <w:color w:val="000000"/>
                <w:szCs w:val="21"/>
              </w:rPr>
              <w:t>日至</w:t>
            </w:r>
            <w:r w:rsidRPr="00832189">
              <w:rPr>
                <w:rFonts w:ascii="宋体" w:hAnsi="宋体" w:cs="宋体"/>
                <w:color w:val="000000"/>
                <w:szCs w:val="21"/>
              </w:rPr>
              <w:t>2022</w:t>
            </w:r>
            <w:r w:rsidRPr="00832189">
              <w:rPr>
                <w:rFonts w:ascii="宋体" w:hAnsi="宋体" w:cs="宋体" w:hint="eastAsia"/>
                <w:color w:val="000000"/>
                <w:szCs w:val="21"/>
              </w:rPr>
              <w:t>年</w:t>
            </w:r>
            <w:r w:rsidRPr="00832189">
              <w:rPr>
                <w:rFonts w:ascii="宋体" w:hAnsi="宋体" w:cs="宋体"/>
                <w:color w:val="000000"/>
                <w:szCs w:val="21"/>
              </w:rPr>
              <w:t>07</w:t>
            </w:r>
            <w:r w:rsidRPr="00832189">
              <w:rPr>
                <w:rFonts w:ascii="宋体" w:hAnsi="宋体" w:cs="宋体" w:hint="eastAsia"/>
                <w:color w:val="000000"/>
                <w:szCs w:val="21"/>
              </w:rPr>
              <w:t>月</w:t>
            </w:r>
            <w:r w:rsidRPr="00832189">
              <w:rPr>
                <w:rFonts w:ascii="宋体" w:hAnsi="宋体" w:cs="宋体"/>
                <w:color w:val="000000"/>
                <w:szCs w:val="21"/>
              </w:rPr>
              <w:t>04</w:t>
            </w:r>
            <w:r w:rsidRPr="00832189">
              <w:rPr>
                <w:rFonts w:ascii="宋体" w:hAnsi="宋体" w:cs="宋体" w:hint="eastAsia"/>
                <w:color w:val="000000"/>
                <w:szCs w:val="21"/>
              </w:rPr>
              <w:t>日</w:t>
            </w:r>
            <w:r w:rsidRPr="00832189">
              <w:rPr>
                <w:rFonts w:ascii="宋体" w:hAnsi="宋体"/>
                <w:szCs w:val="21"/>
              </w:rPr>
              <w:t>14</w:t>
            </w:r>
            <w:r w:rsidRPr="00832189">
              <w:rPr>
                <w:rFonts w:ascii="宋体" w:hAnsi="宋体" w:hint="eastAsia"/>
                <w:szCs w:val="21"/>
              </w:rPr>
              <w:t>点</w:t>
            </w:r>
            <w:r w:rsidRPr="00832189">
              <w:rPr>
                <w:rFonts w:ascii="宋体" w:hAnsi="宋体"/>
                <w:szCs w:val="21"/>
              </w:rPr>
              <w:t>00</w:t>
            </w:r>
            <w:r w:rsidRPr="00832189">
              <w:rPr>
                <w:rFonts w:ascii="宋体" w:hAnsi="宋体" w:hint="eastAsia"/>
                <w:szCs w:val="21"/>
              </w:rPr>
              <w:t>分前</w:t>
            </w:r>
            <w:r w:rsidRPr="00832189">
              <w:rPr>
                <w:rFonts w:ascii="宋体" w:hAnsi="宋体" w:cs="宋体" w:hint="eastAsia"/>
                <w:color w:val="000000"/>
                <w:kern w:val="0"/>
                <w:szCs w:val="21"/>
              </w:rPr>
              <w:t>，每天上午</w:t>
            </w:r>
            <w:r w:rsidRPr="00832189">
              <w:rPr>
                <w:rFonts w:ascii="宋体" w:hAnsi="宋体" w:cs="宋体"/>
                <w:color w:val="000000"/>
                <w:kern w:val="0"/>
                <w:szCs w:val="21"/>
              </w:rPr>
              <w:t>9</w:t>
            </w:r>
            <w:r w:rsidRPr="00832189">
              <w:rPr>
                <w:rFonts w:ascii="宋体" w:hAnsi="宋体" w:cs="宋体" w:hint="eastAsia"/>
                <w:color w:val="000000"/>
                <w:kern w:val="0"/>
                <w:szCs w:val="21"/>
              </w:rPr>
              <w:t>时</w:t>
            </w:r>
            <w:r w:rsidRPr="00832189">
              <w:rPr>
                <w:rFonts w:ascii="宋体" w:hAnsi="宋体" w:cs="宋体"/>
                <w:color w:val="000000"/>
                <w:kern w:val="0"/>
                <w:szCs w:val="21"/>
              </w:rPr>
              <w:t>00</w:t>
            </w:r>
            <w:r w:rsidRPr="00832189">
              <w:rPr>
                <w:rFonts w:ascii="宋体" w:hAnsi="宋体" w:cs="宋体" w:hint="eastAsia"/>
                <w:color w:val="000000"/>
                <w:kern w:val="0"/>
                <w:szCs w:val="21"/>
              </w:rPr>
              <w:t>分至</w:t>
            </w:r>
            <w:r w:rsidRPr="00832189">
              <w:rPr>
                <w:rFonts w:ascii="宋体" w:hAnsi="宋体" w:cs="宋体"/>
                <w:color w:val="000000"/>
                <w:kern w:val="0"/>
                <w:szCs w:val="21"/>
              </w:rPr>
              <w:t>1</w:t>
            </w:r>
            <w:r w:rsidRPr="00832189">
              <w:rPr>
                <w:rFonts w:ascii="宋体" w:hAnsi="宋体" w:cs="宋体" w:hint="eastAsia"/>
                <w:color w:val="000000"/>
                <w:kern w:val="0"/>
                <w:szCs w:val="21"/>
              </w:rPr>
              <w:t>2时0</w:t>
            </w:r>
            <w:r w:rsidRPr="00832189">
              <w:rPr>
                <w:rFonts w:ascii="宋体" w:hAnsi="宋体" w:cs="宋体"/>
                <w:color w:val="000000"/>
                <w:kern w:val="0"/>
                <w:szCs w:val="21"/>
              </w:rPr>
              <w:t>0</w:t>
            </w:r>
            <w:r w:rsidRPr="00832189">
              <w:rPr>
                <w:rFonts w:ascii="宋体" w:hAnsi="宋体" w:cs="宋体" w:hint="eastAsia"/>
                <w:color w:val="000000"/>
                <w:kern w:val="0"/>
                <w:szCs w:val="21"/>
              </w:rPr>
              <w:t>分，下午</w:t>
            </w:r>
            <w:r w:rsidRPr="00832189">
              <w:rPr>
                <w:rFonts w:ascii="宋体" w:hAnsi="宋体" w:cs="宋体"/>
                <w:color w:val="000000"/>
                <w:kern w:val="0"/>
                <w:szCs w:val="21"/>
              </w:rPr>
              <w:t>14</w:t>
            </w:r>
            <w:r w:rsidRPr="00832189">
              <w:rPr>
                <w:rFonts w:ascii="宋体" w:hAnsi="宋体" w:cs="宋体" w:hint="eastAsia"/>
                <w:color w:val="000000"/>
                <w:kern w:val="0"/>
                <w:szCs w:val="21"/>
              </w:rPr>
              <w:t>时</w:t>
            </w:r>
            <w:r w:rsidRPr="00832189">
              <w:rPr>
                <w:rFonts w:ascii="宋体" w:hAnsi="宋体" w:cs="宋体"/>
                <w:color w:val="000000"/>
                <w:kern w:val="0"/>
                <w:szCs w:val="21"/>
              </w:rPr>
              <w:t>00</w:t>
            </w:r>
            <w:r w:rsidRPr="00832189">
              <w:rPr>
                <w:rFonts w:ascii="宋体" w:hAnsi="宋体" w:cs="宋体" w:hint="eastAsia"/>
                <w:color w:val="000000"/>
                <w:kern w:val="0"/>
                <w:szCs w:val="21"/>
              </w:rPr>
              <w:t>分至</w:t>
            </w:r>
            <w:r w:rsidRPr="00832189">
              <w:rPr>
                <w:rFonts w:ascii="宋体" w:hAnsi="宋体" w:cs="宋体"/>
                <w:color w:val="000000"/>
                <w:kern w:val="0"/>
                <w:szCs w:val="21"/>
              </w:rPr>
              <w:t>17</w:t>
            </w:r>
            <w:r w:rsidRPr="00832189">
              <w:rPr>
                <w:rFonts w:ascii="宋体" w:hAnsi="宋体" w:cs="宋体" w:hint="eastAsia"/>
                <w:color w:val="000000"/>
                <w:kern w:val="0"/>
                <w:szCs w:val="21"/>
              </w:rPr>
              <w:t>时</w:t>
            </w:r>
            <w:r w:rsidRPr="00832189">
              <w:rPr>
                <w:rFonts w:ascii="宋体" w:hAnsi="宋体" w:cs="宋体"/>
                <w:color w:val="000000"/>
                <w:kern w:val="0"/>
                <w:szCs w:val="21"/>
              </w:rPr>
              <w:t>30</w:t>
            </w:r>
            <w:r w:rsidRPr="00832189">
              <w:rPr>
                <w:rFonts w:ascii="宋体" w:hAnsi="宋体" w:cs="宋体" w:hint="eastAsia"/>
                <w:color w:val="000000"/>
                <w:kern w:val="0"/>
                <w:szCs w:val="21"/>
              </w:rPr>
              <w:t>分（北京时间，法定节假日除外）将投标登记资料原件送或扫描件发至代理机构（扫描件发送到代理机构邮箱：285720828@qq.com）留存备案，否则报名无效。并缴纳登记费</w:t>
            </w:r>
            <w:r w:rsidRPr="00832189">
              <w:rPr>
                <w:rFonts w:ascii="宋体" w:hAnsi="宋体" w:cs="宋体"/>
                <w:color w:val="000000"/>
                <w:kern w:val="0"/>
                <w:szCs w:val="21"/>
              </w:rPr>
              <w:t>600</w:t>
            </w:r>
            <w:r w:rsidRPr="00832189">
              <w:rPr>
                <w:rFonts w:ascii="宋体" w:hAnsi="宋体" w:cs="宋体" w:hint="eastAsia"/>
                <w:color w:val="000000"/>
                <w:kern w:val="0"/>
                <w:szCs w:val="21"/>
              </w:rPr>
              <w:t>元（仅接受现金或对公转账）逾期不接受报名。</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2</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将一个包或一个标段的内容拆开投标；</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3</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对同一项目投标时，提供两套以上的投标方案（招标文件另有规定的除外）；</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4</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投标报价高于财政预算限额（最高投标限价）的；</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5</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同一项目出现两个及以上报价，且按规定无法确定哪个是有效报价；</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6</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作出报价合理性说明，以及书面说明是否采纳等判断不一致的，按照“少数服从多数”的原则确定评审委员会的意见）；</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7</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投标报价有严重缺漏项目：</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8</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所投产品、工程、服务在商务、技术等方面没有实质性满足招标文件要求的（是否实质性满足招标文件要求，由评标委员会根据《实质性条款响应情况表》做出评判）；</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9</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未按招标文件所提供的样式填写《投标函》；未按招标文件所提供的《政府采购投标及履约承诺函》进行承诺；未按招标文件对投标文件组成的要求提供投标文件的（投标文件组成不完整）；</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hint="eastAsia"/>
                <w:color w:val="000000"/>
                <w:szCs w:val="21"/>
              </w:rPr>
              <w:t>10</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投标文件存在规避信息公开情形的；</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olor w:val="000000"/>
                <w:szCs w:val="21"/>
              </w:rPr>
              <w:t>1</w:t>
            </w:r>
            <w:r>
              <w:rPr>
                <w:rFonts w:ascii="宋体" w:hAnsi="宋体" w:hint="eastAsia"/>
                <w:color w:val="000000"/>
                <w:szCs w:val="21"/>
              </w:rPr>
              <w:t>1</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投标文件电子文档带病毒；</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olor w:val="000000"/>
                <w:szCs w:val="21"/>
              </w:rPr>
              <w:t>1</w:t>
            </w:r>
            <w:r>
              <w:rPr>
                <w:rFonts w:ascii="宋体" w:hAnsi="宋体" w:hint="eastAsia"/>
                <w:color w:val="000000"/>
                <w:szCs w:val="21"/>
              </w:rPr>
              <w:t>2</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投标文件用不属于本公司的电子密钥进行加密的；</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olor w:val="000000"/>
                <w:szCs w:val="21"/>
              </w:rPr>
              <w:t>1</w:t>
            </w:r>
            <w:r>
              <w:rPr>
                <w:rFonts w:ascii="宋体" w:hAnsi="宋体" w:hint="eastAsia"/>
                <w:color w:val="000000"/>
                <w:szCs w:val="21"/>
              </w:rPr>
              <w:t>3</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误选了非本项目的最新加密规则文件，导致投标文件不能在开标时解密；</w:t>
            </w:r>
          </w:p>
        </w:tc>
      </w:tr>
      <w:tr>
        <w:tblPrEx>
          <w:tblW w:w="9072" w:type="dxa"/>
          <w:jc w:val="center"/>
          <w:tblInd w:w="0" w:type="dxa"/>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7900F6">
            <w:pPr>
              <w:spacing w:line="360" w:lineRule="auto"/>
              <w:contextualSpacing/>
              <w:jc w:val="center"/>
              <w:rPr>
                <w:rFonts w:ascii="宋体" w:hAnsi="宋体" w:cs="宋体"/>
                <w:color w:val="000000"/>
                <w:szCs w:val="21"/>
              </w:rPr>
            </w:pPr>
            <w:r>
              <w:rPr>
                <w:rFonts w:ascii="宋体" w:hAnsi="宋体"/>
                <w:color w:val="000000"/>
                <w:szCs w:val="21"/>
              </w:rPr>
              <w:t>1</w:t>
            </w:r>
            <w:r>
              <w:rPr>
                <w:rFonts w:ascii="宋体" w:hAnsi="宋体" w:hint="eastAsia"/>
                <w:color w:val="000000"/>
                <w:szCs w:val="21"/>
              </w:rPr>
              <w:t>4</w:t>
            </w:r>
          </w:p>
        </w:tc>
        <w:tc>
          <w:tcPr>
            <w:tcW w:w="0" w:type="auto"/>
            <w:tcBorders>
              <w:top w:val="single" w:sz="8" w:space="0" w:color="000000"/>
              <w:left w:val="single" w:sz="8" w:space="0" w:color="000000"/>
              <w:bottom w:val="single" w:sz="8" w:space="0" w:color="000000"/>
              <w:right w:val="single" w:sz="8" w:space="0" w:color="000000"/>
            </w:tcBorders>
          </w:tcPr>
          <w:p w:rsidR="007900F6">
            <w:pPr>
              <w:spacing w:line="360" w:lineRule="auto"/>
              <w:contextualSpacing/>
              <w:rPr>
                <w:rFonts w:ascii="宋体" w:hAnsi="宋体" w:cs="宋体"/>
                <w:color w:val="000000"/>
                <w:szCs w:val="21"/>
              </w:rPr>
            </w:pPr>
            <w:r>
              <w:rPr>
                <w:rFonts w:ascii="宋体" w:hAnsi="宋体"/>
                <w:color w:val="000000"/>
                <w:szCs w:val="21"/>
              </w:rPr>
              <w:t>法律、法规规定的其他情形。</w:t>
            </w:r>
          </w:p>
        </w:tc>
      </w:tr>
    </w:tbl>
    <w:p w:rsidR="007900F6">
      <w:pPr>
        <w:pStyle w:val="NormalWeb"/>
        <w:spacing w:line="360" w:lineRule="auto"/>
        <w:contextualSpacing/>
        <w:jc w:val="center"/>
        <w:rPr>
          <w:rFonts w:ascii="黑体" w:eastAsia="黑体" w:hAnsi="黑体"/>
          <w:color w:val="000000"/>
          <w:sz w:val="40"/>
          <w:szCs w:val="40"/>
        </w:rPr>
      </w:pPr>
    </w:p>
    <w:p w:rsidR="007900F6">
      <w:pPr>
        <w:pStyle w:val="NormalWeb"/>
        <w:spacing w:line="360" w:lineRule="auto"/>
        <w:contextualSpacing/>
        <w:jc w:val="center"/>
        <w:outlineLvl w:val="1"/>
        <w:rPr>
          <w:rFonts w:ascii="黑体" w:eastAsia="黑体" w:hAnsi="黑体"/>
          <w:color w:val="000000"/>
          <w:sz w:val="40"/>
          <w:szCs w:val="40"/>
        </w:rPr>
      </w:pPr>
      <w:r>
        <w:rPr>
          <w:rFonts w:ascii="黑体" w:eastAsia="黑体" w:hAnsi="黑体" w:hint="eastAsia"/>
          <w:color w:val="000000"/>
          <w:sz w:val="40"/>
          <w:szCs w:val="40"/>
        </w:rPr>
        <w:t>评标信息</w:t>
      </w:r>
    </w:p>
    <w:tbl>
      <w:tblPr>
        <w:tblStyle w:val="TableNormal"/>
        <w:tblW w:w="9072" w:type="dxa"/>
        <w:jc w:val="center"/>
        <w:tblCellSpacing w:w="0" w:type="dxa"/>
        <w:tblInd w:w="0" w:type="dxa"/>
        <w:tblCellMar>
          <w:top w:w="45" w:type="dxa"/>
          <w:left w:w="45" w:type="dxa"/>
          <w:bottom w:w="45" w:type="dxa"/>
          <w:right w:w="45" w:type="dxa"/>
        </w:tblCellMar>
        <w:tblLook w:val="0000"/>
      </w:tblPr>
      <w:tblGrid>
        <w:gridCol w:w="8716"/>
        <w:gridCol w:w="356"/>
      </w:tblGrid>
      <w:tr>
        <w:tblPrEx>
          <w:tblW w:w="9072" w:type="dxa"/>
          <w:jc w:val="center"/>
          <w:tblCellSpacing w:w="0" w:type="dxa"/>
          <w:tblInd w:w="0" w:type="dxa"/>
          <w:tblCellMar>
            <w:top w:w="45" w:type="dxa"/>
            <w:left w:w="45" w:type="dxa"/>
            <w:bottom w:w="45" w:type="dxa"/>
            <w:right w:w="45" w:type="dxa"/>
          </w:tblCellMar>
          <w:tblLook w:val="0000"/>
        </w:tblPrEx>
        <w:trPr>
          <w:tblCellSpacing w:w="0" w:type="dxa"/>
          <w:jc w:val="center"/>
        </w:trPr>
        <w:tc>
          <w:tcPr>
            <w:tcW w:w="0" w:type="auto"/>
            <w:tcBorders>
              <w:top w:val="nil"/>
              <w:left w:val="nil"/>
              <w:bottom w:val="nil"/>
              <w:right w:val="nil"/>
            </w:tcBorders>
            <w:vAlign w:val="center"/>
          </w:tcPr>
          <w:p w:rsidR="007900F6">
            <w:pPr>
              <w:spacing w:line="360" w:lineRule="auto"/>
              <w:contextualSpacing/>
              <w:rPr>
                <w:rFonts w:ascii="宋体" w:hAnsi="宋体" w:cs="宋体"/>
                <w:b/>
                <w:bCs/>
                <w:color w:val="000000"/>
                <w:sz w:val="24"/>
              </w:rPr>
            </w:pPr>
            <w:r>
              <w:rPr>
                <w:b/>
                <w:bCs/>
                <w:color w:val="000000"/>
              </w:rPr>
              <w:t>评标方法：综合评分法（新价格分算法）</w:t>
            </w:r>
          </w:p>
        </w:tc>
        <w:tc>
          <w:tcPr>
            <w:tcW w:w="0" w:type="auto"/>
            <w:tcBorders>
              <w:top w:val="nil"/>
              <w:left w:val="nil"/>
              <w:bottom w:val="nil"/>
              <w:right w:val="nil"/>
            </w:tcBorders>
            <w:vAlign w:val="center"/>
          </w:tcPr>
          <w:p w:rsidR="007900F6">
            <w:pPr>
              <w:spacing w:line="360" w:lineRule="auto"/>
              <w:contextualSpacing/>
              <w:jc w:val="right"/>
              <w:rPr>
                <w:rFonts w:ascii="宋体" w:hAnsi="宋体" w:cs="宋体"/>
                <w:b/>
                <w:bCs/>
                <w:color w:val="000000"/>
                <w:sz w:val="24"/>
              </w:rPr>
            </w:pPr>
          </w:p>
        </w:tc>
      </w:tr>
      <w:tr>
        <w:tblPrEx>
          <w:tblW w:w="9072" w:type="dxa"/>
          <w:jc w:val="center"/>
          <w:tblCellSpacing w:w="0" w:type="dxa"/>
          <w:tblInd w:w="0" w:type="dxa"/>
          <w:tblCellMar>
            <w:top w:w="45" w:type="dxa"/>
            <w:left w:w="45" w:type="dxa"/>
            <w:bottom w:w="45" w:type="dxa"/>
            <w:right w:w="45" w:type="dxa"/>
          </w:tblCellMar>
          <w:tblLook w:val="0000"/>
        </w:tblPrEx>
        <w:trPr>
          <w:tblCellSpacing w:w="0" w:type="dxa"/>
          <w:jc w:val="center"/>
        </w:trPr>
        <w:tc>
          <w:tcPr>
            <w:tcW w:w="0" w:type="auto"/>
            <w:gridSpan w:val="2"/>
            <w:tcBorders>
              <w:top w:val="nil"/>
              <w:left w:val="nil"/>
              <w:bottom w:val="nil"/>
              <w:right w:val="nil"/>
            </w:tcBorders>
            <w:vAlign w:val="center"/>
          </w:tcPr>
          <w:p w:rsidR="007900F6">
            <w:pPr>
              <w:pStyle w:val="NormalWeb"/>
              <w:spacing w:line="360" w:lineRule="auto"/>
              <w:ind w:firstLine="420"/>
              <w:contextualSpacing/>
              <w:rPr>
                <w:color w:val="000000"/>
                <w:sz w:val="21"/>
                <w:szCs w:val="21"/>
              </w:rPr>
            </w:pPr>
            <w:r>
              <w:rPr>
                <w:color w:val="000000"/>
                <w:sz w:val="21"/>
                <w:szCs w:val="21"/>
              </w:rPr>
              <w:t xml:space="preserve">综合评分法，是指投标文件满足招标文件全部实质性要求，且按照评审因素的量化指标评审得分最高的投标人为中标候选人的评标方法。 </w:t>
            </w:r>
          </w:p>
          <w:p w:rsidR="007900F6">
            <w:pPr>
              <w:pStyle w:val="NormalWeb"/>
              <w:spacing w:line="360" w:lineRule="auto"/>
              <w:ind w:firstLine="420"/>
              <w:contextualSpacing/>
              <w:rPr>
                <w:color w:val="000000"/>
                <w:sz w:val="21"/>
                <w:szCs w:val="21"/>
              </w:rPr>
            </w:pPr>
            <w:r>
              <w:rPr>
                <w:color w:val="000000"/>
                <w:sz w:val="21"/>
                <w:szCs w:val="21"/>
              </w:rPr>
              <w:t>价格分计算方法：</w:t>
            </w:r>
          </w:p>
          <w:p w:rsidR="007900F6">
            <w:pPr>
              <w:pStyle w:val="NormalWeb"/>
              <w:spacing w:line="360" w:lineRule="auto"/>
              <w:ind w:left="420"/>
              <w:contextualSpacing/>
              <w:rPr>
                <w:color w:val="000000"/>
                <w:sz w:val="21"/>
                <w:szCs w:val="21"/>
              </w:rPr>
            </w:pPr>
            <w:r>
              <w:rPr>
                <w:color w:val="000000"/>
                <w:sz w:val="21"/>
                <w:szCs w:val="21"/>
              </w:rPr>
              <w:t xml:space="preserve">采用低价优先法计算，即满足招标文件要求且投标价格最低的投标报价为评标基准价，其价格分为满分。其他投标人的价格分统一按照下列公式计算： </w:t>
              <w:br/>
              <w:t xml:space="preserve">投标报价得分=(评标基准价／投标报价)×100 </w:t>
              <w:br/>
              <w:t xml:space="preserve">评标总得分＝F1×A1＋F2×A2＋……＋Fn×An </w:t>
              <w:br/>
              <w:t xml:space="preserve">F1、F2……Fn分别为各项评审因素的得分； </w:t>
              <w:br/>
              <w:t xml:space="preserve">A1、A2、……An 分别为各项评审因素所占的权重(A1＋A2＋……＋An＝1)。 </w:t>
              <w:br/>
              <w:t xml:space="preserve">评标过程中，不得去掉报价中的最高报价和最低报价。 </w:t>
              <w:br/>
              <w:t xml:space="preserve">此方法适用于货物类、服务类、工程类项目。 </w:t>
            </w:r>
          </w:p>
          <w:tbl>
            <w:tblPr>
              <w:tblStyle w:val="TableNormal"/>
              <w:tblW w:w="7785"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000"/>
            </w:tblPr>
            <w:tblGrid>
              <w:gridCol w:w="680"/>
              <w:gridCol w:w="680"/>
              <w:gridCol w:w="1660"/>
              <w:gridCol w:w="850"/>
              <w:gridCol w:w="3915"/>
            </w:tblGrid>
            <w:tr>
              <w:tblPrEx>
                <w:tblW w:w="7785"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000"/>
              </w:tblPrEx>
              <w:trPr>
                <w:jc w:val="center"/>
              </w:trPr>
              <w:tc>
                <w:tcPr>
                  <w:tcW w:w="680" w:type="dxa"/>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r>
                    <w:rPr>
                      <w:rFonts w:ascii="宋体" w:hAnsi="宋体"/>
                      <w:szCs w:val="21"/>
                    </w:rPr>
                    <w:t>序号</w:t>
                  </w:r>
                </w:p>
              </w:tc>
              <w:tc>
                <w:tcPr>
                  <w:tcW w:w="3190" w:type="dxa"/>
                  <w:gridSpan w:val="3"/>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r>
                    <w:rPr>
                      <w:rFonts w:ascii="宋体" w:hAnsi="宋体"/>
                      <w:szCs w:val="21"/>
                    </w:rPr>
                    <w:t>评分项</w:t>
                  </w:r>
                </w:p>
              </w:tc>
              <w:tc>
                <w:tcPr>
                  <w:tcW w:w="3915" w:type="dxa"/>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r>
                    <w:rPr>
                      <w:rFonts w:ascii="宋体" w:hAnsi="宋体"/>
                      <w:szCs w:val="21"/>
                    </w:rPr>
                    <w:t>权重(%)</w:t>
                  </w:r>
                </w:p>
              </w:tc>
            </w:tr>
            <w:tr>
              <w:tblPrEx>
                <w:tblW w:w="7785" w:type="dxa"/>
                <w:jc w:val="center"/>
                <w:tblInd w:w="0" w:type="dxa"/>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r>
                    <w:rPr>
                      <w:rFonts w:ascii="宋体" w:hAnsi="宋体"/>
                      <w:szCs w:val="21"/>
                    </w:rPr>
                    <w:t>1</w:t>
                  </w:r>
                </w:p>
              </w:tc>
              <w:tc>
                <w:tcPr>
                  <w:tcW w:w="3190" w:type="dxa"/>
                  <w:gridSpan w:val="3"/>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r>
                    <w:rPr>
                      <w:rFonts w:ascii="宋体" w:hAnsi="宋体"/>
                      <w:szCs w:val="21"/>
                    </w:rPr>
                    <w:t>价格</w:t>
                  </w:r>
                </w:p>
              </w:tc>
              <w:tc>
                <w:tcPr>
                  <w:tcW w:w="3915" w:type="dxa"/>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r>
                    <w:rPr>
                      <w:rFonts w:ascii="宋体" w:hAnsi="宋体"/>
                      <w:szCs w:val="21"/>
                    </w:rPr>
                    <w:t>4</w:t>
                  </w:r>
                  <w:r>
                    <w:rPr>
                      <w:rFonts w:ascii="宋体" w:hAnsi="宋体" w:hint="eastAsia"/>
                      <w:szCs w:val="21"/>
                    </w:rPr>
                    <w:t>0</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7105" w:type="dxa"/>
                  <w:gridSpan w:val="4"/>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r>
            <w:tr>
              <w:tblPrEx>
                <w:tblW w:w="7785" w:type="dxa"/>
                <w:jc w:val="center"/>
                <w:tblInd w:w="0" w:type="dxa"/>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r>
                    <w:rPr>
                      <w:rFonts w:ascii="宋体" w:hAnsi="宋体"/>
                      <w:szCs w:val="21"/>
                    </w:rPr>
                    <w:t>2</w:t>
                  </w:r>
                </w:p>
              </w:tc>
              <w:tc>
                <w:tcPr>
                  <w:tcW w:w="3190" w:type="dxa"/>
                  <w:gridSpan w:val="3"/>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r>
                    <w:rPr>
                      <w:rFonts w:ascii="宋体" w:hAnsi="宋体"/>
                      <w:szCs w:val="21"/>
                    </w:rPr>
                    <w:t>技术部分</w:t>
                  </w:r>
                </w:p>
              </w:tc>
              <w:tc>
                <w:tcPr>
                  <w:tcW w:w="3915" w:type="dxa"/>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r>
                    <w:rPr>
                      <w:rFonts w:ascii="宋体" w:hAnsi="宋体"/>
                      <w:szCs w:val="21"/>
                    </w:rPr>
                    <w:t>30</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7105" w:type="dxa"/>
                  <w:gridSpan w:val="4"/>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序号</w:t>
                  </w:r>
                </w:p>
              </w:tc>
              <w:tc>
                <w:tcPr>
                  <w:tcW w:w="1660"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评分因素</w:t>
                  </w:r>
                </w:p>
              </w:tc>
              <w:tc>
                <w:tcPr>
                  <w:tcW w:w="850"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权重(%)</w:t>
                  </w:r>
                </w:p>
              </w:tc>
              <w:tc>
                <w:tcPr>
                  <w:tcW w:w="3915"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评分准则</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1</w:t>
                  </w:r>
                </w:p>
              </w:tc>
              <w:tc>
                <w:tcPr>
                  <w:tcW w:w="166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项目总体概述及理解</w:t>
                  </w:r>
                </w:p>
              </w:tc>
              <w:tc>
                <w:tcPr>
                  <w:tcW w:w="85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3</w:t>
                  </w:r>
                </w:p>
              </w:tc>
              <w:tc>
                <w:tcPr>
                  <w:tcW w:w="3915"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（一）评审内容：</w:t>
                  </w:r>
                </w:p>
                <w:p w:rsidR="007900F6">
                  <w:pPr>
                    <w:snapToGrid w:val="0"/>
                    <w:spacing w:line="360" w:lineRule="auto"/>
                    <w:rPr>
                      <w:rFonts w:ascii="宋体" w:hAnsi="宋体"/>
                      <w:szCs w:val="21"/>
                    </w:rPr>
                  </w:pPr>
                  <w:r>
                    <w:rPr>
                      <w:rFonts w:ascii="宋体" w:hAnsi="宋体"/>
                      <w:szCs w:val="21"/>
                    </w:rPr>
                    <w:t>对</w:t>
                  </w:r>
                  <w:r>
                    <w:rPr>
                      <w:rFonts w:ascii="宋体" w:hAnsi="宋体" w:hint="eastAsia"/>
                      <w:szCs w:val="21"/>
                    </w:rPr>
                    <w:t>本项目</w:t>
                  </w:r>
                  <w:r>
                    <w:rPr>
                      <w:rFonts w:ascii="宋体" w:hAnsi="宋体"/>
                      <w:szCs w:val="21"/>
                    </w:rPr>
                    <w:t xml:space="preserve">规模，建设内容，服务需求概述。 </w:t>
                  </w:r>
                </w:p>
                <w:p w:rsidR="007900F6">
                  <w:pPr>
                    <w:snapToGrid w:val="0"/>
                    <w:spacing w:line="360" w:lineRule="auto"/>
                    <w:rPr>
                      <w:rFonts w:ascii="宋体" w:hAnsi="宋体"/>
                      <w:szCs w:val="21"/>
                    </w:rPr>
                  </w:pPr>
                  <w:r>
                    <w:rPr>
                      <w:rFonts w:ascii="宋体" w:hAnsi="宋体"/>
                      <w:szCs w:val="21"/>
                    </w:rPr>
                    <w:t xml:space="preserve">（二）评分标准： </w:t>
                  </w:r>
                </w:p>
                <w:p w:rsidR="007900F6">
                  <w:pPr>
                    <w:snapToGrid w:val="0"/>
                    <w:spacing w:line="360" w:lineRule="auto"/>
                    <w:rPr>
                      <w:rFonts w:ascii="宋体" w:hAnsi="宋体"/>
                      <w:szCs w:val="21"/>
                    </w:rPr>
                  </w:pPr>
                  <w:r>
                    <w:rPr>
                      <w:rFonts w:ascii="宋体" w:hAnsi="宋体"/>
                      <w:szCs w:val="21"/>
                    </w:rPr>
                    <w:t xml:space="preserve">（1）项目总体概述全面； </w:t>
                  </w:r>
                </w:p>
                <w:p w:rsidR="007900F6">
                  <w:pPr>
                    <w:snapToGrid w:val="0"/>
                    <w:spacing w:line="360" w:lineRule="auto"/>
                    <w:rPr>
                      <w:rFonts w:ascii="宋体" w:hAnsi="宋体"/>
                      <w:szCs w:val="21"/>
                    </w:rPr>
                  </w:pPr>
                  <w:r>
                    <w:rPr>
                      <w:rFonts w:ascii="宋体" w:hAnsi="宋体"/>
                      <w:szCs w:val="21"/>
                    </w:rPr>
                    <w:t xml:space="preserve">（2）项目总体概述具体； </w:t>
                  </w:r>
                </w:p>
                <w:p w:rsidR="007900F6">
                  <w:pPr>
                    <w:snapToGrid w:val="0"/>
                    <w:spacing w:line="360" w:lineRule="auto"/>
                    <w:rPr>
                      <w:rFonts w:ascii="宋体" w:hAnsi="宋体"/>
                      <w:szCs w:val="21"/>
                    </w:rPr>
                  </w:pPr>
                  <w:r>
                    <w:rPr>
                      <w:rFonts w:ascii="宋体" w:hAnsi="宋体"/>
                      <w:szCs w:val="21"/>
                    </w:rPr>
                    <w:t xml:space="preserve">（3）项目总体概述详实； </w:t>
                  </w:r>
                </w:p>
                <w:p w:rsidR="007900F6">
                  <w:pPr>
                    <w:snapToGrid w:val="0"/>
                    <w:spacing w:line="360" w:lineRule="auto"/>
                    <w:rPr>
                      <w:rFonts w:ascii="宋体" w:hAnsi="宋体"/>
                      <w:szCs w:val="21"/>
                    </w:rPr>
                  </w:pPr>
                  <w:r>
                    <w:rPr>
                      <w:rFonts w:ascii="宋体" w:hAnsi="宋体"/>
                      <w:szCs w:val="21"/>
                    </w:rPr>
                    <w:t xml:space="preserve">（4）项目总体理解准确； </w:t>
                  </w:r>
                </w:p>
                <w:p w:rsidR="007900F6">
                  <w:pPr>
                    <w:snapToGrid w:val="0"/>
                    <w:spacing w:line="360" w:lineRule="auto"/>
                    <w:rPr>
                      <w:rFonts w:ascii="宋体" w:hAnsi="宋体"/>
                      <w:szCs w:val="21"/>
                    </w:rPr>
                  </w:pPr>
                  <w:r>
                    <w:rPr>
                      <w:rFonts w:ascii="宋体" w:hAnsi="宋体"/>
                      <w:szCs w:val="21"/>
                    </w:rPr>
                    <w:t xml:space="preserve">（5）项目总体理解透彻。 </w:t>
                  </w:r>
                </w:p>
                <w:p w:rsidR="007900F6">
                  <w:pPr>
                    <w:snapToGrid w:val="0"/>
                    <w:spacing w:line="360" w:lineRule="auto"/>
                    <w:rPr>
                      <w:rFonts w:ascii="宋体" w:hAnsi="宋体"/>
                      <w:szCs w:val="21"/>
                    </w:rPr>
                  </w:pPr>
                  <w:r>
                    <w:rPr>
                      <w:rFonts w:ascii="宋体" w:hAnsi="宋体"/>
                      <w:szCs w:val="21"/>
                    </w:rPr>
                    <w:t>满足以上五项要求得100%分数，满足以上四项要求得80%分数，满足以上三项要求得60%分数，其它情况不得分。</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2</w:t>
                  </w:r>
                </w:p>
              </w:tc>
              <w:tc>
                <w:tcPr>
                  <w:tcW w:w="166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施工组织计划、施工技术、施工工艺及相关的合理化建议</w:t>
                  </w:r>
                </w:p>
              </w:tc>
              <w:tc>
                <w:tcPr>
                  <w:tcW w:w="85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2</w:t>
                  </w:r>
                </w:p>
              </w:tc>
              <w:tc>
                <w:tcPr>
                  <w:tcW w:w="3915"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（一）评审内容：</w:t>
                  </w:r>
                </w:p>
                <w:p w:rsidR="007900F6">
                  <w:pPr>
                    <w:snapToGrid w:val="0"/>
                    <w:spacing w:line="360" w:lineRule="auto"/>
                    <w:rPr>
                      <w:rFonts w:ascii="宋体" w:hAnsi="宋体"/>
                      <w:szCs w:val="21"/>
                    </w:rPr>
                  </w:pPr>
                  <w:r>
                    <w:rPr>
                      <w:rFonts w:ascii="宋体" w:hAnsi="宋体"/>
                      <w:szCs w:val="21"/>
                    </w:rPr>
                    <w:t xml:space="preserve">    对本项目施工组织计划、施工技术、施工工艺的表述和合理化的建议； </w:t>
                  </w:r>
                </w:p>
                <w:p w:rsidR="007900F6">
                  <w:pPr>
                    <w:snapToGrid w:val="0"/>
                    <w:spacing w:line="360" w:lineRule="auto"/>
                    <w:rPr>
                      <w:rFonts w:ascii="宋体" w:hAnsi="宋体"/>
                      <w:szCs w:val="21"/>
                    </w:rPr>
                  </w:pPr>
                  <w:r>
                    <w:rPr>
                      <w:rFonts w:ascii="宋体" w:hAnsi="宋体"/>
                      <w:szCs w:val="21"/>
                    </w:rPr>
                    <w:t xml:space="preserve">（二）评分标准： </w:t>
                  </w:r>
                </w:p>
                <w:p w:rsidR="007900F6">
                  <w:pPr>
                    <w:snapToGrid w:val="0"/>
                    <w:spacing w:line="360" w:lineRule="auto"/>
                    <w:rPr>
                      <w:rFonts w:ascii="宋体" w:hAnsi="宋体"/>
                      <w:szCs w:val="21"/>
                    </w:rPr>
                  </w:pPr>
                  <w:r>
                    <w:rPr>
                      <w:rFonts w:ascii="宋体" w:hAnsi="宋体"/>
                      <w:szCs w:val="21"/>
                    </w:rPr>
                    <w:t xml:space="preserve">（1） 施工组织计划详细，工序合理； （2） 提出的施工技术有针对性，能保证项目按期按质完成的； </w:t>
                  </w:r>
                </w:p>
                <w:p w:rsidR="007900F6">
                  <w:pPr>
                    <w:snapToGrid w:val="0"/>
                    <w:spacing w:line="360" w:lineRule="auto"/>
                    <w:rPr>
                      <w:rFonts w:ascii="宋体" w:hAnsi="宋体"/>
                      <w:szCs w:val="21"/>
                    </w:rPr>
                  </w:pPr>
                  <w:r>
                    <w:rPr>
                      <w:rFonts w:ascii="宋体" w:hAnsi="宋体"/>
                      <w:szCs w:val="21"/>
                    </w:rPr>
                    <w:t xml:space="preserve">（3） 施工工艺先进，技术创新； </w:t>
                  </w:r>
                </w:p>
                <w:p w:rsidR="007900F6">
                  <w:pPr>
                    <w:snapToGrid w:val="0"/>
                    <w:spacing w:line="360" w:lineRule="auto"/>
                    <w:rPr>
                      <w:rFonts w:ascii="宋体" w:hAnsi="宋体"/>
                      <w:szCs w:val="21"/>
                    </w:rPr>
                  </w:pPr>
                  <w:r>
                    <w:rPr>
                      <w:rFonts w:ascii="宋体" w:hAnsi="宋体"/>
                      <w:szCs w:val="21"/>
                    </w:rPr>
                    <w:t>（4） 合理化建议有针对性，切实可行。    满足以上四项要求得100%分数，满足以上三项要求得80%分数，满足以上两项要求得60%分数，其它情况不得分。</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3</w:t>
                  </w:r>
                </w:p>
              </w:tc>
              <w:tc>
                <w:tcPr>
                  <w:tcW w:w="166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项目实施关键施工技术（重点难点）分析及解决方案</w:t>
                  </w:r>
                </w:p>
              </w:tc>
              <w:tc>
                <w:tcPr>
                  <w:tcW w:w="85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2</w:t>
                  </w:r>
                </w:p>
              </w:tc>
              <w:tc>
                <w:tcPr>
                  <w:tcW w:w="3915"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（一）评审内容：对派</w:t>
                  </w:r>
                  <w:r>
                    <w:rPr>
                      <w:rFonts w:ascii="宋体" w:hAnsi="宋体" w:hint="eastAsia"/>
                      <w:szCs w:val="21"/>
                    </w:rPr>
                    <w:t>本</w:t>
                  </w:r>
                  <w:r>
                    <w:rPr>
                      <w:rFonts w:ascii="宋体" w:hAnsi="宋体"/>
                      <w:szCs w:val="21"/>
                    </w:rPr>
                    <w:t>项目工程建设工艺、内容重点表述,且符合设计要求。</w:t>
                  </w:r>
                </w:p>
                <w:p w:rsidR="007900F6">
                  <w:pPr>
                    <w:snapToGrid w:val="0"/>
                    <w:spacing w:line="360" w:lineRule="auto"/>
                    <w:rPr>
                      <w:rFonts w:ascii="宋体" w:hAnsi="宋体"/>
                      <w:szCs w:val="21"/>
                    </w:rPr>
                  </w:pPr>
                  <w:r>
                    <w:rPr>
                      <w:rFonts w:ascii="宋体" w:hAnsi="宋体"/>
                      <w:szCs w:val="21"/>
                    </w:rPr>
                    <w:t xml:space="preserve">（1）对本项目关键技术、工艺有深入的表述； </w:t>
                  </w:r>
                </w:p>
                <w:p w:rsidR="007900F6">
                  <w:pPr>
                    <w:snapToGrid w:val="0"/>
                    <w:spacing w:line="360" w:lineRule="auto"/>
                    <w:rPr>
                      <w:rFonts w:ascii="宋体" w:hAnsi="宋体"/>
                      <w:szCs w:val="21"/>
                    </w:rPr>
                  </w:pPr>
                  <w:r>
                    <w:rPr>
                      <w:rFonts w:ascii="宋体" w:hAnsi="宋体"/>
                      <w:szCs w:val="21"/>
                    </w:rPr>
                    <w:t xml:space="preserve">（2）对本项目重点、难点分析到位； </w:t>
                  </w:r>
                </w:p>
                <w:p w:rsidR="007900F6">
                  <w:pPr>
                    <w:snapToGrid w:val="0"/>
                    <w:spacing w:line="360" w:lineRule="auto"/>
                    <w:rPr>
                      <w:rFonts w:ascii="宋体" w:hAnsi="宋体"/>
                      <w:szCs w:val="21"/>
                    </w:rPr>
                  </w:pPr>
                  <w:r>
                    <w:rPr>
                      <w:rFonts w:ascii="宋体" w:hAnsi="宋体"/>
                      <w:szCs w:val="21"/>
                    </w:rPr>
                    <w:t xml:space="preserve">（3）能针对项目重点、难点提出合理可行的意见； </w:t>
                  </w:r>
                </w:p>
                <w:p w:rsidR="007900F6">
                  <w:pPr>
                    <w:snapToGrid w:val="0"/>
                    <w:spacing w:line="360" w:lineRule="auto"/>
                    <w:rPr>
                      <w:rFonts w:ascii="宋体" w:hAnsi="宋体"/>
                      <w:szCs w:val="21"/>
                    </w:rPr>
                  </w:pPr>
                  <w:r>
                    <w:rPr>
                      <w:rFonts w:ascii="宋体" w:hAnsi="宋体"/>
                      <w:szCs w:val="21"/>
                    </w:rPr>
                    <w:t xml:space="preserve">（4）解决方案完整、经济、安全、切实可行，措施得力。 </w:t>
                  </w:r>
                </w:p>
                <w:p w:rsidR="007900F6">
                  <w:pPr>
                    <w:snapToGrid w:val="0"/>
                    <w:spacing w:line="360" w:lineRule="auto"/>
                    <w:rPr>
                      <w:rFonts w:ascii="宋体" w:hAnsi="宋体"/>
                      <w:szCs w:val="21"/>
                    </w:rPr>
                  </w:pPr>
                  <w:r>
                    <w:rPr>
                      <w:rFonts w:ascii="宋体" w:hAnsi="宋体"/>
                      <w:szCs w:val="21"/>
                    </w:rPr>
                    <w:t xml:space="preserve">（二）评分标准： </w:t>
                  </w:r>
                </w:p>
                <w:p w:rsidR="007900F6">
                  <w:pPr>
                    <w:snapToGrid w:val="0"/>
                    <w:spacing w:line="360" w:lineRule="auto"/>
                    <w:rPr>
                      <w:rFonts w:ascii="宋体" w:hAnsi="宋体"/>
                      <w:szCs w:val="21"/>
                    </w:rPr>
                  </w:pPr>
                  <w:r>
                    <w:rPr>
                      <w:rFonts w:ascii="宋体" w:hAnsi="宋体"/>
                      <w:szCs w:val="21"/>
                    </w:rPr>
                    <w:t>满足以上四项要求得100%分数，满足以上三项要求得80%分数，满足以上两项要求得60%分数，其它情况不得分。</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hint="eastAsia"/>
                      <w:szCs w:val="21"/>
                    </w:rPr>
                    <w:t>4</w:t>
                  </w:r>
                </w:p>
              </w:tc>
              <w:tc>
                <w:tcPr>
                  <w:tcW w:w="166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施工质量（安全、环保、工期、售后服务）保障措施</w:t>
                  </w:r>
                </w:p>
              </w:tc>
              <w:tc>
                <w:tcPr>
                  <w:tcW w:w="85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3</w:t>
                  </w:r>
                </w:p>
              </w:tc>
              <w:tc>
                <w:tcPr>
                  <w:tcW w:w="3915"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hint="eastAsia"/>
                      <w:szCs w:val="21"/>
                    </w:rPr>
                    <w:t>（一）评审内容：施工质量（安全、环保、工期、售后服务）保障措施</w:t>
                  </w:r>
                </w:p>
                <w:p w:rsidR="007900F6">
                  <w:pPr>
                    <w:snapToGrid w:val="0"/>
                    <w:spacing w:line="360" w:lineRule="auto"/>
                    <w:rPr>
                      <w:rFonts w:ascii="宋体" w:hAnsi="宋体"/>
                      <w:szCs w:val="21"/>
                    </w:rPr>
                  </w:pPr>
                  <w:r>
                    <w:rPr>
                      <w:rFonts w:ascii="宋体" w:hAnsi="宋体" w:hint="eastAsia"/>
                      <w:szCs w:val="21"/>
                    </w:rPr>
                    <w:t xml:space="preserve">（1）施工质量（安全、环保、工期、售后服务）保障措施内容全面； </w:t>
                  </w:r>
                </w:p>
                <w:p w:rsidR="007900F6">
                  <w:pPr>
                    <w:snapToGrid w:val="0"/>
                    <w:spacing w:line="360" w:lineRule="auto"/>
                    <w:rPr>
                      <w:rFonts w:ascii="宋体" w:hAnsi="宋体"/>
                      <w:szCs w:val="21"/>
                    </w:rPr>
                  </w:pPr>
                  <w:r>
                    <w:rPr>
                      <w:rFonts w:ascii="宋体" w:hAnsi="宋体" w:hint="eastAsia"/>
                      <w:szCs w:val="21"/>
                    </w:rPr>
                    <w:t xml:space="preserve">（2）施工质量（安全、环保、工期、售后服务）保障措施内容具体； </w:t>
                  </w:r>
                </w:p>
                <w:p w:rsidR="007900F6">
                  <w:pPr>
                    <w:snapToGrid w:val="0"/>
                    <w:spacing w:line="360" w:lineRule="auto"/>
                    <w:rPr>
                      <w:rFonts w:ascii="宋体" w:hAnsi="宋体"/>
                      <w:szCs w:val="21"/>
                    </w:rPr>
                  </w:pPr>
                  <w:r>
                    <w:rPr>
                      <w:rFonts w:ascii="宋体" w:hAnsi="宋体" w:hint="eastAsia"/>
                      <w:szCs w:val="21"/>
                    </w:rPr>
                    <w:t xml:space="preserve">（3）施工质量（安全、环保、工期、售后服务）保障措施内容科学合理； </w:t>
                  </w:r>
                </w:p>
                <w:p w:rsidR="007900F6">
                  <w:pPr>
                    <w:snapToGrid w:val="0"/>
                    <w:spacing w:line="360" w:lineRule="auto"/>
                    <w:rPr>
                      <w:rFonts w:ascii="宋体" w:hAnsi="宋体"/>
                      <w:szCs w:val="21"/>
                    </w:rPr>
                  </w:pPr>
                  <w:r>
                    <w:rPr>
                      <w:rFonts w:ascii="宋体" w:hAnsi="宋体" w:hint="eastAsia"/>
                      <w:szCs w:val="21"/>
                    </w:rPr>
                    <w:t xml:space="preserve">（4）施工质量（安全、环保、工期、售后服务）保障措施内容针对性强； </w:t>
                  </w:r>
                </w:p>
                <w:p w:rsidR="007900F6">
                  <w:pPr>
                    <w:snapToGrid w:val="0"/>
                    <w:spacing w:line="360" w:lineRule="auto"/>
                    <w:rPr>
                      <w:rFonts w:ascii="宋体" w:hAnsi="宋体"/>
                      <w:szCs w:val="21"/>
                    </w:rPr>
                  </w:pPr>
                  <w:r>
                    <w:rPr>
                      <w:rFonts w:ascii="宋体" w:hAnsi="宋体" w:hint="eastAsia"/>
                      <w:szCs w:val="21"/>
                    </w:rPr>
                    <w:t>（5）施工质量（安全、环保、工期、售后服务）保障措施内容可操作性强。</w:t>
                  </w:r>
                </w:p>
                <w:p w:rsidR="007900F6">
                  <w:pPr>
                    <w:snapToGrid w:val="0"/>
                    <w:spacing w:line="360" w:lineRule="auto"/>
                    <w:rPr>
                      <w:rFonts w:ascii="宋体" w:hAnsi="宋体"/>
                      <w:szCs w:val="21"/>
                    </w:rPr>
                  </w:pPr>
                  <w:r>
                    <w:rPr>
                      <w:rFonts w:ascii="宋体" w:hAnsi="宋体" w:hint="eastAsia"/>
                      <w:szCs w:val="21"/>
                    </w:rPr>
                    <w:t xml:space="preserve">（二）评审标准： </w:t>
                  </w:r>
                </w:p>
                <w:p w:rsidR="007900F6">
                  <w:pPr>
                    <w:snapToGrid w:val="0"/>
                    <w:spacing w:line="360" w:lineRule="auto"/>
                    <w:rPr>
                      <w:rFonts w:ascii="宋体" w:hAnsi="宋体"/>
                      <w:szCs w:val="21"/>
                    </w:rPr>
                  </w:pPr>
                  <w:r>
                    <w:rPr>
                      <w:rFonts w:ascii="宋体" w:hAnsi="宋体" w:hint="eastAsia"/>
                      <w:szCs w:val="21"/>
                    </w:rPr>
                    <w:t xml:space="preserve">优评分标准：满足以上五项要求的评价为优，得100%分； </w:t>
                  </w:r>
                </w:p>
                <w:p w:rsidR="007900F6">
                  <w:pPr>
                    <w:snapToGrid w:val="0"/>
                    <w:spacing w:line="360" w:lineRule="auto"/>
                    <w:rPr>
                      <w:rFonts w:ascii="宋体" w:hAnsi="宋体"/>
                      <w:szCs w:val="21"/>
                    </w:rPr>
                  </w:pPr>
                  <w:r>
                    <w:rPr>
                      <w:rFonts w:ascii="宋体" w:hAnsi="宋体" w:hint="eastAsia"/>
                      <w:szCs w:val="21"/>
                    </w:rPr>
                    <w:t xml:space="preserve">良评分标准：满足以上四项要求的评价为良，得75%分； </w:t>
                  </w:r>
                </w:p>
                <w:p w:rsidR="007900F6">
                  <w:pPr>
                    <w:snapToGrid w:val="0"/>
                    <w:spacing w:line="360" w:lineRule="auto"/>
                    <w:rPr>
                      <w:rFonts w:ascii="宋体" w:hAnsi="宋体"/>
                      <w:szCs w:val="21"/>
                    </w:rPr>
                  </w:pPr>
                  <w:r>
                    <w:rPr>
                      <w:rFonts w:ascii="宋体" w:hAnsi="宋体" w:hint="eastAsia"/>
                      <w:szCs w:val="21"/>
                    </w:rPr>
                    <w:t xml:space="preserve">中评分标准：满足以上三项要求的评价为中，得50%分； </w:t>
                  </w:r>
                </w:p>
                <w:p w:rsidR="007900F6">
                  <w:pPr>
                    <w:snapToGrid w:val="0"/>
                    <w:spacing w:line="360" w:lineRule="auto"/>
                    <w:rPr>
                      <w:rFonts w:ascii="宋体" w:hAnsi="宋体"/>
                      <w:szCs w:val="21"/>
                    </w:rPr>
                  </w:pPr>
                  <w:r>
                    <w:rPr>
                      <w:rFonts w:ascii="宋体" w:hAnsi="宋体" w:hint="eastAsia"/>
                      <w:szCs w:val="21"/>
                    </w:rPr>
                    <w:t>差评分标准：上述情况之外的，评差，得0分。</w:t>
                  </w:r>
                </w:p>
              </w:tc>
            </w:tr>
            <w:tr>
              <w:tblPrEx>
                <w:tblW w:w="7785" w:type="dxa"/>
                <w:jc w:val="center"/>
                <w:tblInd w:w="0" w:type="dxa"/>
                <w:tblCellMar>
                  <w:top w:w="20" w:type="dxa"/>
                  <w:bottom w:w="20" w:type="dxa"/>
                </w:tblCellMar>
                <w:tblLook w:val="0000"/>
              </w:tblPrEx>
              <w:trPr>
                <w:jc w:val="center"/>
              </w:trPr>
              <w:tc>
                <w:tcPr>
                  <w:tcW w:w="680" w:type="dxa"/>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hint="eastAsia"/>
                      <w:szCs w:val="21"/>
                    </w:rPr>
                    <w:t>5</w:t>
                  </w:r>
                </w:p>
              </w:tc>
              <w:tc>
                <w:tcPr>
                  <w:tcW w:w="166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技术规格偏离情况</w:t>
                  </w:r>
                </w:p>
              </w:tc>
              <w:tc>
                <w:tcPr>
                  <w:tcW w:w="85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20</w:t>
                  </w:r>
                </w:p>
              </w:tc>
              <w:tc>
                <w:tcPr>
                  <w:tcW w:w="3915"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hint="eastAsia"/>
                      <w:szCs w:val="21"/>
                    </w:rPr>
                    <w:t>（一）评审内容：</w:t>
                  </w:r>
                  <w:r>
                    <w:rPr>
                      <w:rFonts w:ascii="宋体" w:hAnsi="宋体"/>
                      <w:szCs w:val="21"/>
                    </w:rPr>
                    <w:t>投标人应如实填写《技术规格偏离表》，评审委员会根据技术需求参数响应情况进行打分，各项技术参数指标及要求全部满足的得100分。</w:t>
                  </w:r>
                </w:p>
                <w:p w:rsidR="007900F6">
                  <w:pPr>
                    <w:snapToGrid w:val="0"/>
                    <w:spacing w:line="360" w:lineRule="auto"/>
                    <w:rPr>
                      <w:rFonts w:ascii="宋体" w:hAnsi="宋体"/>
                      <w:szCs w:val="21"/>
                    </w:rPr>
                  </w:pPr>
                  <w:r>
                    <w:rPr>
                      <w:rFonts w:ascii="宋体" w:hAnsi="宋体" w:hint="eastAsia"/>
                      <w:szCs w:val="21"/>
                    </w:rPr>
                    <w:t>（二）评分标准：</w:t>
                  </w:r>
                  <w:r>
                    <w:rPr>
                      <w:rFonts w:ascii="宋体" w:hAnsi="宋体"/>
                      <w:szCs w:val="21"/>
                    </w:rPr>
                    <w:t>带 “▲”标注为重要参数，每项负偏离扣 2</w:t>
                  </w:r>
                  <w:r>
                    <w:rPr>
                      <w:rFonts w:ascii="宋体" w:hAnsi="宋体" w:hint="eastAsia"/>
                      <w:szCs w:val="21"/>
                    </w:rPr>
                    <w:t>%</w:t>
                  </w:r>
                  <w:r>
                    <w:rPr>
                      <w:rFonts w:ascii="宋体" w:hAnsi="宋体"/>
                      <w:szCs w:val="21"/>
                    </w:rPr>
                    <w:t xml:space="preserve"> 分，一般参数负偏离一条扣</w:t>
                  </w:r>
                  <w:r>
                    <w:rPr>
                      <w:rFonts w:ascii="宋体" w:hAnsi="宋体" w:hint="eastAsia"/>
                      <w:szCs w:val="21"/>
                    </w:rPr>
                    <w:t>0.</w:t>
                  </w:r>
                  <w:r>
                    <w:rPr>
                      <w:rFonts w:ascii="宋体" w:hAnsi="宋体"/>
                      <w:szCs w:val="21"/>
                    </w:rPr>
                    <w:t>5</w:t>
                  </w:r>
                  <w:r>
                    <w:rPr>
                      <w:rFonts w:ascii="宋体" w:hAnsi="宋体" w:hint="eastAsia"/>
                      <w:szCs w:val="21"/>
                    </w:rPr>
                    <w:t>%</w:t>
                  </w:r>
                  <w:r>
                    <w:rPr>
                      <w:rFonts w:ascii="宋体" w:hAnsi="宋体"/>
                      <w:szCs w:val="21"/>
                    </w:rPr>
                    <w:t>分，扣至0分止。如要求提供证明资料的，需按要求提供相关证明资料；提供的证明资料与所填写内容不一致的，以证明资料为准，原件备查。</w:t>
                  </w:r>
                </w:p>
                <w:p w:rsidR="007900F6">
                  <w:pPr>
                    <w:snapToGrid w:val="0"/>
                    <w:spacing w:line="360" w:lineRule="auto"/>
                    <w:rPr>
                      <w:rFonts w:ascii="宋体" w:hAnsi="宋体"/>
                      <w:szCs w:val="21"/>
                    </w:rPr>
                  </w:pPr>
                  <w:r>
                    <w:rPr>
                      <w:rFonts w:ascii="宋体" w:hAnsi="宋体"/>
                      <w:szCs w:val="21"/>
                    </w:rPr>
                    <w:t>证明材料不能满足招标要求的，该项按负偏离处理。（未提供或未按要求提供或提供的不清晰导致专家无法判断的，不得分）</w:t>
                  </w:r>
                </w:p>
              </w:tc>
            </w:tr>
            <w:tr>
              <w:tblPrEx>
                <w:tblW w:w="7785" w:type="dxa"/>
                <w:jc w:val="center"/>
                <w:tblInd w:w="0" w:type="dxa"/>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3</w:t>
                  </w:r>
                </w:p>
              </w:tc>
              <w:tc>
                <w:tcPr>
                  <w:tcW w:w="3190" w:type="dxa"/>
                  <w:gridSpan w:val="3"/>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综合实力部分</w:t>
                  </w:r>
                </w:p>
              </w:tc>
              <w:tc>
                <w:tcPr>
                  <w:tcW w:w="3915"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hint="eastAsia"/>
                      <w:szCs w:val="21"/>
                    </w:rPr>
                    <w:t>2</w:t>
                  </w:r>
                  <w:r>
                    <w:rPr>
                      <w:rFonts w:ascii="宋体" w:hAnsi="宋体"/>
                      <w:szCs w:val="21"/>
                    </w:rPr>
                    <w:t>5</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7105" w:type="dxa"/>
                  <w:gridSpan w:val="4"/>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序号</w:t>
                  </w:r>
                </w:p>
              </w:tc>
              <w:tc>
                <w:tcPr>
                  <w:tcW w:w="1660"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评分因素</w:t>
                  </w:r>
                </w:p>
              </w:tc>
              <w:tc>
                <w:tcPr>
                  <w:tcW w:w="850"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权重(%)</w:t>
                  </w:r>
                </w:p>
              </w:tc>
              <w:tc>
                <w:tcPr>
                  <w:tcW w:w="3915"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评分准则</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1</w:t>
                  </w:r>
                </w:p>
              </w:tc>
              <w:tc>
                <w:tcPr>
                  <w:tcW w:w="166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hint="eastAsia"/>
                      <w:szCs w:val="21"/>
                    </w:rPr>
                    <w:t>投标人通过相关认证情况</w:t>
                  </w:r>
                </w:p>
              </w:tc>
              <w:tc>
                <w:tcPr>
                  <w:tcW w:w="85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5</w:t>
                  </w:r>
                </w:p>
              </w:tc>
              <w:tc>
                <w:tcPr>
                  <w:tcW w:w="3915"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（一）评</w:t>
                  </w:r>
                  <w:r>
                    <w:rPr>
                      <w:rFonts w:ascii="宋体" w:hAnsi="宋体" w:hint="eastAsia"/>
                      <w:szCs w:val="21"/>
                    </w:rPr>
                    <w:t>审</w:t>
                  </w:r>
                  <w:r>
                    <w:rPr>
                      <w:rFonts w:ascii="宋体" w:hAnsi="宋体"/>
                      <w:szCs w:val="21"/>
                    </w:rPr>
                    <w:t>内容：</w:t>
                  </w:r>
                </w:p>
                <w:p w:rsidR="007900F6">
                  <w:pPr>
                    <w:snapToGrid w:val="0"/>
                    <w:spacing w:line="360" w:lineRule="auto"/>
                    <w:rPr>
                      <w:rFonts w:ascii="宋体" w:hAnsi="宋体"/>
                      <w:szCs w:val="21"/>
                    </w:rPr>
                  </w:pPr>
                  <w:r>
                    <w:rPr>
                      <w:rFonts w:ascii="宋体" w:hAnsi="宋体"/>
                      <w:szCs w:val="21"/>
                    </w:rPr>
                    <w:t xml:space="preserve">1. </w:t>
                  </w:r>
                  <w:r>
                    <w:rPr>
                      <w:rFonts w:ascii="宋体" w:hAnsi="宋体" w:hint="eastAsia"/>
                      <w:szCs w:val="21"/>
                    </w:rPr>
                    <w:t>具有</w:t>
                  </w:r>
                  <w:r>
                    <w:rPr>
                      <w:rFonts w:ascii="宋体" w:hAnsi="宋体"/>
                      <w:szCs w:val="21"/>
                    </w:rPr>
                    <w:t>省级或以上高新企业证书</w:t>
                  </w:r>
                  <w:r>
                    <w:rPr>
                      <w:rFonts w:ascii="宋体" w:hAnsi="宋体" w:hint="eastAsia"/>
                      <w:szCs w:val="21"/>
                    </w:rPr>
                    <w:t>。</w:t>
                  </w:r>
                </w:p>
                <w:p w:rsidR="007900F6">
                  <w:pPr>
                    <w:snapToGrid w:val="0"/>
                    <w:spacing w:line="360" w:lineRule="auto"/>
                    <w:rPr>
                      <w:rFonts w:ascii="宋体" w:hAnsi="宋体"/>
                      <w:szCs w:val="21"/>
                    </w:rPr>
                  </w:pPr>
                  <w:r>
                    <w:rPr>
                      <w:rFonts w:ascii="宋体" w:hAnsi="宋体"/>
                      <w:szCs w:val="21"/>
                    </w:rPr>
                    <w:t xml:space="preserve">2. </w:t>
                  </w:r>
                  <w:r>
                    <w:rPr>
                      <w:rFonts w:ascii="宋体" w:hAnsi="宋体" w:hint="eastAsia"/>
                      <w:szCs w:val="21"/>
                    </w:rPr>
                    <w:t>具有</w:t>
                  </w:r>
                  <w:r>
                    <w:rPr>
                      <w:rFonts w:ascii="宋体" w:hAnsi="宋体"/>
                      <w:szCs w:val="21"/>
                    </w:rPr>
                    <w:t>省级或以上创新型企业（试点）证书。</w:t>
                  </w:r>
                </w:p>
                <w:p w:rsidR="007900F6">
                  <w:pPr>
                    <w:snapToGrid w:val="0"/>
                    <w:spacing w:line="360" w:lineRule="auto"/>
                    <w:rPr>
                      <w:rFonts w:ascii="宋体" w:hAnsi="宋体"/>
                      <w:szCs w:val="21"/>
                    </w:rPr>
                  </w:pPr>
                  <w:r>
                    <w:rPr>
                      <w:rFonts w:ascii="宋体" w:hAnsi="宋体"/>
                      <w:szCs w:val="21"/>
                    </w:rPr>
                    <w:t xml:space="preserve">3. </w:t>
                  </w:r>
                  <w:r>
                    <w:rPr>
                      <w:rFonts w:ascii="宋体" w:hAnsi="宋体" w:hint="eastAsia"/>
                      <w:szCs w:val="21"/>
                    </w:rPr>
                    <w:t>具有</w:t>
                  </w:r>
                  <w:r>
                    <w:rPr>
                      <w:rFonts w:ascii="宋体" w:hAnsi="宋体"/>
                      <w:szCs w:val="21"/>
                    </w:rPr>
                    <w:t>特种设备安装改造修理许可证（压力管道）。</w:t>
                  </w:r>
                </w:p>
                <w:p w:rsidR="007900F6">
                  <w:pPr>
                    <w:snapToGrid w:val="0"/>
                    <w:spacing w:line="360" w:lineRule="auto"/>
                    <w:rPr>
                      <w:rFonts w:ascii="宋体" w:hAnsi="宋体"/>
                      <w:szCs w:val="21"/>
                    </w:rPr>
                  </w:pPr>
                  <w:r>
                    <w:rPr>
                      <w:rFonts w:ascii="宋体" w:hAnsi="宋体"/>
                      <w:szCs w:val="21"/>
                    </w:rPr>
                    <w:t>4. 具有环保工程专业承包叁级以上资质。</w:t>
                  </w:r>
                </w:p>
                <w:p w:rsidR="007900F6">
                  <w:pPr>
                    <w:snapToGrid w:val="0"/>
                    <w:spacing w:line="360" w:lineRule="auto"/>
                    <w:rPr>
                      <w:rFonts w:ascii="宋体" w:hAnsi="宋体"/>
                      <w:szCs w:val="21"/>
                    </w:rPr>
                  </w:pPr>
                  <w:r>
                    <w:rPr>
                      <w:rFonts w:ascii="宋体" w:hAnsi="宋体" w:hint="eastAsia"/>
                      <w:szCs w:val="21"/>
                    </w:rPr>
                    <w:t>（二）评分标准：</w:t>
                  </w:r>
                </w:p>
                <w:p w:rsidR="007900F6">
                  <w:pPr>
                    <w:snapToGrid w:val="0"/>
                    <w:spacing w:line="360" w:lineRule="auto"/>
                    <w:rPr>
                      <w:rFonts w:ascii="宋体" w:hAnsi="宋体"/>
                      <w:szCs w:val="21"/>
                    </w:rPr>
                  </w:pPr>
                  <w:r>
                    <w:rPr>
                      <w:rFonts w:ascii="宋体" w:hAnsi="宋体" w:hint="eastAsia"/>
                      <w:szCs w:val="21"/>
                    </w:rPr>
                    <w:t>1.</w:t>
                  </w:r>
                  <w:r>
                    <w:rPr>
                      <w:rFonts w:ascii="宋体" w:hAnsi="宋体"/>
                      <w:szCs w:val="21"/>
                    </w:rPr>
                    <w:t>每提供一个得25%分，全部提供得100%分。</w:t>
                  </w:r>
                </w:p>
                <w:p w:rsidR="007900F6">
                  <w:pPr>
                    <w:snapToGrid w:val="0"/>
                    <w:spacing w:line="360" w:lineRule="auto"/>
                    <w:rPr>
                      <w:rFonts w:ascii="宋体" w:hAnsi="宋体"/>
                      <w:szCs w:val="21"/>
                    </w:rPr>
                  </w:pPr>
                  <w:r>
                    <w:rPr>
                      <w:rFonts w:ascii="宋体" w:hAnsi="宋体"/>
                      <w:szCs w:val="21"/>
                    </w:rPr>
                    <w:t>2.</w:t>
                  </w:r>
                  <w:r>
                    <w:rPr>
                      <w:rFonts w:ascii="宋体" w:hAnsi="宋体" w:hint="eastAsia"/>
                      <w:szCs w:val="21"/>
                    </w:rPr>
                    <w:t>以上证明资料须提供有效的复印件并加盖公章. 原件备查。不提供或无法辨别的，不得分。</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2</w:t>
                  </w:r>
                </w:p>
              </w:tc>
              <w:tc>
                <w:tcPr>
                  <w:tcW w:w="166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投标人同类项目业绩情况</w:t>
                  </w:r>
                </w:p>
              </w:tc>
              <w:tc>
                <w:tcPr>
                  <w:tcW w:w="85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5</w:t>
                  </w:r>
                </w:p>
              </w:tc>
              <w:tc>
                <w:tcPr>
                  <w:tcW w:w="3915"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（一）评</w:t>
                  </w:r>
                  <w:r>
                    <w:rPr>
                      <w:rFonts w:ascii="宋体" w:hAnsi="宋体" w:hint="eastAsia"/>
                      <w:szCs w:val="21"/>
                    </w:rPr>
                    <w:t>审</w:t>
                  </w:r>
                  <w:r>
                    <w:rPr>
                      <w:rFonts w:ascii="宋体" w:hAnsi="宋体"/>
                      <w:szCs w:val="21"/>
                    </w:rPr>
                    <w:t>内容：</w:t>
                  </w:r>
                </w:p>
                <w:p w:rsidR="007900F6">
                  <w:pPr>
                    <w:snapToGrid w:val="0"/>
                    <w:spacing w:line="360" w:lineRule="auto"/>
                    <w:rPr>
                      <w:rFonts w:ascii="宋体" w:hAnsi="宋体"/>
                      <w:szCs w:val="21"/>
                    </w:rPr>
                  </w:pPr>
                  <w:r>
                    <w:rPr>
                      <w:rFonts w:ascii="宋体" w:hAnsi="宋体" w:hint="eastAsia"/>
                      <w:szCs w:val="21"/>
                    </w:rPr>
                    <w:t>提供近三年（</w:t>
                  </w:r>
                  <w:r>
                    <w:rPr>
                      <w:rFonts w:ascii="宋体" w:hAnsi="宋体"/>
                      <w:szCs w:val="21"/>
                    </w:rPr>
                    <w:t>2019年1月至招标公告之日止）同类有效业绩(业绩内容必须包含实验室)</w:t>
                  </w:r>
                </w:p>
                <w:p w:rsidR="007900F6">
                  <w:pPr>
                    <w:snapToGrid w:val="0"/>
                    <w:spacing w:line="360" w:lineRule="auto"/>
                    <w:rPr>
                      <w:rFonts w:ascii="宋体" w:hAnsi="宋体"/>
                      <w:szCs w:val="21"/>
                    </w:rPr>
                  </w:pPr>
                  <w:r>
                    <w:rPr>
                      <w:rFonts w:ascii="宋体" w:hAnsi="宋体" w:hint="eastAsia"/>
                      <w:szCs w:val="21"/>
                    </w:rPr>
                    <w:t>（二）评分标准：</w:t>
                  </w:r>
                </w:p>
                <w:p w:rsidR="007900F6">
                  <w:pPr>
                    <w:snapToGrid w:val="0"/>
                    <w:spacing w:line="360" w:lineRule="auto"/>
                    <w:rPr>
                      <w:rFonts w:ascii="宋体" w:hAnsi="宋体"/>
                      <w:szCs w:val="21"/>
                    </w:rPr>
                  </w:pPr>
                  <w:r>
                    <w:rPr>
                      <w:rFonts w:ascii="宋体" w:hAnsi="宋体" w:hint="eastAsia"/>
                      <w:szCs w:val="21"/>
                    </w:rPr>
                    <w:t>1.</w:t>
                  </w:r>
                  <w:r>
                    <w:rPr>
                      <w:rFonts w:ascii="宋体" w:hAnsi="宋体"/>
                      <w:szCs w:val="21"/>
                    </w:rPr>
                    <w:t>提供1个得20%分，2个得40%分，3个得60%分，4个得80%分，5个得100%分，最高得100%分。</w:t>
                  </w:r>
                </w:p>
                <w:p w:rsidR="007900F6">
                  <w:pPr>
                    <w:snapToGrid w:val="0"/>
                    <w:spacing w:line="360" w:lineRule="auto"/>
                    <w:rPr>
                      <w:rFonts w:ascii="宋体" w:hAnsi="宋体"/>
                      <w:szCs w:val="21"/>
                    </w:rPr>
                  </w:pPr>
                  <w:r>
                    <w:rPr>
                      <w:rFonts w:ascii="宋体" w:hAnsi="宋体"/>
                      <w:szCs w:val="21"/>
                    </w:rPr>
                    <w:t>2.</w:t>
                  </w:r>
                  <w:r>
                    <w:rPr>
                      <w:rFonts w:ascii="宋体" w:hAnsi="宋体" w:hint="eastAsia"/>
                      <w:szCs w:val="21"/>
                    </w:rPr>
                    <w:t>提供合同复印件或中标通知书加盖公章，原件备查。不提供或无法辨别的，不得分。</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3</w:t>
                  </w:r>
                </w:p>
              </w:tc>
              <w:tc>
                <w:tcPr>
                  <w:tcW w:w="166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投标人奖项（荣誉、表彰）情况</w:t>
                  </w:r>
                </w:p>
              </w:tc>
              <w:tc>
                <w:tcPr>
                  <w:tcW w:w="85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5</w:t>
                  </w:r>
                </w:p>
              </w:tc>
              <w:tc>
                <w:tcPr>
                  <w:tcW w:w="3915"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（一）评</w:t>
                  </w:r>
                  <w:r>
                    <w:rPr>
                      <w:rFonts w:ascii="宋体" w:hAnsi="宋体" w:hint="eastAsia"/>
                      <w:szCs w:val="21"/>
                    </w:rPr>
                    <w:t>审</w:t>
                  </w:r>
                  <w:r>
                    <w:rPr>
                      <w:rFonts w:ascii="宋体" w:hAnsi="宋体"/>
                      <w:szCs w:val="21"/>
                    </w:rPr>
                    <w:t>内容：</w:t>
                  </w:r>
                </w:p>
                <w:p w:rsidR="007900F6">
                  <w:pPr>
                    <w:snapToGrid w:val="0"/>
                    <w:spacing w:line="360" w:lineRule="auto"/>
                    <w:rPr>
                      <w:rFonts w:ascii="宋体" w:hAnsi="宋体"/>
                      <w:szCs w:val="21"/>
                    </w:rPr>
                  </w:pPr>
                  <w:r>
                    <w:rPr>
                      <w:rFonts w:ascii="宋体" w:hAnsi="宋体"/>
                      <w:szCs w:val="21"/>
                    </w:rPr>
                    <w:t>1.</w:t>
                  </w:r>
                  <w:r>
                    <w:rPr>
                      <w:rFonts w:ascii="宋体" w:hAnsi="宋体" w:hint="eastAsia"/>
                      <w:szCs w:val="21"/>
                    </w:rPr>
                    <w:t>具有</w:t>
                  </w:r>
                  <w:r>
                    <w:rPr>
                      <w:rFonts w:ascii="宋体" w:hAnsi="宋体"/>
                      <w:szCs w:val="21"/>
                    </w:rPr>
                    <w:t>省级或以上政府部门颁发的实验室建设类科学技术奖。</w:t>
                  </w:r>
                </w:p>
                <w:p w:rsidR="007900F6">
                  <w:pPr>
                    <w:snapToGrid w:val="0"/>
                    <w:spacing w:line="360" w:lineRule="auto"/>
                    <w:rPr>
                      <w:rFonts w:ascii="宋体" w:hAnsi="宋体"/>
                      <w:szCs w:val="21"/>
                    </w:rPr>
                  </w:pPr>
                  <w:r>
                    <w:rPr>
                      <w:rFonts w:ascii="宋体" w:hAnsi="宋体"/>
                      <w:szCs w:val="21"/>
                    </w:rPr>
                    <w:t>2.</w:t>
                  </w:r>
                  <w:r>
                    <w:rPr>
                      <w:rFonts w:ascii="宋体" w:hAnsi="宋体" w:hint="eastAsia"/>
                      <w:szCs w:val="21"/>
                    </w:rPr>
                    <w:t>具有</w:t>
                  </w:r>
                  <w:r>
                    <w:rPr>
                      <w:rFonts w:ascii="宋体" w:hAnsi="宋体"/>
                      <w:szCs w:val="21"/>
                    </w:rPr>
                    <w:t>省级或以上政府部门颁发的实验室建设类工法证书。</w:t>
                  </w:r>
                </w:p>
                <w:p w:rsidR="007900F6">
                  <w:pPr>
                    <w:snapToGrid w:val="0"/>
                    <w:spacing w:line="360" w:lineRule="auto"/>
                    <w:rPr>
                      <w:rFonts w:ascii="宋体" w:hAnsi="宋体"/>
                      <w:szCs w:val="21"/>
                    </w:rPr>
                  </w:pPr>
                  <w:r>
                    <w:rPr>
                      <w:rFonts w:ascii="宋体" w:hAnsi="宋体" w:hint="eastAsia"/>
                      <w:szCs w:val="21"/>
                    </w:rPr>
                    <w:t>（二）评分标准：</w:t>
                  </w:r>
                </w:p>
                <w:p w:rsidR="007900F6">
                  <w:pPr>
                    <w:snapToGrid w:val="0"/>
                    <w:spacing w:line="360" w:lineRule="auto"/>
                    <w:rPr>
                      <w:rFonts w:ascii="宋体" w:hAnsi="宋体"/>
                      <w:szCs w:val="21"/>
                    </w:rPr>
                  </w:pPr>
                  <w:r>
                    <w:rPr>
                      <w:rFonts w:ascii="宋体" w:hAnsi="宋体" w:hint="eastAsia"/>
                      <w:szCs w:val="21"/>
                    </w:rPr>
                    <w:t>1.</w:t>
                  </w:r>
                  <w:r>
                    <w:rPr>
                      <w:rFonts w:ascii="宋体" w:hAnsi="宋体"/>
                      <w:szCs w:val="21"/>
                    </w:rPr>
                    <w:t>每提供一个得50%分，全部提供得100%分。</w:t>
                  </w:r>
                </w:p>
                <w:p w:rsidR="007900F6">
                  <w:pPr>
                    <w:snapToGrid w:val="0"/>
                    <w:spacing w:line="360" w:lineRule="auto"/>
                    <w:rPr>
                      <w:rFonts w:ascii="宋体" w:hAnsi="宋体"/>
                      <w:szCs w:val="21"/>
                    </w:rPr>
                  </w:pPr>
                  <w:r>
                    <w:rPr>
                      <w:rFonts w:ascii="宋体" w:hAnsi="宋体"/>
                      <w:szCs w:val="21"/>
                    </w:rPr>
                    <w:t>2.</w:t>
                  </w:r>
                  <w:r>
                    <w:rPr>
                      <w:rFonts w:ascii="宋体" w:hAnsi="宋体" w:hint="eastAsia"/>
                      <w:szCs w:val="21"/>
                    </w:rPr>
                    <w:t>以上证明资料须提供有效的复印件并加盖公章， 原件备查。不提供或无法辨别的，不得分。</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hint="eastAsia"/>
                      <w:szCs w:val="21"/>
                    </w:rPr>
                    <w:t>4</w:t>
                  </w:r>
                </w:p>
              </w:tc>
              <w:tc>
                <w:tcPr>
                  <w:tcW w:w="166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拟投入劳动力（项目经理、设计负责人、技术人员、管理班子、机械设备、场地）情况</w:t>
                  </w:r>
                </w:p>
              </w:tc>
              <w:tc>
                <w:tcPr>
                  <w:tcW w:w="85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hint="eastAsia"/>
                      <w:szCs w:val="21"/>
                    </w:rPr>
                    <w:t>5</w:t>
                  </w:r>
                </w:p>
              </w:tc>
              <w:tc>
                <w:tcPr>
                  <w:tcW w:w="3915"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（一） 评分内容： 投标人针对本项目拟安排的团队人员必须为自有员工，团队人员人数不低于7人，否则此项不得分</w:t>
                  </w:r>
                  <w:r>
                    <w:rPr>
                      <w:rFonts w:ascii="宋体" w:hAnsi="宋体" w:hint="eastAsia"/>
                      <w:szCs w:val="21"/>
                    </w:rPr>
                    <w:t>。</w:t>
                  </w:r>
                  <w:r>
                    <w:rPr>
                      <w:rFonts w:ascii="宋体" w:hAnsi="宋体"/>
                      <w:szCs w:val="21"/>
                    </w:rPr>
                    <w:t xml:space="preserve"> </w:t>
                  </w:r>
                </w:p>
                <w:p w:rsidR="007900F6">
                  <w:pPr>
                    <w:snapToGrid w:val="0"/>
                    <w:spacing w:line="360" w:lineRule="auto"/>
                    <w:rPr>
                      <w:rFonts w:ascii="宋体" w:hAnsi="宋体"/>
                      <w:szCs w:val="21"/>
                    </w:rPr>
                  </w:pPr>
                  <w:r>
                    <w:rPr>
                      <w:rFonts w:ascii="宋体" w:hAnsi="宋体" w:hint="eastAsia"/>
                      <w:szCs w:val="21"/>
                    </w:rPr>
                    <w:t>（1）项目经理具有二级或以上注册建造师资格（建筑工程专业)的并且具二级或以上注册建造师资格（机电专业），同时具有高级工程师职称证书得10%分；</w:t>
                  </w:r>
                </w:p>
                <w:p w:rsidR="007900F6">
                  <w:pPr>
                    <w:snapToGrid w:val="0"/>
                    <w:spacing w:line="360" w:lineRule="auto"/>
                    <w:rPr>
                      <w:rFonts w:ascii="宋体" w:hAnsi="宋体"/>
                      <w:szCs w:val="21"/>
                    </w:rPr>
                  </w:pPr>
                  <w:r>
                    <w:rPr>
                      <w:rFonts w:ascii="宋体" w:hAnsi="宋体" w:hint="eastAsia"/>
                      <w:szCs w:val="21"/>
                    </w:rPr>
                    <w:t>项目经理具有一级注册建造师资格（建筑工程专业)的并且具一级注册建造师资格（机电专业），同时具有高级工程师职称证书得20%分。</w:t>
                  </w:r>
                </w:p>
                <w:p w:rsidR="007900F6">
                  <w:pPr>
                    <w:snapToGrid w:val="0"/>
                    <w:spacing w:line="360" w:lineRule="auto"/>
                    <w:rPr>
                      <w:rFonts w:ascii="宋体" w:hAnsi="宋体"/>
                      <w:szCs w:val="21"/>
                    </w:rPr>
                  </w:pPr>
                  <w:r>
                    <w:rPr>
                      <w:rFonts w:ascii="宋体" w:hAnsi="宋体" w:hint="eastAsia"/>
                      <w:szCs w:val="21"/>
                    </w:rPr>
                    <w:t>不满足不得分，本小项最高20%；</w:t>
                  </w:r>
                </w:p>
                <w:p w:rsidR="007900F6">
                  <w:pPr>
                    <w:snapToGrid w:val="0"/>
                    <w:spacing w:line="360" w:lineRule="auto"/>
                    <w:rPr>
                      <w:rFonts w:ascii="宋体" w:hAnsi="宋体"/>
                      <w:szCs w:val="21"/>
                    </w:rPr>
                  </w:pPr>
                  <w:r>
                    <w:rPr>
                      <w:rFonts w:ascii="宋体" w:hAnsi="宋体" w:hint="eastAsia"/>
                      <w:szCs w:val="21"/>
                    </w:rPr>
                    <w:t>（2）项目技术负责人（仅限一人）具有注册结构工程师证书得</w:t>
                  </w:r>
                  <w:r>
                    <w:rPr>
                      <w:rFonts w:ascii="宋体" w:hAnsi="宋体"/>
                      <w:szCs w:val="21"/>
                    </w:rPr>
                    <w:t>20%</w:t>
                  </w:r>
                  <w:r>
                    <w:rPr>
                      <w:rFonts w:ascii="宋体" w:hAnsi="宋体" w:hint="eastAsia"/>
                      <w:szCs w:val="21"/>
                    </w:rPr>
                    <w:t>；具有高级结构工程师职称证书得10%。本小项最高20%；</w:t>
                  </w:r>
                </w:p>
                <w:p w:rsidR="007900F6">
                  <w:pPr>
                    <w:snapToGrid w:val="0"/>
                    <w:spacing w:line="360" w:lineRule="auto"/>
                    <w:rPr>
                      <w:rFonts w:ascii="宋体" w:hAnsi="宋体"/>
                      <w:szCs w:val="21"/>
                    </w:rPr>
                  </w:pPr>
                  <w:r>
                    <w:rPr>
                      <w:rFonts w:ascii="宋体" w:hAnsi="宋体" w:hint="eastAsia"/>
                      <w:szCs w:val="21"/>
                    </w:rPr>
                    <w:t>（3）安全主管（仅限一人）具备注册安全工程师证书（注册单位名称与投标人名称须一致，否则不得分）的得</w:t>
                  </w:r>
                  <w:r>
                    <w:rPr>
                      <w:rFonts w:ascii="宋体" w:hAnsi="宋体"/>
                      <w:szCs w:val="21"/>
                    </w:rPr>
                    <w:t>20%</w:t>
                  </w:r>
                  <w:r>
                    <w:rPr>
                      <w:rFonts w:ascii="宋体" w:hAnsi="宋体" w:hint="eastAsia"/>
                      <w:szCs w:val="21"/>
                    </w:rPr>
                    <w:t>；</w:t>
                  </w:r>
                </w:p>
                <w:p w:rsidR="007900F6">
                  <w:pPr>
                    <w:snapToGrid w:val="0"/>
                    <w:spacing w:line="360" w:lineRule="auto"/>
                    <w:rPr>
                      <w:rFonts w:ascii="宋体" w:hAnsi="宋体"/>
                      <w:szCs w:val="21"/>
                    </w:rPr>
                  </w:pPr>
                  <w:r>
                    <w:rPr>
                      <w:rFonts w:ascii="宋体" w:hAnsi="宋体" w:hint="eastAsia"/>
                      <w:szCs w:val="21"/>
                    </w:rPr>
                    <w:t>（4）管理班子配备给排水工程师、注册电气工程师、建筑工程师、造价工程师、安全员（具备安全生产考核C证和工程师证）、施工员（具备施工员证和工程师证）、质量员（具备质量员证和工程师证）、材料员（具备材料员证和工程师证）及资料员（具有资料员证）配备齐全得</w:t>
                  </w:r>
                  <w:r>
                    <w:rPr>
                      <w:rFonts w:ascii="宋体" w:hAnsi="宋体"/>
                      <w:szCs w:val="21"/>
                    </w:rPr>
                    <w:t>40%</w:t>
                  </w:r>
                  <w:r>
                    <w:rPr>
                      <w:rFonts w:ascii="宋体" w:hAnsi="宋体" w:hint="eastAsia"/>
                      <w:szCs w:val="21"/>
                    </w:rPr>
                    <w:t>，以上管理班子缺任意一项扣5</w:t>
                  </w:r>
                  <w:r>
                    <w:rPr>
                      <w:rFonts w:ascii="宋体" w:hAnsi="宋体"/>
                      <w:szCs w:val="21"/>
                    </w:rPr>
                    <w:t>%</w:t>
                  </w:r>
                  <w:r>
                    <w:rPr>
                      <w:rFonts w:ascii="宋体" w:hAnsi="宋体" w:hint="eastAsia"/>
                      <w:szCs w:val="21"/>
                    </w:rPr>
                    <w:t>，本小项最高</w:t>
                  </w:r>
                  <w:r>
                    <w:rPr>
                      <w:rFonts w:ascii="宋体" w:hAnsi="宋体"/>
                      <w:szCs w:val="21"/>
                    </w:rPr>
                    <w:t>40%</w:t>
                  </w:r>
                  <w:r>
                    <w:rPr>
                      <w:rFonts w:ascii="宋体" w:hAnsi="宋体" w:hint="eastAsia"/>
                      <w:szCs w:val="21"/>
                    </w:rPr>
                    <w:t>；</w:t>
                  </w:r>
                </w:p>
                <w:p w:rsidR="007900F6">
                  <w:pPr>
                    <w:snapToGrid w:val="0"/>
                    <w:spacing w:line="360" w:lineRule="auto"/>
                    <w:rPr>
                      <w:rFonts w:ascii="宋体" w:hAnsi="宋体"/>
                      <w:szCs w:val="21"/>
                    </w:rPr>
                  </w:pPr>
                  <w:r>
                    <w:rPr>
                      <w:rFonts w:ascii="宋体" w:hAnsi="宋体" w:hint="eastAsia"/>
                      <w:szCs w:val="21"/>
                    </w:rPr>
                    <w:t>注：</w:t>
                  </w:r>
                </w:p>
                <w:p w:rsidR="007900F6">
                  <w:pPr>
                    <w:snapToGrid w:val="0"/>
                    <w:spacing w:line="360" w:lineRule="auto"/>
                    <w:rPr>
                      <w:rFonts w:ascii="宋体" w:hAnsi="宋体"/>
                      <w:szCs w:val="21"/>
                    </w:rPr>
                  </w:pPr>
                  <w:r>
                    <w:rPr>
                      <w:rFonts w:ascii="宋体" w:hAnsi="宋体" w:hint="eastAsia"/>
                      <w:szCs w:val="21"/>
                    </w:rPr>
                    <w:t>1、提供相关证书扫描件，注册类证书还需提供官方注册网站截图（体现注册单位）。以上各种证件要求截止本项目开标之日，在注册有效期内，超期未注册或超出证件有效期的，不得分。</w:t>
                  </w:r>
                </w:p>
                <w:p w:rsidR="007900F6">
                  <w:pPr>
                    <w:snapToGrid w:val="0"/>
                    <w:spacing w:line="360" w:lineRule="auto"/>
                    <w:rPr>
                      <w:rFonts w:ascii="宋体" w:hAnsi="宋体"/>
                      <w:szCs w:val="21"/>
                    </w:rPr>
                  </w:pPr>
                  <w:r>
                    <w:rPr>
                      <w:rFonts w:ascii="宋体" w:hAnsi="宋体" w:hint="eastAsia"/>
                      <w:szCs w:val="21"/>
                    </w:rPr>
                    <w:t>2、要求投标单位提供人员近3个月</w:t>
                  </w:r>
                  <w:r>
                    <w:rPr>
                      <w:rFonts w:ascii="宋体" w:hAnsi="宋体"/>
                      <w:szCs w:val="21"/>
                    </w:rPr>
                    <w:t>（202</w:t>
                  </w:r>
                  <w:r>
                    <w:rPr>
                      <w:rFonts w:ascii="宋体" w:hAnsi="宋体" w:hint="eastAsia"/>
                      <w:szCs w:val="21"/>
                    </w:rPr>
                    <w:t>2</w:t>
                  </w:r>
                  <w:r>
                    <w:rPr>
                      <w:rFonts w:ascii="宋体" w:hAnsi="宋体"/>
                      <w:szCs w:val="21"/>
                    </w:rPr>
                    <w:t>年</w:t>
                  </w:r>
                  <w:r>
                    <w:rPr>
                      <w:rFonts w:ascii="宋体" w:hAnsi="宋体" w:hint="eastAsia"/>
                      <w:szCs w:val="21"/>
                    </w:rPr>
                    <w:t>3</w:t>
                  </w:r>
                  <w:r>
                    <w:rPr>
                      <w:rFonts w:ascii="宋体" w:hAnsi="宋体"/>
                      <w:szCs w:val="21"/>
                    </w:rPr>
                    <w:t>月至202</w:t>
                  </w:r>
                  <w:r>
                    <w:rPr>
                      <w:rFonts w:ascii="宋体" w:hAnsi="宋体" w:hint="eastAsia"/>
                      <w:szCs w:val="21"/>
                    </w:rPr>
                    <w:t>2</w:t>
                  </w:r>
                  <w:r>
                    <w:rPr>
                      <w:rFonts w:ascii="宋体" w:hAnsi="宋体"/>
                      <w:szCs w:val="21"/>
                    </w:rPr>
                    <w:t>年</w:t>
                  </w:r>
                  <w:r>
                    <w:rPr>
                      <w:rFonts w:ascii="宋体" w:hAnsi="宋体" w:hint="eastAsia"/>
                      <w:szCs w:val="21"/>
                    </w:rPr>
                    <w:t>5</w:t>
                  </w:r>
                  <w:r>
                    <w:rPr>
                      <w:rFonts w:ascii="宋体" w:hAnsi="宋体"/>
                      <w:szCs w:val="21"/>
                    </w:rPr>
                    <w:t>月，由于社保部门原因最近一个月的社保证明无法提供的可往前顺延一个月）</w:t>
                  </w:r>
                  <w:r>
                    <w:rPr>
                      <w:rFonts w:ascii="宋体" w:hAnsi="宋体" w:hint="eastAsia"/>
                      <w:szCs w:val="21"/>
                    </w:rPr>
                    <w:t>社保缴纳记录，未提供的，本项不得分）</w:t>
                  </w:r>
                </w:p>
                <w:p w:rsidR="007900F6">
                  <w:pPr>
                    <w:snapToGrid w:val="0"/>
                    <w:spacing w:line="360" w:lineRule="auto"/>
                    <w:rPr>
                      <w:rFonts w:ascii="宋体" w:hAnsi="宋体"/>
                      <w:szCs w:val="21"/>
                    </w:rPr>
                  </w:pPr>
                  <w:r>
                    <w:rPr>
                      <w:rFonts w:ascii="宋体" w:hAnsi="宋体"/>
                      <w:szCs w:val="21"/>
                    </w:rPr>
                    <w:t>以上各项累计加分，最高得100%分，同一人员同时具有多项证书的按最高项计。 提供相关证书扫描件，原件备查。</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5</w:t>
                  </w:r>
                </w:p>
              </w:tc>
              <w:tc>
                <w:tcPr>
                  <w:tcW w:w="166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投标人</w:t>
                  </w:r>
                  <w:r>
                    <w:rPr>
                      <w:rFonts w:ascii="宋体" w:hAnsi="宋体" w:hint="eastAsia"/>
                      <w:szCs w:val="21"/>
                    </w:rPr>
                    <w:t>售后服务</w:t>
                  </w:r>
                  <w:r>
                    <w:rPr>
                      <w:rFonts w:ascii="宋体" w:hAnsi="宋体"/>
                      <w:szCs w:val="21"/>
                    </w:rPr>
                    <w:t>能力</w:t>
                  </w:r>
                </w:p>
              </w:tc>
              <w:tc>
                <w:tcPr>
                  <w:tcW w:w="850"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5</w:t>
                  </w:r>
                </w:p>
              </w:tc>
              <w:tc>
                <w:tcPr>
                  <w:tcW w:w="3915" w:type="dxa"/>
                  <w:tcBorders>
                    <w:top w:val="outset" w:sz="6" w:space="0" w:color="000000"/>
                    <w:left w:val="outset" w:sz="6" w:space="0" w:color="000000"/>
                    <w:bottom w:val="outset" w:sz="6" w:space="0" w:color="000000"/>
                    <w:right w:val="outset" w:sz="6" w:space="0" w:color="000000"/>
                  </w:tcBorders>
                </w:tcPr>
                <w:p w:rsidR="007900F6">
                  <w:pPr>
                    <w:snapToGrid w:val="0"/>
                    <w:spacing w:line="360" w:lineRule="auto"/>
                    <w:rPr>
                      <w:rFonts w:ascii="宋体" w:hAnsi="宋体"/>
                      <w:szCs w:val="21"/>
                    </w:rPr>
                  </w:pPr>
                  <w:r>
                    <w:rPr>
                      <w:rFonts w:ascii="宋体" w:hAnsi="宋体"/>
                      <w:szCs w:val="21"/>
                    </w:rPr>
                    <w:t>（一）评</w:t>
                  </w:r>
                  <w:r>
                    <w:rPr>
                      <w:rFonts w:ascii="宋体" w:hAnsi="宋体" w:hint="eastAsia"/>
                      <w:szCs w:val="21"/>
                    </w:rPr>
                    <w:t>审</w:t>
                  </w:r>
                  <w:r>
                    <w:rPr>
                      <w:rFonts w:ascii="宋体" w:hAnsi="宋体"/>
                      <w:szCs w:val="21"/>
                    </w:rPr>
                    <w:t>内容：</w:t>
                  </w:r>
                </w:p>
                <w:p w:rsidR="007900F6">
                  <w:pPr>
                    <w:snapToGrid w:val="0"/>
                    <w:spacing w:line="360" w:lineRule="auto"/>
                    <w:rPr>
                      <w:rFonts w:ascii="宋体" w:hAnsi="宋体"/>
                      <w:szCs w:val="21"/>
                    </w:rPr>
                  </w:pPr>
                  <w:r>
                    <w:rPr>
                      <w:rFonts w:ascii="宋体" w:hAnsi="宋体" w:hint="eastAsia"/>
                      <w:szCs w:val="21"/>
                    </w:rPr>
                    <w:t>1</w:t>
                  </w:r>
                  <w:r>
                    <w:rPr>
                      <w:rFonts w:ascii="宋体" w:hAnsi="宋体" w:hint="eastAsia"/>
                      <w:szCs w:val="21"/>
                    </w:rPr>
                    <w:t>.</w:t>
                  </w:r>
                  <w:r>
                    <w:rPr>
                      <w:rFonts w:ascii="宋体" w:hAnsi="宋体"/>
                      <w:szCs w:val="21"/>
                    </w:rPr>
                    <w:t xml:space="preserve"> 商品售后服务评价体系</w:t>
                  </w:r>
                </w:p>
                <w:p w:rsidR="007900F6">
                  <w:pPr>
                    <w:snapToGrid w:val="0"/>
                    <w:spacing w:line="360" w:lineRule="auto"/>
                    <w:rPr>
                      <w:rFonts w:ascii="宋体" w:hAnsi="宋体"/>
                      <w:szCs w:val="21"/>
                    </w:rPr>
                  </w:pPr>
                  <w:r>
                    <w:rPr>
                      <w:rFonts w:ascii="宋体" w:hAnsi="宋体" w:hint="eastAsia"/>
                      <w:szCs w:val="21"/>
                    </w:rPr>
                    <w:t>2.</w:t>
                  </w:r>
                  <w:r>
                    <w:rPr>
                      <w:rFonts w:ascii="宋体" w:hAnsi="宋体"/>
                      <w:szCs w:val="21"/>
                    </w:rPr>
                    <w:t xml:space="preserve"> 售后服务及培训方案</w:t>
                  </w:r>
                </w:p>
                <w:p w:rsidR="007900F6">
                  <w:pPr>
                    <w:snapToGrid w:val="0"/>
                    <w:spacing w:line="360" w:lineRule="auto"/>
                    <w:rPr>
                      <w:rFonts w:ascii="宋体" w:hAnsi="宋体"/>
                      <w:szCs w:val="21"/>
                    </w:rPr>
                  </w:pPr>
                  <w:r>
                    <w:rPr>
                      <w:rFonts w:ascii="宋体" w:hAnsi="宋体" w:hint="eastAsia"/>
                      <w:szCs w:val="21"/>
                    </w:rPr>
                    <w:t>（二）评分标准：</w:t>
                  </w:r>
                </w:p>
                <w:p w:rsidR="007900F6" w:rsidRPr="00832189">
                  <w:pPr>
                    <w:snapToGrid w:val="0"/>
                    <w:spacing w:line="360" w:lineRule="auto"/>
                    <w:rPr>
                      <w:rFonts w:ascii="宋体" w:hAnsi="宋体"/>
                      <w:szCs w:val="21"/>
                    </w:rPr>
                  </w:pPr>
                  <w:r>
                    <w:rPr>
                      <w:rFonts w:ascii="宋体" w:hAnsi="宋体"/>
                      <w:szCs w:val="21"/>
                    </w:rPr>
                    <w:t>1、投标</w:t>
                  </w:r>
                  <w:r w:rsidRPr="00832189">
                    <w:rPr>
                      <w:rFonts w:ascii="宋体" w:hAnsi="宋体"/>
                      <w:szCs w:val="21"/>
                    </w:rPr>
                    <w:t>人获得《商品售后服务评价体系》五星级售后服务认证证书的，计</w:t>
                  </w:r>
                  <w:r w:rsidRPr="00832189">
                    <w:rPr>
                      <w:rFonts w:ascii="宋体" w:hAnsi="宋体" w:hint="eastAsia"/>
                      <w:szCs w:val="21"/>
                    </w:rPr>
                    <w:t>50%</w:t>
                  </w:r>
                  <w:r w:rsidRPr="00832189">
                    <w:rPr>
                      <w:rFonts w:ascii="宋体" w:hAnsi="宋体"/>
                      <w:szCs w:val="21"/>
                    </w:rPr>
                    <w:t>分；四星级售后服务认证证书的计</w:t>
                  </w:r>
                  <w:r w:rsidRPr="00832189">
                    <w:rPr>
                      <w:rFonts w:ascii="宋体" w:hAnsi="宋体" w:hint="eastAsia"/>
                      <w:szCs w:val="21"/>
                    </w:rPr>
                    <w:t>25%</w:t>
                  </w:r>
                  <w:r w:rsidRPr="00832189">
                    <w:rPr>
                      <w:rFonts w:ascii="宋体" w:hAnsi="宋体"/>
                      <w:szCs w:val="21"/>
                    </w:rPr>
                    <w:t>分；三星级售后服务认证证书的计</w:t>
                  </w:r>
                  <w:r w:rsidRPr="00832189">
                    <w:rPr>
                      <w:rFonts w:ascii="宋体" w:hAnsi="宋体" w:hint="eastAsia"/>
                      <w:szCs w:val="21"/>
                    </w:rPr>
                    <w:t>10%</w:t>
                  </w:r>
                  <w:r w:rsidRPr="00832189">
                    <w:rPr>
                      <w:rFonts w:ascii="宋体" w:hAnsi="宋体"/>
                      <w:szCs w:val="21"/>
                    </w:rPr>
                    <w:t>分；其余不计分。</w:t>
                  </w:r>
                </w:p>
                <w:p w:rsidR="007900F6">
                  <w:pPr>
                    <w:snapToGrid w:val="0"/>
                    <w:spacing w:line="360" w:lineRule="auto"/>
                    <w:rPr>
                      <w:rFonts w:ascii="宋体" w:hAnsi="宋体"/>
                      <w:szCs w:val="21"/>
                    </w:rPr>
                  </w:pPr>
                  <w:r w:rsidRPr="00832189">
                    <w:rPr>
                      <w:rFonts w:ascii="宋体" w:hAnsi="宋体"/>
                      <w:szCs w:val="21"/>
                    </w:rPr>
                    <w:t>2、售后服务及培训方案完善合理的计</w:t>
                  </w:r>
                  <w:r w:rsidRPr="00832189">
                    <w:rPr>
                      <w:rFonts w:ascii="宋体" w:hAnsi="宋体" w:hint="eastAsia"/>
                      <w:szCs w:val="21"/>
                    </w:rPr>
                    <w:t>50%</w:t>
                  </w:r>
                  <w:r w:rsidRPr="00832189">
                    <w:rPr>
                      <w:rFonts w:ascii="宋体" w:hAnsi="宋体"/>
                      <w:szCs w:val="21"/>
                    </w:rPr>
                    <w:t>分，售后服务及培训方案完善但可行性不高的计</w:t>
                  </w:r>
                  <w:r w:rsidRPr="00832189">
                    <w:rPr>
                      <w:rFonts w:ascii="宋体" w:hAnsi="宋体" w:hint="eastAsia"/>
                      <w:szCs w:val="21"/>
                    </w:rPr>
                    <w:t>25%</w:t>
                  </w:r>
                  <w:r w:rsidRPr="00832189">
                    <w:rPr>
                      <w:rFonts w:ascii="宋体" w:hAnsi="宋体"/>
                      <w:szCs w:val="21"/>
                    </w:rPr>
                    <w:t>分，售后服务及培训方案不完善或不可行的计</w:t>
                  </w:r>
                  <w:r w:rsidRPr="00832189">
                    <w:rPr>
                      <w:rFonts w:ascii="宋体" w:hAnsi="宋体" w:hint="eastAsia"/>
                      <w:szCs w:val="21"/>
                    </w:rPr>
                    <w:t>10%</w:t>
                  </w:r>
                  <w:r w:rsidRPr="00832189">
                    <w:rPr>
                      <w:rFonts w:ascii="宋体" w:hAnsi="宋体"/>
                      <w:szCs w:val="21"/>
                    </w:rPr>
                    <w:t>分，没提供针对本项目售后服务及培训方案的不计</w:t>
                  </w:r>
                  <w:r>
                    <w:rPr>
                      <w:rFonts w:ascii="宋体" w:hAnsi="宋体"/>
                      <w:szCs w:val="21"/>
                    </w:rPr>
                    <w:t>分。</w:t>
                  </w:r>
                </w:p>
              </w:tc>
            </w:tr>
            <w:tr>
              <w:tblPrEx>
                <w:tblW w:w="7785" w:type="dxa"/>
                <w:jc w:val="center"/>
                <w:tblInd w:w="0" w:type="dxa"/>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4</w:t>
                  </w:r>
                </w:p>
              </w:tc>
              <w:tc>
                <w:tcPr>
                  <w:tcW w:w="3190" w:type="dxa"/>
                  <w:gridSpan w:val="3"/>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诚信部分</w:t>
                  </w:r>
                </w:p>
              </w:tc>
              <w:tc>
                <w:tcPr>
                  <w:tcW w:w="3915"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5</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7105" w:type="dxa"/>
                  <w:gridSpan w:val="4"/>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序号</w:t>
                  </w:r>
                </w:p>
              </w:tc>
              <w:tc>
                <w:tcPr>
                  <w:tcW w:w="1660"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评分因素</w:t>
                  </w:r>
                </w:p>
              </w:tc>
              <w:tc>
                <w:tcPr>
                  <w:tcW w:w="850"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权重(%)</w:t>
                  </w:r>
                </w:p>
              </w:tc>
              <w:tc>
                <w:tcPr>
                  <w:tcW w:w="3915" w:type="dxa"/>
                  <w:tcBorders>
                    <w:top w:val="outset" w:sz="6" w:space="0" w:color="000000"/>
                    <w:left w:val="outset" w:sz="6" w:space="0" w:color="000000"/>
                    <w:bottom w:val="outset" w:sz="6" w:space="0" w:color="000000"/>
                    <w:right w:val="outset" w:sz="6" w:space="0" w:color="000000"/>
                  </w:tcBorders>
                  <w:vAlign w:val="center"/>
                </w:tcPr>
                <w:p w:rsidR="007900F6">
                  <w:pPr>
                    <w:snapToGrid w:val="0"/>
                    <w:spacing w:line="360" w:lineRule="auto"/>
                    <w:rPr>
                      <w:rFonts w:ascii="宋体" w:hAnsi="宋体"/>
                      <w:szCs w:val="21"/>
                    </w:rPr>
                  </w:pPr>
                  <w:r>
                    <w:rPr>
                      <w:rFonts w:ascii="宋体" w:hAnsi="宋体"/>
                      <w:szCs w:val="21"/>
                    </w:rPr>
                    <w:t>评分准则</w:t>
                  </w:r>
                </w:p>
              </w:tc>
            </w:tr>
            <w:tr>
              <w:tblPrEx>
                <w:tblW w:w="7785" w:type="dxa"/>
                <w:jc w:val="center"/>
                <w:tblInd w:w="0" w:type="dxa"/>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7900F6">
                  <w:pPr>
                    <w:snapToGrid w:val="0"/>
                    <w:spacing w:line="360" w:lineRule="auto"/>
                    <w:rPr>
                      <w:rFonts w:ascii="宋体" w:hAnsi="宋体"/>
                      <w:szCs w:val="21"/>
                    </w:rPr>
                  </w:pPr>
                </w:p>
              </w:tc>
              <w:tc>
                <w:tcPr>
                  <w:tcW w:w="68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1</w:t>
                  </w:r>
                </w:p>
              </w:tc>
              <w:tc>
                <w:tcPr>
                  <w:tcW w:w="166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诚信管理情况</w:t>
                  </w:r>
                </w:p>
              </w:tc>
              <w:tc>
                <w:tcPr>
                  <w:tcW w:w="850"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5</w:t>
                  </w:r>
                </w:p>
              </w:tc>
              <w:tc>
                <w:tcPr>
                  <w:tcW w:w="3915" w:type="dxa"/>
                  <w:tcBorders>
                    <w:top w:val="single" w:sz="8" w:space="0" w:color="000000"/>
                    <w:left w:val="single" w:sz="8" w:space="0" w:color="000000"/>
                    <w:bottom w:val="single" w:sz="8" w:space="0" w:color="000000"/>
                    <w:right w:val="single" w:sz="8" w:space="0" w:color="000000"/>
                  </w:tcBorders>
                </w:tcPr>
                <w:p w:rsidR="007900F6">
                  <w:pPr>
                    <w:snapToGrid w:val="0"/>
                    <w:spacing w:line="360" w:lineRule="auto"/>
                    <w:rPr>
                      <w:rFonts w:ascii="宋体" w:hAnsi="宋体"/>
                      <w:szCs w:val="21"/>
                    </w:rPr>
                  </w:pPr>
                  <w:r>
                    <w:rPr>
                      <w:rFonts w:ascii="宋体" w:hAnsi="宋体"/>
                      <w:szCs w:val="21"/>
                    </w:rPr>
                    <w:t>投标人在参与政府采购活动中存在诚信相关问题且在主管部门相关处理措施实施期限内的，本项不得分，否则得满分。投标人无需提供任何证明材料，由工作人员向评审委员会提供相关信息。</w:t>
                  </w:r>
                </w:p>
              </w:tc>
            </w:tr>
          </w:tbl>
          <w:p w:rsidR="007900F6">
            <w:pPr>
              <w:pStyle w:val="NormalWeb"/>
              <w:spacing w:line="360" w:lineRule="auto"/>
              <w:ind w:left="420"/>
              <w:contextualSpacing/>
              <w:rPr>
                <w:color w:val="000000"/>
                <w:sz w:val="21"/>
                <w:szCs w:val="21"/>
              </w:rPr>
            </w:pPr>
          </w:p>
        </w:tc>
      </w:tr>
    </w:tbl>
    <w:p w:rsidR="007900F6">
      <w:pPr>
        <w:spacing w:line="360" w:lineRule="auto"/>
        <w:contextualSpacing/>
        <w:rPr>
          <w:vanish/>
          <w:color w:val="000000"/>
        </w:rPr>
      </w:pPr>
    </w:p>
    <w:p w:rsidR="007900F6">
      <w:pPr>
        <w:spacing w:line="360" w:lineRule="auto"/>
        <w:contextualSpacing/>
        <w:rPr>
          <w:color w:val="000000"/>
        </w:rPr>
      </w:pPr>
    </w:p>
    <w:p w:rsidR="007900F6">
      <w:pPr>
        <w:pStyle w:val="Heading4"/>
        <w:spacing w:before="0" w:after="0" w:line="360" w:lineRule="auto"/>
        <w:contextualSpacing/>
        <w:jc w:val="center"/>
        <w:rPr>
          <w:rFonts w:ascii="宋体" w:eastAsia="宋体" w:hAnsi="宋体"/>
          <w:color w:val="000000"/>
          <w:szCs w:val="32"/>
        </w:rPr>
      </w:pPr>
      <w:r>
        <w:rPr>
          <w:rFonts w:ascii="宋体" w:eastAsia="宋体" w:hAnsi="宋体" w:hint="eastAsia"/>
          <w:color w:val="000000"/>
          <w:szCs w:val="32"/>
        </w:rPr>
        <w:t>其它关键信息</w:t>
      </w:r>
    </w:p>
    <w:p w:rsidR="007900F6">
      <w:pPr>
        <w:spacing w:line="360" w:lineRule="auto"/>
        <w:ind w:firstLine="3720" w:firstLineChars="1550"/>
        <w:contextualSpacing/>
        <w:rPr>
          <w:rFonts w:ascii="宋体" w:hAnsi="宋体"/>
          <w:b/>
          <w:color w:val="000000"/>
        </w:rPr>
      </w:pPr>
      <w:r>
        <w:rPr>
          <w:rFonts w:ascii="宋体" w:hAnsi="宋体" w:hint="eastAsia"/>
          <w:b/>
          <w:color w:val="000000"/>
        </w:rPr>
        <w:t xml:space="preserve"> 一、评标定标信息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4"/>
        <w:gridCol w:w="426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4264" w:type="dxa"/>
          </w:tcPr>
          <w:p w:rsidR="007900F6">
            <w:pPr>
              <w:spacing w:line="360" w:lineRule="auto"/>
              <w:contextualSpacing/>
              <w:jc w:val="center"/>
              <w:rPr>
                <w:rFonts w:ascii="宋体" w:hAnsi="宋体"/>
                <w:color w:val="000000"/>
              </w:rPr>
            </w:pPr>
            <w:r>
              <w:rPr>
                <w:rFonts w:ascii="宋体" w:hAnsi="宋体" w:hint="eastAsia"/>
                <w:color w:val="000000"/>
              </w:rPr>
              <w:t>评标方法</w:t>
            </w:r>
          </w:p>
        </w:tc>
        <w:tc>
          <w:tcPr>
            <w:tcW w:w="4265" w:type="dxa"/>
          </w:tcPr>
          <w:p w:rsidR="007900F6">
            <w:pPr>
              <w:spacing w:line="360" w:lineRule="auto"/>
              <w:contextualSpacing/>
              <w:jc w:val="center"/>
              <w:rPr>
                <w:rFonts w:ascii="宋体" w:hAnsi="宋体"/>
                <w:color w:val="000000"/>
              </w:rPr>
            </w:pPr>
            <w:r>
              <w:rPr>
                <w:rFonts w:ascii="宋体" w:hAnsi="宋体" w:hint="eastAsia"/>
                <w:color w:val="000000"/>
              </w:rPr>
              <w:t>综合评分法</w:t>
            </w:r>
          </w:p>
        </w:tc>
      </w:tr>
      <w:tr>
        <w:tblPrEx>
          <w:tblW w:w="0" w:type="auto"/>
          <w:tblInd w:w="0" w:type="dxa"/>
          <w:tblLook w:val="0000"/>
        </w:tblPrEx>
        <w:tc>
          <w:tcPr>
            <w:tcW w:w="4264" w:type="dxa"/>
          </w:tcPr>
          <w:p w:rsidR="007900F6">
            <w:pPr>
              <w:spacing w:line="360" w:lineRule="auto"/>
              <w:contextualSpacing/>
              <w:jc w:val="center"/>
              <w:rPr>
                <w:rFonts w:ascii="宋体" w:hAnsi="宋体"/>
                <w:color w:val="000000"/>
              </w:rPr>
            </w:pPr>
            <w:r>
              <w:rPr>
                <w:rFonts w:ascii="宋体" w:hAnsi="宋体" w:hint="eastAsia"/>
                <w:color w:val="000000"/>
              </w:rPr>
              <w:t>中标供应商家数</w:t>
            </w:r>
          </w:p>
        </w:tc>
        <w:tc>
          <w:tcPr>
            <w:tcW w:w="4265" w:type="dxa"/>
          </w:tcPr>
          <w:p w:rsidR="007900F6">
            <w:pPr>
              <w:spacing w:line="360" w:lineRule="auto"/>
              <w:contextualSpacing/>
              <w:jc w:val="center"/>
              <w:rPr>
                <w:rFonts w:ascii="宋体" w:hAnsi="宋体"/>
                <w:color w:val="000000"/>
              </w:rPr>
            </w:pPr>
            <w:r>
              <w:rPr>
                <w:rFonts w:ascii="宋体" w:hAnsi="宋体" w:hint="eastAsia"/>
                <w:color w:val="000000"/>
              </w:rPr>
              <w:t>1</w:t>
            </w:r>
          </w:p>
        </w:tc>
      </w:tr>
    </w:tbl>
    <w:p w:rsidR="007900F6">
      <w:pPr>
        <w:spacing w:line="360" w:lineRule="auto"/>
        <w:contextualSpacing/>
        <w:rPr>
          <w:color w:val="000000"/>
        </w:rPr>
      </w:pPr>
    </w:p>
    <w:p w:rsidR="007900F6">
      <w:pPr>
        <w:spacing w:line="360" w:lineRule="auto"/>
        <w:contextualSpacing/>
        <w:jc w:val="center"/>
        <w:rPr>
          <w:b/>
          <w:color w:val="000000"/>
        </w:rPr>
      </w:pPr>
      <w:r>
        <w:rPr>
          <w:rFonts w:hint="eastAsia"/>
          <w:b/>
          <w:color w:val="000000"/>
        </w:rPr>
        <w:t>二、关于享受优惠政策的价格扣除比例</w:t>
      </w:r>
    </w:p>
    <w:p w:rsidR="007900F6">
      <w:pPr>
        <w:spacing w:line="360" w:lineRule="auto"/>
        <w:ind w:firstLine="432"/>
        <w:contextualSpacing/>
        <w:rPr>
          <w:rFonts w:ascii="宋体" w:hAnsi="宋体"/>
          <w:color w:val="000000"/>
        </w:rPr>
      </w:pPr>
      <w:r>
        <w:rPr>
          <w:rFonts w:ascii="宋体" w:hAnsi="宋体" w:hint="eastAsia"/>
          <w:color w:val="000000"/>
        </w:rPr>
        <w:t>根据深圳市财政局关于进一步优化政府采购营商环境的通知（深财购〔2021〕31号）采购人要在预算绩效目标中嵌入采购政策目标，将落实采购政策作为绩效评价的重要考量因素；完善预留支出比例、需求标准管理等采购政策落实机制，通过明确对供应商资格、技术、服务、安全、质量、履约条件等的具体要求，体现政府采购对创新、绿色、中小企业等相关领域的支持。严格落实《政府采购促进中小企业发展管理办法》（财库〔2020〕46号，以下简称“《管理办法》”），完善和细化预留份额、价格扣除等政策措施，加大对中小企业的支持力度。对于符合《管理办法》规定的小型、微型企业或者大中小企业联合体（小微企业的合同份额须达到《管理办法》规定的下限）的报价，按照相关规定的顶格标准扣除，用扣除后的价格参加评审。</w:t>
      </w:r>
    </w:p>
    <w:p w:rsidR="007900F6">
      <w:pPr>
        <w:spacing w:line="360" w:lineRule="auto"/>
        <w:ind w:firstLine="432"/>
        <w:contextualSpacing/>
        <w:rPr>
          <w:rFonts w:ascii="宋体" w:hAnsi="宋体"/>
          <w:color w:val="000000"/>
        </w:rPr>
      </w:pPr>
      <w:r>
        <w:rPr>
          <w:rFonts w:ascii="宋体" w:hAnsi="宋体" w:hint="eastAsia"/>
          <w:color w:val="000000"/>
        </w:rPr>
        <w:t>根据财政部、工业和信息化部“关于印发《政府采购促进中小企业发展管理办法》的通知” 财库〔2020〕46号、财政部、司法部《关于政府采购支持监狱企业发展有关问题的通知》（财库〔2014〕68号）和财政部、民政部、中国残疾人联合会《关于促进残疾人就业政府采购政策的通知》（财库〔2017〕141号）、深圳市财政局关于进一步优化政府采购营商环境的通知（深财购〔2021〕31号）的规定，对满足价格扣除条件且在投标文件中提交了《中小企业声明函》、《残疾人福利性单位声明函》或省级以上监狱管理局、戒毒管理局（含新疆生产建设兵团）出具的属于监狱企业的证明文件的投标人，其投标报价扣除</w:t>
      </w:r>
      <w:r>
        <w:rPr>
          <w:rFonts w:ascii="宋体" w:hAnsi="宋体" w:hint="eastAsia"/>
          <w:color w:val="FF0000"/>
          <w:highlight w:val="yellow"/>
        </w:rPr>
        <w:t>5%</w:t>
      </w:r>
      <w:r>
        <w:rPr>
          <w:rFonts w:ascii="宋体" w:hAnsi="宋体" w:hint="eastAsia"/>
          <w:color w:val="000000"/>
        </w:rPr>
        <w:t>后参与评审。对于同时属于小型、微型企业、监狱企业或残疾人福利性单位的，不重复进行投标报价扣除。如有其它政策支持因素（如鼓励创新等）需一并列出。</w:t>
      </w:r>
    </w:p>
    <w:p w:rsidR="007900F6">
      <w:pPr>
        <w:spacing w:line="360" w:lineRule="auto"/>
        <w:ind w:firstLine="432"/>
        <w:contextualSpacing/>
        <w:rPr>
          <w:rFonts w:ascii="宋体" w:hAnsi="宋体"/>
          <w:color w:val="000000"/>
        </w:rPr>
      </w:pPr>
      <w:r>
        <w:rPr>
          <w:rFonts w:ascii="宋体" w:hAnsi="宋体" w:hint="eastAsia"/>
          <w:color w:val="000000"/>
        </w:rPr>
        <w:t>联合协议中约定，小型、微型企业和监狱企业的协议合同金额占到联合体协议合同总金额30%以上的，可给予联合体2%</w:t>
      </w:r>
      <w:r>
        <w:rPr>
          <w:rFonts w:ascii="宋体" w:hAnsi="宋体"/>
          <w:color w:val="000000"/>
        </w:rPr>
        <w:t xml:space="preserve"> </w:t>
      </w:r>
      <w:r>
        <w:rPr>
          <w:rFonts w:ascii="宋体" w:hAnsi="宋体" w:hint="eastAsia"/>
          <w:color w:val="000000"/>
        </w:rPr>
        <w:t>的价格扣除。联合体各方均为小型、微型企业和监狱企业的，联合体视同为小型、微型企业和监狱企业，均享受评标优惠政策第一款的优惠政策。</w:t>
      </w:r>
    </w:p>
    <w:p w:rsidR="007900F6">
      <w:pPr>
        <w:spacing w:line="360" w:lineRule="auto"/>
        <w:ind w:firstLine="432"/>
        <w:contextualSpacing/>
        <w:rPr>
          <w:rFonts w:ascii="宋体" w:hAnsi="宋体"/>
          <w:color w:val="000000"/>
        </w:rPr>
      </w:pPr>
    </w:p>
    <w:p w:rsidR="007900F6">
      <w:pPr>
        <w:spacing w:line="360" w:lineRule="auto"/>
        <w:contextualSpacing/>
        <w:jc w:val="center"/>
        <w:rPr>
          <w:rFonts w:ascii="宋体" w:hAnsi="宋体"/>
          <w:color w:val="000000"/>
        </w:rPr>
      </w:pPr>
      <w:r>
        <w:rPr>
          <w:rFonts w:ascii="宋体" w:hAnsi="宋体" w:hint="eastAsia"/>
          <w:color w:val="000000"/>
        </w:rPr>
        <w:t>三、本项目中小企业划分标准所属行业</w:t>
      </w:r>
    </w:p>
    <w:p w:rsidR="007900F6">
      <w:pPr>
        <w:adjustRightInd w:val="0"/>
        <w:spacing w:line="360" w:lineRule="auto"/>
        <w:ind w:firstLine="480" w:firstLineChars="200"/>
        <w:contextualSpacing/>
        <w:rPr>
          <w:rFonts w:ascii="宋体" w:hAnsi="宋体"/>
          <w:color w:val="000000"/>
          <w:szCs w:val="21"/>
        </w:rPr>
      </w:pPr>
      <w:r>
        <w:rPr>
          <w:rFonts w:ascii="宋体" w:hAnsi="宋体" w:cs="宋体" w:hint="eastAsia"/>
          <w:color w:val="000000"/>
          <w:kern w:val="0"/>
          <w:szCs w:val="21"/>
        </w:rPr>
        <w:t>本项目对应的中小企业划分标准所属行业为建筑业。</w:t>
      </w:r>
      <w:r>
        <w:rPr>
          <w:rFonts w:ascii="宋体" w:hAnsi="宋体" w:hint="eastAsia"/>
          <w:color w:val="000000"/>
          <w:szCs w:val="21"/>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7900F6">
      <w:pPr>
        <w:widowControl/>
        <w:jc w:val="left"/>
        <w:rPr>
          <w:rFonts w:ascii="宋体" w:hAnsi="宋体"/>
          <w:color w:val="000000"/>
          <w:szCs w:val="21"/>
        </w:rPr>
      </w:pPr>
      <w:r>
        <w:rPr>
          <w:rFonts w:ascii="宋体" w:hAnsi="宋体"/>
          <w:color w:val="000000"/>
          <w:szCs w:val="21"/>
        </w:rPr>
        <w:br w:type="page"/>
      </w:r>
    </w:p>
    <w:p w:rsidR="007900F6">
      <w:pPr>
        <w:adjustRightInd w:val="0"/>
        <w:spacing w:line="360" w:lineRule="auto"/>
        <w:ind w:firstLine="480" w:firstLineChars="200"/>
        <w:contextualSpacing/>
        <w:rPr>
          <w:rFonts w:ascii="宋体" w:hAnsi="宋体" w:cs="宋体"/>
          <w:color w:val="000000"/>
          <w:kern w:val="0"/>
          <w:szCs w:val="21"/>
        </w:rPr>
      </w:pPr>
    </w:p>
    <w:p w:rsidR="007900F6">
      <w:pPr>
        <w:spacing w:line="360" w:lineRule="auto"/>
        <w:ind w:firstLine="480" w:firstLineChars="200"/>
        <w:contextualSpacing/>
        <w:jc w:val="center"/>
        <w:rPr>
          <w:rFonts w:ascii="宋体" w:hAnsi="宋体"/>
          <w:b/>
          <w:color w:val="000000"/>
        </w:rPr>
      </w:pPr>
      <w:r>
        <w:rPr>
          <w:rFonts w:ascii="宋体" w:hAnsi="宋体" w:hint="eastAsia"/>
          <w:b/>
          <w:color w:val="000000"/>
        </w:rPr>
        <w:t>四、中标服务费</w:t>
      </w:r>
    </w:p>
    <w:p w:rsidR="007900F6">
      <w:pPr>
        <w:spacing w:line="360" w:lineRule="auto"/>
        <w:ind w:firstLine="480" w:firstLineChars="200"/>
        <w:contextualSpacing/>
        <w:jc w:val="left"/>
        <w:rPr>
          <w:rFonts w:ascii="宋体" w:hAnsi="宋体"/>
          <w:color w:val="000000"/>
        </w:rPr>
      </w:pPr>
      <w:r>
        <w:rPr>
          <w:rFonts w:ascii="宋体" w:hAnsi="宋体" w:hint="eastAsia"/>
          <w:color w:val="000000"/>
        </w:rPr>
        <w:t>中标人在领取中标通知书前，应以银行转账的方式向采购实施机构（深圳市国信招标有限公司）交纳中标服务费。中标服务费收费标准参照《深圳市财政委员会关于规范深圳市社会采购代理机构管理有关事项的补充通知》（深财购〔2018〕27号）的标准，以中标金额为计算基数，按照差额定率累进法计算。详见下表：</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5"/>
        <w:gridCol w:w="2891"/>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5"/>
          <w:jc w:val="center"/>
        </w:trPr>
        <w:tc>
          <w:tcPr>
            <w:tcW w:w="3275" w:type="dxa"/>
            <w:vAlign w:val="center"/>
          </w:tcPr>
          <w:p w:rsidR="007900F6">
            <w:pPr>
              <w:spacing w:line="360" w:lineRule="auto"/>
              <w:contextualSpacing/>
              <w:jc w:val="center"/>
              <w:rPr>
                <w:rFonts w:ascii="宋体" w:hAnsi="宋体"/>
                <w:color w:val="000000"/>
              </w:rPr>
            </w:pPr>
            <w:r>
              <w:rPr>
                <w:rFonts w:ascii="宋体" w:hAnsi="宋体" w:hint="eastAsia"/>
                <w:color w:val="000000"/>
              </w:rPr>
              <w:t>中标金额（万元）</w:t>
            </w:r>
          </w:p>
        </w:tc>
        <w:tc>
          <w:tcPr>
            <w:tcW w:w="2891" w:type="dxa"/>
            <w:vAlign w:val="center"/>
          </w:tcPr>
          <w:p w:rsidR="007900F6">
            <w:pPr>
              <w:spacing w:line="360" w:lineRule="auto"/>
              <w:contextualSpacing/>
              <w:jc w:val="center"/>
              <w:rPr>
                <w:rFonts w:ascii="宋体" w:hAnsi="宋体"/>
                <w:color w:val="000000"/>
              </w:rPr>
            </w:pPr>
            <w:r>
              <w:rPr>
                <w:rFonts w:ascii="宋体" w:hAnsi="宋体" w:hint="eastAsia"/>
                <w:color w:val="000000"/>
              </w:rPr>
              <w:t>工程类项目收费费率</w:t>
            </w:r>
          </w:p>
        </w:tc>
      </w:tr>
      <w:tr>
        <w:tblPrEx>
          <w:tblW w:w="0" w:type="auto"/>
          <w:jc w:val="center"/>
          <w:tblInd w:w="0" w:type="dxa"/>
          <w:tblLayout w:type="fixed"/>
          <w:tblLook w:val="0000"/>
        </w:tblPrEx>
        <w:trPr>
          <w:trHeight w:val="405"/>
          <w:jc w:val="center"/>
        </w:trPr>
        <w:tc>
          <w:tcPr>
            <w:tcW w:w="3275" w:type="dxa"/>
            <w:vAlign w:val="center"/>
          </w:tcPr>
          <w:p w:rsidR="007900F6">
            <w:pPr>
              <w:spacing w:line="360" w:lineRule="auto"/>
              <w:contextualSpacing/>
              <w:jc w:val="center"/>
              <w:rPr>
                <w:rFonts w:ascii="宋体" w:hAnsi="宋体"/>
                <w:color w:val="000000"/>
              </w:rPr>
            </w:pPr>
            <w:r>
              <w:rPr>
                <w:rFonts w:ascii="宋体" w:hAnsi="宋体" w:hint="eastAsia"/>
                <w:color w:val="000000"/>
              </w:rPr>
              <w:t>100及以下的部分</w:t>
            </w:r>
          </w:p>
        </w:tc>
        <w:tc>
          <w:tcPr>
            <w:tcW w:w="2891" w:type="dxa"/>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1.0%</w:t>
            </w:r>
          </w:p>
        </w:tc>
      </w:tr>
      <w:tr>
        <w:tblPrEx>
          <w:tblW w:w="0" w:type="auto"/>
          <w:jc w:val="center"/>
          <w:tblInd w:w="0" w:type="dxa"/>
          <w:tblLayout w:type="fixed"/>
          <w:tblLook w:val="0000"/>
        </w:tblPrEx>
        <w:trPr>
          <w:trHeight w:val="405"/>
          <w:jc w:val="center"/>
        </w:trPr>
        <w:tc>
          <w:tcPr>
            <w:tcW w:w="3275" w:type="dxa"/>
            <w:vAlign w:val="center"/>
          </w:tcPr>
          <w:p w:rsidR="007900F6">
            <w:pPr>
              <w:spacing w:line="360" w:lineRule="auto"/>
              <w:contextualSpacing/>
              <w:jc w:val="center"/>
              <w:rPr>
                <w:rFonts w:ascii="宋体" w:hAnsi="宋体"/>
                <w:color w:val="000000"/>
              </w:rPr>
            </w:pPr>
            <w:r>
              <w:rPr>
                <w:rFonts w:ascii="宋体" w:hAnsi="宋体" w:hint="eastAsia"/>
                <w:color w:val="000000"/>
              </w:rPr>
              <w:t>100～500的部分（不包含1</w:t>
            </w:r>
            <w:r>
              <w:rPr>
                <w:rFonts w:ascii="宋体" w:hAnsi="宋体"/>
                <w:color w:val="000000"/>
              </w:rPr>
              <w:t>00</w:t>
            </w:r>
            <w:r>
              <w:rPr>
                <w:rFonts w:ascii="宋体" w:hAnsi="宋体" w:hint="eastAsia"/>
                <w:color w:val="000000"/>
              </w:rPr>
              <w:t>）</w:t>
            </w:r>
          </w:p>
        </w:tc>
        <w:tc>
          <w:tcPr>
            <w:tcW w:w="2891" w:type="dxa"/>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0.7%</w:t>
            </w:r>
          </w:p>
        </w:tc>
      </w:tr>
    </w:tbl>
    <w:p w:rsidR="007900F6">
      <w:pPr>
        <w:adjustRightInd w:val="0"/>
        <w:spacing w:line="360" w:lineRule="auto"/>
        <w:ind w:firstLine="480" w:firstLineChars="200"/>
        <w:contextualSpacing/>
        <w:rPr>
          <w:rFonts w:ascii="宋体" w:hAnsi="宋体" w:cs="宋体"/>
          <w:color w:val="000000"/>
          <w:kern w:val="0"/>
          <w:szCs w:val="21"/>
        </w:rPr>
      </w:pPr>
    </w:p>
    <w:p w:rsidR="007900F6">
      <w:pPr>
        <w:adjustRightInd w:val="0"/>
        <w:spacing w:line="360" w:lineRule="auto"/>
        <w:ind w:firstLine="480" w:firstLineChars="200"/>
        <w:contextualSpacing/>
        <w:rPr>
          <w:rFonts w:ascii="宋体" w:hAnsi="宋体" w:cs="宋体"/>
          <w:color w:val="000000"/>
          <w:kern w:val="0"/>
          <w:szCs w:val="21"/>
        </w:rPr>
      </w:pPr>
    </w:p>
    <w:p w:rsidR="007900F6">
      <w:pPr>
        <w:adjustRightInd w:val="0"/>
        <w:spacing w:line="360" w:lineRule="auto"/>
        <w:ind w:firstLine="480" w:firstLineChars="200"/>
        <w:contextualSpacing/>
        <w:rPr>
          <w:rFonts w:ascii="宋体" w:hAnsi="宋体" w:cs="宋体"/>
          <w:color w:val="000000"/>
          <w:kern w:val="0"/>
          <w:szCs w:val="21"/>
        </w:rPr>
      </w:pPr>
    </w:p>
    <w:p w:rsidR="007900F6">
      <w:pPr>
        <w:spacing w:line="360" w:lineRule="auto"/>
        <w:contextualSpacing/>
        <w:jc w:val="center"/>
        <w:rPr>
          <w:rFonts w:ascii="宋体" w:hAnsi="宋体"/>
          <w:b/>
          <w:color w:val="000000"/>
        </w:rPr>
      </w:pPr>
      <w:r>
        <w:rPr>
          <w:rFonts w:ascii="宋体" w:hAnsi="宋体" w:hint="eastAsia"/>
          <w:b/>
          <w:color w:val="000000"/>
        </w:rPr>
        <w:t>五、其他说明</w:t>
      </w:r>
    </w:p>
    <w:p w:rsidR="007900F6">
      <w:pPr>
        <w:spacing w:line="360" w:lineRule="auto"/>
        <w:ind w:firstLine="480" w:firstLineChars="200"/>
        <w:contextualSpacing/>
        <w:rPr>
          <w:rFonts w:ascii="宋体" w:hAnsi="宋体"/>
          <w:color w:val="000000"/>
        </w:rPr>
      </w:pPr>
      <w:r>
        <w:rPr>
          <w:rFonts w:ascii="宋体" w:hAnsi="宋体" w:hint="eastAsia"/>
          <w:color w:val="000000"/>
        </w:rPr>
        <w:t>1.根据《深圳市财政局 深圳市政府采购中心关于印发&lt;深圳市政府采购落实支持企业复工复产政策的实施细则&gt;的通知》（深府购〔</w:t>
      </w:r>
      <w:r>
        <w:rPr>
          <w:rFonts w:ascii="宋体" w:hAnsi="宋体"/>
          <w:color w:val="000000"/>
        </w:rPr>
        <w:t>20</w:t>
      </w:r>
      <w:r>
        <w:rPr>
          <w:rFonts w:ascii="宋体" w:hAnsi="宋体" w:hint="eastAsia"/>
          <w:color w:val="000000"/>
        </w:rPr>
        <w:t>20〕24号）的规定，</w:t>
      </w:r>
      <w:r>
        <w:rPr>
          <w:rFonts w:ascii="宋体" w:hAnsi="宋体" w:hint="eastAsia"/>
          <w:b/>
          <w:color w:val="000000"/>
        </w:rPr>
        <w:t>1.</w:t>
      </w:r>
      <w:r>
        <w:rPr>
          <w:rFonts w:ascii="宋体" w:hAnsi="宋体" w:hint="eastAsia"/>
          <w:color w:val="000000"/>
        </w:rPr>
        <w:t>取消社保证明。对于评审时需考察人员情况的政府采购项目，投标人无需提供人员社保证明。该标准执行至2020年12月31日；2.顺延既有认证证书有效期。对于评审时需考察投标人资质、认证等情况的政府采购项目，投标人提供的证书已到期的（到期时间为2020年1月1日至2020年6月30日），视同在有效期范围内；3.鼓励采购人积极运用公共信用信息，明确对信用记录良好的投标人（特别是中小微企业）免收履约保证金，确需收取履约保证金的，列明通过保函等非现金方式收取；4.在采购合同中明确对上述企业加大首付款或预付款比例，具体由采购人根据项目实际情况确定。</w:t>
      </w:r>
    </w:p>
    <w:p w:rsidR="007900F6">
      <w:pPr>
        <w:pStyle w:val="CommentText"/>
        <w:spacing w:line="360" w:lineRule="auto"/>
        <w:ind w:firstLine="480" w:firstLineChars="200"/>
        <w:contextualSpacing/>
        <w:rPr>
          <w:rFonts w:hAnsi="宋体"/>
          <w:color w:val="000000"/>
          <w:kern w:val="2"/>
          <w:sz w:val="21"/>
          <w:szCs w:val="24"/>
        </w:rPr>
      </w:pPr>
      <w:r>
        <w:rPr>
          <w:rFonts w:hAnsi="宋体" w:hint="eastAsia"/>
          <w:color w:val="000000"/>
          <w:kern w:val="2"/>
          <w:sz w:val="21"/>
          <w:szCs w:val="24"/>
        </w:rPr>
        <w:t>2.采购人拟采购的服务（工程）中，如涉及《关于调整优化节能产品环境标志产品政府采购执行机制的通知》（财库〔2019〕9号）中的产品，要依据该通知要求执行。</w:t>
      </w:r>
    </w:p>
    <w:p w:rsidR="007900F6">
      <w:pPr>
        <w:widowControl/>
        <w:spacing w:line="360" w:lineRule="auto"/>
        <w:contextualSpacing/>
        <w:jc w:val="left"/>
        <w:rPr>
          <w:rFonts w:ascii="宋体" w:eastAsia="黑体" w:hAnsi="宋体"/>
          <w:b/>
          <w:bCs/>
          <w:color w:val="000000"/>
          <w:kern w:val="44"/>
          <w:sz w:val="28"/>
          <w:szCs w:val="44"/>
        </w:rPr>
      </w:pPr>
      <w:r>
        <w:rPr>
          <w:rFonts w:eastAsia="黑体" w:hAnsi="宋体"/>
          <w:b/>
          <w:bCs/>
          <w:color w:val="000000"/>
          <w:kern w:val="44"/>
          <w:sz w:val="28"/>
          <w:szCs w:val="44"/>
        </w:rPr>
        <w:br w:type="page"/>
      </w:r>
    </w:p>
    <w:p w:rsidR="007900F6">
      <w:pPr>
        <w:pStyle w:val="Heading1"/>
        <w:spacing w:before="0" w:after="0"/>
        <w:contextualSpacing/>
        <w:rPr>
          <w:color w:val="000000"/>
        </w:rPr>
      </w:pPr>
      <w:r>
        <w:rPr>
          <w:rFonts w:hint="eastAsia"/>
          <w:color w:val="000000"/>
        </w:rPr>
        <w:t>目   录</w:t>
      </w:r>
    </w:p>
    <w:p w:rsidR="007900F6">
      <w:pPr>
        <w:spacing w:line="360" w:lineRule="auto"/>
        <w:contextualSpacing/>
        <w:rPr>
          <w:b/>
          <w:color w:val="000000"/>
          <w:sz w:val="24"/>
        </w:rPr>
      </w:pPr>
      <w:r>
        <w:rPr>
          <w:rFonts w:hint="eastAsia"/>
          <w:b/>
          <w:color w:val="000000"/>
          <w:sz w:val="24"/>
        </w:rPr>
        <w:t>第一册  专用条款</w:t>
      </w:r>
    </w:p>
    <w:p w:rsidR="007900F6">
      <w:pPr>
        <w:spacing w:line="360" w:lineRule="auto"/>
        <w:contextualSpacing/>
        <w:rPr>
          <w:color w:val="000000"/>
          <w:sz w:val="24"/>
        </w:rPr>
      </w:pPr>
      <w:r>
        <w:rPr>
          <w:rFonts w:hint="eastAsia"/>
          <w:color w:val="000000"/>
          <w:sz w:val="24"/>
        </w:rPr>
        <w:t xml:space="preserve">          关键信息</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第一章  招标公告</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第二章  招标项目需求</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第三章  投标文件格式、附件</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第四章  政府采购合同的签订、履行及验收</w:t>
      </w:r>
    </w:p>
    <w:p w:rsidR="007900F6">
      <w:pPr>
        <w:spacing w:line="360" w:lineRule="auto"/>
        <w:contextualSpacing/>
        <w:rPr>
          <w:b/>
          <w:color w:val="000000"/>
          <w:sz w:val="24"/>
        </w:rPr>
      </w:pPr>
    </w:p>
    <w:p w:rsidR="007900F6">
      <w:pPr>
        <w:spacing w:line="360" w:lineRule="auto"/>
        <w:contextualSpacing/>
        <w:rPr>
          <w:b/>
          <w:color w:val="000000"/>
          <w:sz w:val="24"/>
        </w:rPr>
      </w:pPr>
      <w:r>
        <w:rPr>
          <w:rFonts w:hint="eastAsia"/>
          <w:b/>
          <w:color w:val="000000"/>
          <w:sz w:val="24"/>
        </w:rPr>
        <w:t>第二册  通用条款</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第一章</w:t>
      </w:r>
      <w:r>
        <w:rPr>
          <w:rFonts w:ascii="宋体" w:hAnsi="宋体"/>
          <w:color w:val="000000"/>
          <w:szCs w:val="21"/>
        </w:rPr>
        <w:t xml:space="preserve"> </w:t>
      </w:r>
      <w:r>
        <w:rPr>
          <w:rFonts w:ascii="宋体" w:hAnsi="宋体" w:hint="eastAsia"/>
          <w:color w:val="000000"/>
          <w:szCs w:val="21"/>
        </w:rPr>
        <w:t xml:space="preserve"> 总则</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第二章</w:t>
      </w:r>
      <w:r>
        <w:rPr>
          <w:rFonts w:ascii="宋体" w:hAnsi="宋体"/>
          <w:color w:val="000000"/>
          <w:szCs w:val="21"/>
        </w:rPr>
        <w:t xml:space="preserve"> </w:t>
      </w:r>
      <w:r>
        <w:rPr>
          <w:rFonts w:ascii="宋体" w:hAnsi="宋体" w:hint="eastAsia"/>
          <w:color w:val="000000"/>
          <w:szCs w:val="21"/>
        </w:rPr>
        <w:t xml:space="preserve"> 招标文件</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第三章</w:t>
      </w:r>
      <w:r>
        <w:rPr>
          <w:rFonts w:ascii="宋体" w:hAnsi="宋体"/>
          <w:color w:val="000000"/>
          <w:szCs w:val="21"/>
        </w:rPr>
        <w:t xml:space="preserve"> </w:t>
      </w:r>
      <w:r>
        <w:rPr>
          <w:rFonts w:ascii="宋体" w:hAnsi="宋体" w:hint="eastAsia"/>
          <w:color w:val="000000"/>
          <w:szCs w:val="21"/>
        </w:rPr>
        <w:t xml:space="preserve"> 投标文件的编制</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 xml:space="preserve">第四章 </w:t>
      </w:r>
      <w:r>
        <w:rPr>
          <w:rFonts w:ascii="宋体" w:hAnsi="宋体"/>
          <w:color w:val="000000"/>
          <w:szCs w:val="21"/>
        </w:rPr>
        <w:t xml:space="preserve"> </w:t>
      </w:r>
      <w:r>
        <w:rPr>
          <w:rFonts w:ascii="宋体" w:hAnsi="宋体" w:hint="eastAsia"/>
          <w:color w:val="000000"/>
          <w:szCs w:val="21"/>
        </w:rPr>
        <w:t>投标文件的递交</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第五章</w:t>
      </w:r>
      <w:r>
        <w:rPr>
          <w:rFonts w:ascii="宋体" w:hAnsi="宋体"/>
          <w:color w:val="000000"/>
          <w:szCs w:val="21"/>
        </w:rPr>
        <w:t xml:space="preserve"> </w:t>
      </w:r>
      <w:r>
        <w:rPr>
          <w:rFonts w:ascii="宋体" w:hAnsi="宋体" w:hint="eastAsia"/>
          <w:color w:val="000000"/>
          <w:szCs w:val="21"/>
        </w:rPr>
        <w:t xml:space="preserve"> 开标</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 xml:space="preserve">第六章 </w:t>
      </w:r>
      <w:r>
        <w:rPr>
          <w:rFonts w:ascii="宋体" w:hAnsi="宋体"/>
          <w:color w:val="000000"/>
          <w:szCs w:val="21"/>
        </w:rPr>
        <w:t xml:space="preserve"> </w:t>
      </w:r>
      <w:r>
        <w:rPr>
          <w:rFonts w:ascii="宋体" w:hAnsi="宋体" w:hint="eastAsia"/>
          <w:color w:val="000000"/>
          <w:szCs w:val="21"/>
        </w:rPr>
        <w:t>评标要求</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 xml:space="preserve">第七章 </w:t>
      </w:r>
      <w:r>
        <w:rPr>
          <w:rFonts w:ascii="宋体" w:hAnsi="宋体"/>
          <w:color w:val="000000"/>
          <w:szCs w:val="21"/>
        </w:rPr>
        <w:t xml:space="preserve"> </w:t>
      </w:r>
      <w:r>
        <w:rPr>
          <w:rFonts w:ascii="宋体" w:hAnsi="宋体" w:hint="eastAsia"/>
          <w:color w:val="000000"/>
          <w:szCs w:val="21"/>
        </w:rPr>
        <w:t>评标程序及评标方法</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 xml:space="preserve">第八章 </w:t>
      </w:r>
      <w:r>
        <w:rPr>
          <w:rFonts w:ascii="宋体" w:hAnsi="宋体"/>
          <w:color w:val="000000"/>
          <w:szCs w:val="21"/>
        </w:rPr>
        <w:t xml:space="preserve"> </w:t>
      </w:r>
      <w:r>
        <w:rPr>
          <w:rFonts w:ascii="宋体" w:hAnsi="宋体" w:hint="eastAsia"/>
          <w:color w:val="000000"/>
          <w:szCs w:val="21"/>
        </w:rPr>
        <w:t>定标及公示</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 xml:space="preserve">第九章 </w:t>
      </w:r>
      <w:r>
        <w:rPr>
          <w:rFonts w:ascii="宋体" w:hAnsi="宋体"/>
          <w:color w:val="000000"/>
          <w:szCs w:val="21"/>
        </w:rPr>
        <w:t xml:space="preserve"> </w:t>
      </w:r>
      <w:r>
        <w:rPr>
          <w:rFonts w:ascii="宋体" w:hAnsi="宋体" w:hint="eastAsia"/>
          <w:color w:val="000000"/>
          <w:szCs w:val="21"/>
        </w:rPr>
        <w:t>公开招标失败的后续处理</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 xml:space="preserve">第十章 </w:t>
      </w:r>
      <w:r>
        <w:rPr>
          <w:rFonts w:ascii="宋体" w:hAnsi="宋体"/>
          <w:color w:val="000000"/>
          <w:szCs w:val="21"/>
        </w:rPr>
        <w:t xml:space="preserve"> </w:t>
      </w:r>
      <w:r>
        <w:rPr>
          <w:rFonts w:ascii="宋体" w:hAnsi="宋体" w:hint="eastAsia"/>
          <w:color w:val="000000"/>
          <w:szCs w:val="21"/>
        </w:rPr>
        <w:t>合同的授予与备案</w:t>
      </w:r>
    </w:p>
    <w:p w:rsidR="007900F6">
      <w:pPr>
        <w:spacing w:line="360" w:lineRule="auto"/>
        <w:ind w:left="720" w:firstLine="720" w:leftChars="300" w:firstLineChars="300"/>
        <w:contextualSpacing/>
        <w:rPr>
          <w:rFonts w:ascii="宋体" w:hAnsi="宋体"/>
          <w:color w:val="000000"/>
          <w:szCs w:val="21"/>
        </w:rPr>
      </w:pPr>
      <w:r>
        <w:rPr>
          <w:rFonts w:ascii="宋体" w:hAnsi="宋体" w:hint="eastAsia"/>
          <w:color w:val="000000"/>
          <w:szCs w:val="21"/>
        </w:rPr>
        <w:t>第十一章</w:t>
      </w:r>
      <w:r>
        <w:rPr>
          <w:rFonts w:ascii="宋体" w:hAnsi="宋体"/>
          <w:color w:val="000000"/>
          <w:szCs w:val="21"/>
        </w:rPr>
        <w:t xml:space="preserve"> </w:t>
      </w:r>
      <w:r>
        <w:rPr>
          <w:rFonts w:ascii="宋体" w:hAnsi="宋体" w:hint="eastAsia"/>
          <w:color w:val="000000"/>
          <w:szCs w:val="21"/>
        </w:rPr>
        <w:t xml:space="preserve"> 质疑处理</w:t>
      </w:r>
    </w:p>
    <w:p w:rsidR="007900F6">
      <w:pPr>
        <w:widowControl/>
        <w:spacing w:line="360" w:lineRule="auto"/>
        <w:contextualSpacing/>
        <w:jc w:val="left"/>
        <w:rPr>
          <w:rFonts w:ascii="宋体" w:hAnsi="宋体"/>
          <w:color w:val="000000"/>
          <w:szCs w:val="21"/>
        </w:rPr>
      </w:pPr>
    </w:p>
    <w:p w:rsidR="007900F6">
      <w:pPr>
        <w:spacing w:line="360" w:lineRule="auto"/>
        <w:contextualSpacing/>
        <w:rPr>
          <w:b/>
          <w:color w:val="000000"/>
        </w:rPr>
      </w:pPr>
      <w:r>
        <w:rPr>
          <w:rFonts w:hint="eastAsia"/>
          <w:b/>
          <w:color w:val="000000"/>
        </w:rPr>
        <w:t>备注：</w:t>
      </w:r>
    </w:p>
    <w:p w:rsidR="007900F6">
      <w:pPr>
        <w:spacing w:line="360" w:lineRule="auto"/>
        <w:ind w:firstLine="480" w:firstLineChars="200"/>
        <w:contextualSpacing/>
        <w:rPr>
          <w:b/>
          <w:color w:val="000000"/>
        </w:rPr>
      </w:pPr>
      <w:r>
        <w:rPr>
          <w:rFonts w:ascii="宋体" w:hAnsi="宋体" w:hint="eastAsia"/>
          <w:color w:val="000000"/>
          <w:szCs w:val="21"/>
        </w:rPr>
        <w:t>1.本招标文件分为第一册“专用条款”和第二册“通用条款”。</w:t>
      </w:r>
    </w:p>
    <w:p w:rsidR="007900F6">
      <w:pPr>
        <w:spacing w:line="360" w:lineRule="auto"/>
        <w:ind w:firstLine="480" w:firstLineChars="200"/>
        <w:contextualSpacing/>
        <w:jc w:val="left"/>
        <w:rPr>
          <w:rFonts w:ascii="宋体" w:hAnsi="宋体"/>
          <w:color w:val="000000"/>
          <w:szCs w:val="21"/>
        </w:rPr>
      </w:pPr>
      <w:r>
        <w:rPr>
          <w:rFonts w:ascii="宋体" w:hAnsi="宋体" w:hint="eastAsia"/>
          <w:color w:val="000000"/>
          <w:szCs w:val="21"/>
        </w:rPr>
        <w:t>2.“专用条款”是对本次采购项目的具体要求，包含招标公告、招标项目需求、投标文件格式、合同条款及格式、附件等内容。</w:t>
      </w:r>
    </w:p>
    <w:p w:rsidR="007900F6">
      <w:pPr>
        <w:spacing w:line="360" w:lineRule="auto"/>
        <w:ind w:firstLine="480" w:firstLineChars="200"/>
        <w:contextualSpacing/>
        <w:jc w:val="left"/>
        <w:rPr>
          <w:rFonts w:ascii="宋体" w:hAnsi="宋体"/>
          <w:color w:val="000000"/>
          <w:szCs w:val="21"/>
        </w:rPr>
      </w:pPr>
      <w:r>
        <w:rPr>
          <w:rFonts w:ascii="宋体" w:hAnsi="宋体" w:hint="eastAsia"/>
          <w:color w:val="000000"/>
          <w:szCs w:val="21"/>
        </w:rPr>
        <w:t>3.“通用条款”是通用于政府采购项目的基础性条款，具有普遍性和通用性。</w:t>
      </w:r>
    </w:p>
    <w:p w:rsidR="007900F6">
      <w:pPr>
        <w:spacing w:line="360" w:lineRule="auto"/>
        <w:ind w:firstLine="480" w:firstLineChars="200"/>
        <w:contextualSpacing/>
        <w:jc w:val="left"/>
        <w:rPr>
          <w:rFonts w:ascii="宋体" w:hAnsi="宋体"/>
          <w:color w:val="000000"/>
          <w:szCs w:val="21"/>
        </w:rPr>
      </w:pPr>
      <w:r>
        <w:rPr>
          <w:rFonts w:ascii="宋体" w:hAnsi="宋体" w:hint="eastAsia"/>
          <w:color w:val="000000"/>
          <w:szCs w:val="21"/>
        </w:rPr>
        <w:t>4.当出现“专用条款”和“通用条款”表述不一致或有冲突时，以“专用条款”为准。</w:t>
      </w:r>
    </w:p>
    <w:p w:rsidR="007900F6">
      <w:pPr>
        <w:widowControl/>
        <w:spacing w:line="360" w:lineRule="auto"/>
        <w:contextualSpacing/>
        <w:jc w:val="left"/>
        <w:rPr>
          <w:rFonts w:ascii="宋体" w:hAnsi="宋体"/>
          <w:color w:val="000000"/>
          <w:szCs w:val="21"/>
        </w:rPr>
      </w:pPr>
      <w:r>
        <w:rPr>
          <w:rFonts w:ascii="宋体" w:hAnsi="宋体"/>
          <w:color w:val="000000"/>
          <w:szCs w:val="21"/>
        </w:rPr>
        <w:br w:type="page"/>
      </w:r>
    </w:p>
    <w:p w:rsidR="007900F6">
      <w:pPr>
        <w:pStyle w:val="Heading1"/>
        <w:spacing w:before="0" w:after="0"/>
        <w:contextualSpacing/>
        <w:rPr>
          <w:color w:val="000000"/>
          <w:sz w:val="24"/>
        </w:rPr>
      </w:pPr>
      <w:r>
        <w:rPr>
          <w:rFonts w:hint="eastAsia"/>
          <w:color w:val="000000"/>
        </w:rPr>
        <w:t>第一册  专用条款</w:t>
      </w:r>
    </w:p>
    <w:p w:rsidR="007900F6">
      <w:pPr>
        <w:pStyle w:val="Heading2"/>
        <w:spacing w:before="0" w:after="0" w:line="360" w:lineRule="auto"/>
        <w:contextualSpacing/>
        <w:rPr>
          <w:color w:val="000000"/>
        </w:rPr>
      </w:pPr>
      <w:r>
        <w:rPr>
          <w:rFonts w:hint="eastAsia"/>
          <w:color w:val="000000"/>
        </w:rPr>
        <w:t>第一章  招标公告</w:t>
      </w:r>
    </w:p>
    <w:p w:rsidR="007900F6">
      <w:pPr>
        <w:pBdr>
          <w:top w:val="single" w:sz="4" w:space="1" w:color="auto"/>
          <w:left w:val="single" w:sz="4" w:space="4" w:color="auto"/>
          <w:bottom w:val="single" w:sz="4" w:space="1" w:color="auto"/>
          <w:right w:val="single" w:sz="4" w:space="4" w:color="auto"/>
        </w:pBdr>
        <w:spacing w:line="360" w:lineRule="auto"/>
        <w:contextualSpacing/>
        <w:rPr>
          <w:rFonts w:ascii="宋体" w:hAnsi="宋体"/>
          <w:b/>
          <w:color w:val="000000"/>
          <w:szCs w:val="21"/>
          <w:u w:val="single"/>
        </w:rPr>
      </w:pPr>
      <w:r>
        <w:rPr>
          <w:rFonts w:ascii="宋体" w:hAnsi="宋体" w:hint="eastAsia"/>
          <w:b/>
          <w:color w:val="000000"/>
          <w:szCs w:val="21"/>
        </w:rPr>
        <w:t>项目概况：</w:t>
      </w:r>
    </w:p>
    <w:p w:rsidR="007900F6">
      <w:pPr>
        <w:pBdr>
          <w:top w:val="single" w:sz="4" w:space="1" w:color="auto"/>
          <w:left w:val="single" w:sz="4" w:space="4" w:color="auto"/>
          <w:bottom w:val="single" w:sz="4" w:space="1" w:color="auto"/>
          <w:right w:val="single" w:sz="4" w:space="4" w:color="auto"/>
        </w:pBdr>
        <w:spacing w:line="360" w:lineRule="auto"/>
        <w:ind w:firstLine="480" w:firstLineChars="200"/>
        <w:contextualSpacing/>
        <w:rPr>
          <w:rFonts w:ascii="宋体" w:hAnsi="宋体"/>
          <w:color w:val="000000"/>
          <w:szCs w:val="21"/>
        </w:rPr>
      </w:pPr>
      <w:r>
        <w:rPr>
          <w:rFonts w:ascii="宋体" w:hAnsi="宋体" w:hint="eastAsia"/>
          <w:color w:val="000000"/>
          <w:szCs w:val="21"/>
        </w:rPr>
        <w:t>生物标志物分析平台改造项目招标项目的潜在投标人应在深圳政府采购网站（</w:t>
      </w:r>
      <w:r w:rsidRPr="00832189">
        <w:rPr>
          <w:rFonts w:ascii="宋体" w:hAnsi="宋体"/>
          <w:szCs w:val="21"/>
        </w:rPr>
        <w:t>http://</w:t>
      </w:r>
      <w:r w:rsidRPr="00832189">
        <w:rPr>
          <w:rFonts w:ascii="宋体" w:hAnsi="宋体" w:hint="eastAsia"/>
          <w:szCs w:val="21"/>
        </w:rPr>
        <w:t>cgzx.sz.gov.cn）获取招标文件，并于</w:t>
      </w:r>
      <w:r w:rsidRPr="00832189">
        <w:rPr>
          <w:rFonts w:ascii="宋体" w:hAnsi="宋体"/>
          <w:szCs w:val="21"/>
        </w:rPr>
        <w:t>2022</w:t>
      </w:r>
      <w:r w:rsidRPr="00832189">
        <w:rPr>
          <w:rFonts w:ascii="宋体" w:hAnsi="宋体" w:hint="eastAsia"/>
          <w:szCs w:val="21"/>
        </w:rPr>
        <w:t>年</w:t>
      </w:r>
      <w:r w:rsidRPr="00832189">
        <w:rPr>
          <w:rFonts w:ascii="宋体" w:hAnsi="宋体"/>
          <w:szCs w:val="21"/>
        </w:rPr>
        <w:t>07</w:t>
      </w:r>
      <w:r w:rsidRPr="00832189">
        <w:rPr>
          <w:rFonts w:ascii="宋体" w:hAnsi="宋体" w:hint="eastAsia"/>
          <w:szCs w:val="21"/>
        </w:rPr>
        <w:t>月</w:t>
      </w:r>
      <w:r w:rsidRPr="00832189">
        <w:rPr>
          <w:rFonts w:ascii="宋体" w:hAnsi="宋体"/>
          <w:szCs w:val="21"/>
        </w:rPr>
        <w:t>04</w:t>
      </w:r>
      <w:r w:rsidRPr="00832189">
        <w:rPr>
          <w:rFonts w:ascii="宋体" w:hAnsi="宋体" w:hint="eastAsia"/>
          <w:szCs w:val="21"/>
        </w:rPr>
        <w:t>日14:30</w:t>
      </w:r>
      <w:r>
        <w:rPr>
          <w:rFonts w:ascii="宋体" w:hAnsi="宋体" w:hint="eastAsia"/>
          <w:bCs/>
          <w:color w:val="000000"/>
          <w:szCs w:val="21"/>
        </w:rPr>
        <w:t>（北京时间）前递交投标</w:t>
      </w:r>
      <w:r>
        <w:rPr>
          <w:rFonts w:ascii="宋体" w:hAnsi="宋体"/>
          <w:bCs/>
          <w:color w:val="000000"/>
          <w:szCs w:val="21"/>
        </w:rPr>
        <w:t>文件</w:t>
      </w:r>
      <w:r>
        <w:rPr>
          <w:rFonts w:ascii="宋体" w:hAnsi="宋体" w:hint="eastAsia"/>
          <w:color w:val="000000"/>
          <w:szCs w:val="21"/>
        </w:rPr>
        <w:t>。</w:t>
      </w:r>
    </w:p>
    <w:p w:rsidR="007900F6">
      <w:pPr>
        <w:rPr>
          <w:rFonts w:ascii="宋体" w:hAnsi="宋体" w:cs="宋体"/>
          <w:color w:val="000000"/>
          <w:szCs w:val="21"/>
        </w:rPr>
      </w:pPr>
    </w:p>
    <w:p w:rsidR="007900F6">
      <w:pPr>
        <w:pStyle w:val="Heading2"/>
        <w:keepNext w:val="0"/>
        <w:keepLines w:val="0"/>
        <w:spacing w:before="0" w:after="0" w:line="360" w:lineRule="auto"/>
        <w:contextualSpacing/>
        <w:jc w:val="left"/>
        <w:rPr>
          <w:rFonts w:cs="宋体"/>
          <w:color w:val="000000"/>
          <w:sz w:val="21"/>
          <w:szCs w:val="21"/>
        </w:rPr>
      </w:pPr>
      <w:r>
        <w:rPr>
          <w:rFonts w:cs="宋体" w:hint="eastAsia"/>
          <w:color w:val="000000"/>
          <w:sz w:val="21"/>
          <w:szCs w:val="21"/>
        </w:rPr>
        <w:t>一、项目基本情况</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1、项目编号：</w:t>
      </w:r>
      <w:r>
        <w:rPr>
          <w:rFonts w:ascii="宋体" w:hAnsi="宋体"/>
          <w:color w:val="000000"/>
          <w:szCs w:val="21"/>
        </w:rPr>
        <w:t>SZDL2022001299</w:t>
      </w:r>
    </w:p>
    <w:p w:rsidR="007900F6">
      <w:pPr>
        <w:spacing w:line="360" w:lineRule="auto"/>
        <w:ind w:left="850" w:hanging="372" w:leftChars="199" w:hangingChars="155"/>
        <w:contextualSpacing/>
        <w:rPr>
          <w:rFonts w:ascii="宋体" w:hAnsi="宋体"/>
          <w:color w:val="000000"/>
          <w:szCs w:val="21"/>
        </w:rPr>
      </w:pPr>
      <w:r>
        <w:rPr>
          <w:rFonts w:ascii="宋体" w:hAnsi="宋体"/>
          <w:color w:val="000000"/>
          <w:szCs w:val="21"/>
        </w:rPr>
        <w:t>2</w:t>
      </w:r>
      <w:r>
        <w:rPr>
          <w:rFonts w:ascii="宋体" w:hAnsi="宋体" w:hint="eastAsia"/>
          <w:color w:val="000000"/>
          <w:szCs w:val="21"/>
        </w:rPr>
        <w:t>、项目名称：生物标志物分析平台改造项目</w:t>
      </w:r>
    </w:p>
    <w:p w:rsidR="007900F6">
      <w:pPr>
        <w:spacing w:line="360" w:lineRule="auto"/>
        <w:ind w:left="850" w:hanging="372" w:leftChars="199" w:hangingChars="155"/>
        <w:contextualSpacing/>
        <w:rPr>
          <w:rFonts w:ascii="宋体" w:hAnsi="宋体"/>
          <w:szCs w:val="21"/>
        </w:rPr>
      </w:pPr>
      <w:r>
        <w:rPr>
          <w:rFonts w:ascii="宋体" w:hAnsi="宋体" w:hint="eastAsia"/>
          <w:color w:val="000000"/>
          <w:szCs w:val="21"/>
        </w:rPr>
        <w:t>3、预算金额：</w:t>
      </w:r>
      <w:r>
        <w:rPr>
          <w:rFonts w:ascii="宋体" w:hAnsi="宋体" w:hint="eastAsia"/>
          <w:szCs w:val="21"/>
        </w:rPr>
        <w:t>2</w:t>
      </w:r>
      <w:r>
        <w:rPr>
          <w:rFonts w:ascii="宋体" w:hAnsi="宋体"/>
          <w:szCs w:val="21"/>
        </w:rPr>
        <w:t>,</w:t>
      </w:r>
      <w:r>
        <w:rPr>
          <w:rFonts w:ascii="宋体" w:hAnsi="宋体" w:hint="eastAsia"/>
          <w:szCs w:val="21"/>
        </w:rPr>
        <w:t>300</w:t>
      </w:r>
      <w:r>
        <w:rPr>
          <w:rFonts w:ascii="宋体" w:hAnsi="宋体"/>
          <w:szCs w:val="21"/>
        </w:rPr>
        <w:t>,000.00</w:t>
      </w:r>
      <w:r>
        <w:rPr>
          <w:rFonts w:ascii="宋体" w:hAnsi="宋体" w:hint="eastAsia"/>
          <w:szCs w:val="21"/>
        </w:rPr>
        <w:t>元</w:t>
      </w:r>
    </w:p>
    <w:p w:rsidR="007900F6">
      <w:pPr>
        <w:spacing w:line="360" w:lineRule="auto"/>
        <w:ind w:left="850" w:hanging="372" w:leftChars="199" w:hangingChars="155"/>
        <w:contextualSpacing/>
        <w:rPr>
          <w:rFonts w:ascii="宋体" w:hAnsi="宋体"/>
          <w:szCs w:val="21"/>
        </w:rPr>
      </w:pPr>
      <w:r>
        <w:rPr>
          <w:rFonts w:ascii="宋体" w:hAnsi="宋体"/>
          <w:szCs w:val="21"/>
        </w:rPr>
        <w:t>4</w:t>
      </w:r>
      <w:r>
        <w:rPr>
          <w:rFonts w:ascii="宋体" w:hAnsi="宋体" w:hint="eastAsia"/>
          <w:szCs w:val="21"/>
        </w:rPr>
        <w:t>、最高限价：2</w:t>
      </w:r>
      <w:r>
        <w:rPr>
          <w:rFonts w:ascii="宋体" w:hAnsi="宋体"/>
          <w:szCs w:val="21"/>
        </w:rPr>
        <w:t>,</w:t>
      </w:r>
      <w:r>
        <w:rPr>
          <w:rFonts w:ascii="宋体" w:hAnsi="宋体" w:hint="eastAsia"/>
          <w:szCs w:val="21"/>
        </w:rPr>
        <w:t>300</w:t>
      </w:r>
      <w:r>
        <w:rPr>
          <w:rFonts w:ascii="宋体" w:hAnsi="宋体"/>
          <w:szCs w:val="21"/>
        </w:rPr>
        <w:t>,000.00</w:t>
      </w:r>
      <w:r>
        <w:rPr>
          <w:rFonts w:ascii="宋体" w:hAnsi="宋体" w:hint="eastAsia"/>
          <w:szCs w:val="21"/>
        </w:rPr>
        <w:t>元</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5、采购需求：详见招标文件相关</w:t>
      </w:r>
      <w:r>
        <w:rPr>
          <w:rFonts w:ascii="宋体" w:hAnsi="宋体"/>
          <w:color w:val="000000"/>
          <w:szCs w:val="21"/>
        </w:rPr>
        <w:t>内容</w:t>
      </w:r>
    </w:p>
    <w:p w:rsidR="007900F6">
      <w:pPr>
        <w:spacing w:line="360" w:lineRule="auto"/>
        <w:ind w:left="850" w:hanging="372" w:leftChars="199" w:hangingChars="155"/>
        <w:contextualSpacing/>
        <w:rPr>
          <w:rFonts w:ascii="宋体" w:hAnsi="宋体"/>
          <w:color w:val="000000"/>
          <w:szCs w:val="21"/>
        </w:rPr>
      </w:pPr>
      <w:r>
        <w:rPr>
          <w:rFonts w:ascii="宋体" w:hAnsi="宋体"/>
          <w:color w:val="000000"/>
          <w:szCs w:val="21"/>
        </w:rPr>
        <w:t>6</w:t>
      </w:r>
      <w:r>
        <w:rPr>
          <w:rFonts w:ascii="宋体" w:hAnsi="宋体" w:hint="eastAsia"/>
          <w:color w:val="000000"/>
          <w:szCs w:val="21"/>
        </w:rPr>
        <w:t>、项目工期要求</w:t>
      </w:r>
      <w:r>
        <w:rPr>
          <w:rFonts w:ascii="宋体" w:hAnsi="宋体"/>
          <w:color w:val="000000"/>
          <w:szCs w:val="21"/>
        </w:rPr>
        <w:t>:</w:t>
      </w:r>
      <w:r>
        <w:rPr>
          <w:rFonts w:ascii="宋体" w:hAnsi="宋体" w:hint="eastAsia"/>
          <w:color w:val="000000"/>
          <w:szCs w:val="21"/>
        </w:rPr>
        <w:t>详见招标文件。</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7、本项目是否接受联合体投标：否</w:t>
      </w:r>
    </w:p>
    <w:p w:rsidR="007900F6">
      <w:pPr>
        <w:pStyle w:val="Heading2"/>
        <w:keepNext w:val="0"/>
        <w:keepLines w:val="0"/>
        <w:spacing w:before="0" w:after="0" w:line="360" w:lineRule="auto"/>
        <w:contextualSpacing/>
        <w:jc w:val="left"/>
        <w:rPr>
          <w:rFonts w:cs="宋体"/>
          <w:color w:val="000000"/>
          <w:sz w:val="21"/>
          <w:szCs w:val="21"/>
        </w:rPr>
      </w:pPr>
      <w:r>
        <w:rPr>
          <w:rFonts w:cs="宋体" w:hint="eastAsia"/>
          <w:color w:val="000000"/>
          <w:sz w:val="21"/>
          <w:szCs w:val="21"/>
        </w:rPr>
        <w:t>二、投标人的资格要求</w:t>
      </w:r>
    </w:p>
    <w:p w:rsidR="007900F6">
      <w:pPr>
        <w:spacing w:line="360" w:lineRule="auto"/>
        <w:ind w:left="850" w:hanging="372" w:leftChars="199" w:hangingChars="155"/>
        <w:contextualSpacing/>
        <w:rPr>
          <w:rFonts w:ascii="宋体" w:hAnsi="宋体"/>
          <w:color w:val="000000"/>
          <w:szCs w:val="21"/>
        </w:rPr>
      </w:pPr>
      <w:r>
        <w:rPr>
          <w:rFonts w:ascii="宋体" w:hAnsi="宋体"/>
          <w:color w:val="000000"/>
          <w:szCs w:val="21"/>
        </w:rPr>
        <w:t>1</w:t>
      </w:r>
      <w:r>
        <w:rPr>
          <w:rFonts w:ascii="宋体" w:hAnsi="宋体" w:hint="eastAsia"/>
          <w:color w:val="000000"/>
          <w:szCs w:val="21"/>
        </w:rPr>
        <w:t>、具有独立法人资格或具有独立承担民事责任的能力的其它组织（提供营业执照或事业单位法人证等法人证明扫描件，原件备查）。</w:t>
      </w:r>
    </w:p>
    <w:p w:rsidR="007900F6">
      <w:pPr>
        <w:spacing w:line="360" w:lineRule="auto"/>
        <w:ind w:left="850" w:hanging="372" w:leftChars="199" w:hangingChars="155"/>
        <w:contextualSpacing/>
        <w:rPr>
          <w:rFonts w:ascii="宋体" w:hAnsi="宋体"/>
          <w:color w:val="000000"/>
          <w:szCs w:val="21"/>
        </w:rPr>
      </w:pPr>
      <w:r>
        <w:rPr>
          <w:rFonts w:ascii="宋体" w:hAnsi="宋体"/>
          <w:color w:val="000000"/>
          <w:szCs w:val="21"/>
        </w:rPr>
        <w:t>2</w:t>
      </w:r>
      <w:r>
        <w:rPr>
          <w:rFonts w:ascii="宋体" w:hAnsi="宋体" w:hint="eastAsia"/>
          <w:color w:val="000000"/>
          <w:szCs w:val="21"/>
        </w:rPr>
        <w:t>、本项目不接受投标人选用进口产品参与投标。</w:t>
      </w:r>
    </w:p>
    <w:p w:rsidR="007900F6">
      <w:pPr>
        <w:spacing w:line="360" w:lineRule="auto"/>
        <w:ind w:left="850" w:hanging="372" w:leftChars="199" w:hangingChars="155"/>
        <w:contextualSpacing/>
        <w:rPr>
          <w:rFonts w:ascii="宋体" w:hAnsi="宋体"/>
          <w:color w:val="000000"/>
          <w:szCs w:val="21"/>
        </w:rPr>
      </w:pPr>
      <w:r>
        <w:rPr>
          <w:rFonts w:ascii="宋体" w:hAnsi="宋体"/>
          <w:color w:val="000000"/>
          <w:szCs w:val="21"/>
        </w:rPr>
        <w:t>3</w:t>
      </w:r>
      <w:r>
        <w:rPr>
          <w:rFonts w:ascii="宋体" w:hAnsi="宋体" w:hint="eastAsia"/>
          <w:color w:val="000000"/>
          <w:szCs w:val="21"/>
        </w:rPr>
        <w:t>、参与本项目投标前三年内，在经营活动中没有重大违法记录（由供应商在《政府采购投标及履约承诺函》中作出声明）。</w:t>
      </w:r>
    </w:p>
    <w:p w:rsidR="007900F6">
      <w:pPr>
        <w:spacing w:line="360" w:lineRule="auto"/>
        <w:ind w:left="850" w:hanging="372" w:leftChars="199" w:hangingChars="155"/>
        <w:contextualSpacing/>
        <w:rPr>
          <w:rFonts w:ascii="宋体" w:hAnsi="宋体"/>
          <w:color w:val="000000"/>
          <w:szCs w:val="21"/>
        </w:rPr>
      </w:pPr>
      <w:r>
        <w:rPr>
          <w:rFonts w:ascii="宋体" w:hAnsi="宋体"/>
          <w:color w:val="000000"/>
          <w:szCs w:val="21"/>
        </w:rPr>
        <w:t>4</w:t>
      </w:r>
      <w:r>
        <w:rPr>
          <w:rFonts w:ascii="宋体" w:hAnsi="宋体" w:hint="eastAsia"/>
          <w:color w:val="000000"/>
          <w:szCs w:val="21"/>
        </w:rPr>
        <w:t>、参与本项目政府采购活动时不存在被有关部门禁止参与政府采购活动且在有效期内的情况（由供应商在《政府采购投标及履约承诺函》中作出声明）。</w:t>
      </w:r>
    </w:p>
    <w:p w:rsidR="007900F6">
      <w:pPr>
        <w:spacing w:line="360" w:lineRule="auto"/>
        <w:ind w:left="850" w:hanging="372" w:leftChars="199" w:hangingChars="155"/>
        <w:contextualSpacing/>
        <w:rPr>
          <w:rFonts w:ascii="宋体" w:hAnsi="宋体"/>
          <w:color w:val="000000"/>
          <w:szCs w:val="21"/>
        </w:rPr>
      </w:pPr>
      <w:r>
        <w:rPr>
          <w:rFonts w:ascii="宋体" w:hAnsi="宋体"/>
          <w:color w:val="000000"/>
          <w:szCs w:val="21"/>
        </w:rPr>
        <w:t>5</w:t>
      </w:r>
      <w:r>
        <w:rPr>
          <w:rFonts w:ascii="宋体" w:hAnsi="宋体" w:hint="eastAsia"/>
          <w:color w:val="000000"/>
          <w:szCs w:val="21"/>
        </w:rPr>
        <w:t>、参与本项目的供应商具备《中华人民共和国政府采购法》第二十二条第一款规定的条件（由供应商在《政府采购投标及履约承诺函》中作出声明）。</w:t>
      </w:r>
    </w:p>
    <w:p w:rsidR="007900F6">
      <w:pPr>
        <w:spacing w:line="360" w:lineRule="auto"/>
        <w:ind w:left="850" w:hanging="372" w:leftChars="199" w:hangingChars="155"/>
        <w:contextualSpacing/>
        <w:rPr>
          <w:rFonts w:ascii="宋体" w:hAnsi="宋体"/>
          <w:color w:val="000000"/>
          <w:szCs w:val="21"/>
        </w:rPr>
      </w:pPr>
      <w:r>
        <w:rPr>
          <w:rFonts w:ascii="宋体" w:hAnsi="宋体"/>
          <w:color w:val="000000"/>
          <w:szCs w:val="21"/>
        </w:rPr>
        <w:t>6</w:t>
      </w:r>
      <w:r>
        <w:rPr>
          <w:rFonts w:ascii="宋体" w:hAnsi="宋体" w:hint="eastAsia"/>
          <w:color w:val="000000"/>
          <w:szCs w:val="21"/>
        </w:rPr>
        <w:t>、参与政府采购项目投标的供应商未被列入失信被执行人、重大税收违法案件当事人名单、政府采购严重违法失信行为记录名单（由供应商在《政府采购投标及履约承诺函》中作出声明）。</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注：“信用中国”、“中国政府采购网”以及“深圳市政府采购监管网”为供应商信用信息的查询渠道，相关信息以中标通知书发出前的查询结果为准。</w:t>
      </w:r>
    </w:p>
    <w:p w:rsidR="007900F6">
      <w:pPr>
        <w:spacing w:line="360" w:lineRule="auto"/>
        <w:ind w:left="850" w:hanging="372" w:leftChars="199" w:hangingChars="155"/>
        <w:contextualSpacing/>
        <w:rPr>
          <w:rFonts w:ascii="宋体" w:hAnsi="宋体"/>
          <w:szCs w:val="21"/>
        </w:rPr>
      </w:pPr>
      <w:r>
        <w:rPr>
          <w:rFonts w:ascii="宋体" w:hAnsi="宋体"/>
          <w:szCs w:val="21"/>
        </w:rPr>
        <w:t>7</w:t>
      </w:r>
      <w:r>
        <w:rPr>
          <w:rFonts w:ascii="宋体" w:hAnsi="宋体" w:hint="eastAsia"/>
          <w:szCs w:val="21"/>
        </w:rPr>
        <w:t>、</w:t>
      </w:r>
      <w:r>
        <w:rPr>
          <w:rFonts w:ascii="宋体" w:hAnsi="宋体" w:hint="eastAsia"/>
          <w:szCs w:val="21"/>
          <w:shd w:val="clear" w:color="auto" w:fill="FFFFFF"/>
        </w:rPr>
        <w:t>投标人须具有建筑装修装饰工程专业承包贰级（含贰级）或以上资质和安全生产许可证</w:t>
      </w:r>
      <w:r>
        <w:rPr>
          <w:rFonts w:ascii="宋体" w:hAnsi="宋体" w:hint="eastAsia"/>
          <w:szCs w:val="21"/>
        </w:rPr>
        <w:t>。</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8、本项目不接受联合体投标。</w:t>
      </w:r>
    </w:p>
    <w:p w:rsidR="007900F6">
      <w:pPr>
        <w:pStyle w:val="Heading2"/>
        <w:keepNext w:val="0"/>
        <w:keepLines w:val="0"/>
        <w:spacing w:before="0" w:after="0" w:line="360" w:lineRule="auto"/>
        <w:contextualSpacing/>
        <w:jc w:val="left"/>
        <w:rPr>
          <w:rFonts w:cs="宋体"/>
          <w:color w:val="000000"/>
          <w:sz w:val="21"/>
          <w:szCs w:val="21"/>
        </w:rPr>
      </w:pPr>
      <w:r>
        <w:rPr>
          <w:rFonts w:cs="宋体" w:hint="eastAsia"/>
          <w:color w:val="000000"/>
          <w:sz w:val="21"/>
          <w:szCs w:val="21"/>
        </w:rPr>
        <w:t>三、获取招标文件</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1、时间：</w:t>
      </w:r>
      <w:r w:rsidRPr="00E76C62">
        <w:rPr>
          <w:rFonts w:ascii="宋体" w:hAnsi="宋体"/>
          <w:color w:val="FF0000"/>
          <w:szCs w:val="21"/>
          <w:highlight w:val="yellow"/>
        </w:rPr>
        <w:t>2022</w:t>
      </w:r>
      <w:r w:rsidRPr="00E76C62">
        <w:rPr>
          <w:rFonts w:ascii="宋体" w:hAnsi="宋体" w:hint="eastAsia"/>
          <w:color w:val="FF0000"/>
          <w:szCs w:val="21"/>
          <w:highlight w:val="yellow"/>
        </w:rPr>
        <w:t>年</w:t>
      </w:r>
      <w:r>
        <w:rPr>
          <w:rFonts w:ascii="宋体" w:hAnsi="宋体"/>
          <w:color w:val="FF0000"/>
          <w:szCs w:val="21"/>
          <w:highlight w:val="yellow"/>
        </w:rPr>
        <w:t>06</w:t>
      </w:r>
      <w:r w:rsidRPr="00E76C62">
        <w:rPr>
          <w:rFonts w:ascii="宋体" w:hAnsi="宋体" w:hint="eastAsia"/>
          <w:color w:val="FF0000"/>
          <w:szCs w:val="21"/>
          <w:highlight w:val="yellow"/>
        </w:rPr>
        <w:t>月</w:t>
      </w:r>
      <w:r>
        <w:rPr>
          <w:rFonts w:ascii="宋体" w:hAnsi="宋体"/>
          <w:color w:val="FF0000"/>
          <w:szCs w:val="21"/>
          <w:highlight w:val="yellow"/>
        </w:rPr>
        <w:t>23</w:t>
      </w:r>
      <w:r w:rsidRPr="00E76C62">
        <w:rPr>
          <w:rFonts w:ascii="宋体" w:hAnsi="宋体" w:hint="eastAsia"/>
          <w:color w:val="FF0000"/>
          <w:szCs w:val="21"/>
          <w:highlight w:val="yellow"/>
        </w:rPr>
        <w:t>日至</w:t>
      </w:r>
      <w:r w:rsidRPr="00E76C62">
        <w:rPr>
          <w:rFonts w:ascii="宋体" w:hAnsi="宋体"/>
          <w:color w:val="FF0000"/>
          <w:szCs w:val="21"/>
          <w:highlight w:val="yellow"/>
        </w:rPr>
        <w:t>2022</w:t>
      </w:r>
      <w:r w:rsidRPr="00E76C62">
        <w:rPr>
          <w:rFonts w:ascii="宋体" w:hAnsi="宋体" w:hint="eastAsia"/>
          <w:color w:val="FF0000"/>
          <w:szCs w:val="21"/>
          <w:highlight w:val="yellow"/>
        </w:rPr>
        <w:t>年</w:t>
      </w:r>
      <w:r>
        <w:rPr>
          <w:rFonts w:ascii="宋体" w:hAnsi="宋体"/>
          <w:color w:val="FF0000"/>
          <w:szCs w:val="21"/>
          <w:highlight w:val="yellow"/>
        </w:rPr>
        <w:t>06</w:t>
      </w:r>
      <w:r w:rsidRPr="00E76C62">
        <w:rPr>
          <w:rFonts w:ascii="宋体" w:hAnsi="宋体" w:hint="eastAsia"/>
          <w:color w:val="FF0000"/>
          <w:szCs w:val="21"/>
          <w:highlight w:val="yellow"/>
        </w:rPr>
        <w:t>月</w:t>
      </w:r>
      <w:r>
        <w:rPr>
          <w:rFonts w:ascii="宋体" w:hAnsi="宋体"/>
          <w:color w:val="FF0000"/>
          <w:szCs w:val="21"/>
          <w:highlight w:val="yellow"/>
        </w:rPr>
        <w:t>30</w:t>
      </w:r>
      <w:r w:rsidRPr="00E76C62">
        <w:rPr>
          <w:rFonts w:ascii="宋体" w:hAnsi="宋体" w:hint="eastAsia"/>
          <w:color w:val="FF0000"/>
          <w:szCs w:val="21"/>
          <w:highlight w:val="yellow"/>
        </w:rPr>
        <w:t>日</w:t>
      </w:r>
      <w:r>
        <w:rPr>
          <w:rFonts w:ascii="宋体" w:hAnsi="宋体" w:hint="eastAsia"/>
          <w:color w:val="000000"/>
          <w:szCs w:val="21"/>
        </w:rPr>
        <w:t>18：00每天00：00-24:00时（北京时间，</w:t>
      </w:r>
      <w:r>
        <w:rPr>
          <w:rFonts w:ascii="宋体" w:hAnsi="宋体"/>
          <w:color w:val="000000"/>
          <w:szCs w:val="21"/>
        </w:rPr>
        <w:t>法定节假日</w:t>
      </w:r>
      <w:r>
        <w:rPr>
          <w:rFonts w:ascii="宋体" w:hAnsi="宋体" w:hint="eastAsia"/>
          <w:color w:val="000000"/>
          <w:szCs w:val="21"/>
        </w:rPr>
        <w:t>除外）</w:t>
      </w:r>
    </w:p>
    <w:p w:rsidR="007900F6">
      <w:pPr>
        <w:spacing w:line="360" w:lineRule="auto"/>
        <w:ind w:left="850" w:hanging="372" w:leftChars="199" w:hangingChars="155"/>
        <w:contextualSpacing/>
        <w:rPr>
          <w:rFonts w:ascii="宋体" w:hAnsi="宋体"/>
          <w:color w:val="000000"/>
          <w:szCs w:val="21"/>
        </w:rPr>
      </w:pPr>
      <w:r>
        <w:rPr>
          <w:rFonts w:ascii="宋体" w:hAnsi="宋体"/>
          <w:color w:val="000000"/>
          <w:szCs w:val="21"/>
        </w:rPr>
        <w:t>2</w:t>
      </w:r>
      <w:r>
        <w:rPr>
          <w:rFonts w:ascii="宋体" w:hAnsi="宋体" w:hint="eastAsia"/>
          <w:color w:val="000000"/>
          <w:szCs w:val="21"/>
        </w:rPr>
        <w:t>、地点：登录深圳政府采购智慧平台（http://zfcg.szggzy.com:8081/）下载本项目的招标文件。</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3、方式：在线</w:t>
      </w:r>
      <w:r>
        <w:rPr>
          <w:rFonts w:ascii="宋体" w:hAnsi="宋体"/>
          <w:color w:val="000000"/>
          <w:szCs w:val="21"/>
        </w:rPr>
        <w:t>下载</w:t>
      </w:r>
    </w:p>
    <w:p w:rsidR="007900F6">
      <w:pPr>
        <w:spacing w:line="360" w:lineRule="auto"/>
        <w:ind w:left="850" w:hanging="372" w:leftChars="199" w:hangingChars="155"/>
        <w:contextualSpacing/>
        <w:rPr>
          <w:rFonts w:ascii="宋体" w:hAnsi="宋体"/>
          <w:szCs w:val="21"/>
        </w:rPr>
      </w:pPr>
      <w:r>
        <w:rPr>
          <w:rFonts w:ascii="宋体" w:hAnsi="宋体" w:hint="eastAsia"/>
          <w:color w:val="000000"/>
          <w:szCs w:val="21"/>
        </w:rPr>
        <w:t>4、售价：</w:t>
      </w:r>
      <w:r>
        <w:rPr>
          <w:rFonts w:ascii="宋体" w:hAnsi="宋体" w:hint="eastAsia"/>
          <w:szCs w:val="21"/>
        </w:rPr>
        <w:t>免费</w:t>
      </w:r>
    </w:p>
    <w:p w:rsidR="007900F6">
      <w:pPr>
        <w:snapToGrid w:val="0"/>
        <w:spacing w:line="360" w:lineRule="auto"/>
        <w:ind w:left="840" w:firstLine="480" w:leftChars="350" w:firstLineChars="200"/>
        <w:rPr>
          <w:rFonts w:ascii="宋体" w:hAnsi="宋体"/>
          <w:szCs w:val="21"/>
        </w:rPr>
      </w:pPr>
      <w:r>
        <w:rPr>
          <w:rFonts w:ascii="宋体" w:hAnsi="宋体" w:hint="eastAsia"/>
          <w:szCs w:val="21"/>
        </w:rPr>
        <w:t>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rsidR="007900F6">
      <w:pPr>
        <w:pStyle w:val="Heading2"/>
        <w:keepNext w:val="0"/>
        <w:keepLines w:val="0"/>
        <w:spacing w:before="0" w:after="0" w:line="360" w:lineRule="auto"/>
        <w:contextualSpacing/>
        <w:jc w:val="left"/>
        <w:rPr>
          <w:rFonts w:cs="宋体"/>
          <w:color w:val="000000"/>
          <w:sz w:val="21"/>
          <w:szCs w:val="21"/>
        </w:rPr>
      </w:pPr>
      <w:r>
        <w:rPr>
          <w:rFonts w:cs="宋体" w:hint="eastAsia"/>
          <w:color w:val="000000"/>
          <w:sz w:val="21"/>
          <w:szCs w:val="21"/>
        </w:rPr>
        <w:t>四、提交投标文件截止时间、开标时间和地点</w:t>
      </w:r>
    </w:p>
    <w:p w:rsidR="007900F6">
      <w:pPr>
        <w:wordWrap w:val="0"/>
        <w:spacing w:line="360" w:lineRule="auto"/>
        <w:ind w:left="850" w:hanging="372" w:leftChars="199" w:hangingChars="155"/>
        <w:contextualSpacing/>
        <w:rPr>
          <w:rFonts w:ascii="宋体" w:hAnsi="宋体"/>
          <w:color w:val="000000"/>
          <w:szCs w:val="21"/>
        </w:rPr>
      </w:pPr>
      <w:r>
        <w:rPr>
          <w:rFonts w:ascii="宋体" w:hAnsi="宋体"/>
          <w:color w:val="000000"/>
          <w:szCs w:val="21"/>
        </w:rPr>
        <w:t>1</w:t>
      </w:r>
      <w:r>
        <w:rPr>
          <w:rFonts w:ascii="宋体" w:hAnsi="宋体" w:hint="eastAsia"/>
          <w:color w:val="000000"/>
          <w:szCs w:val="21"/>
        </w:rPr>
        <w:t>、投标截止时间：所有投标文件应于</w:t>
      </w:r>
      <w:r w:rsidRPr="00F15600">
        <w:rPr>
          <w:rFonts w:ascii="宋体" w:hAnsi="宋体"/>
          <w:color w:val="FF0000"/>
          <w:szCs w:val="21"/>
          <w:highlight w:val="yellow"/>
        </w:rPr>
        <w:t>2022</w:t>
      </w:r>
      <w:r w:rsidRPr="00F15600">
        <w:rPr>
          <w:rFonts w:ascii="宋体" w:hAnsi="宋体" w:hint="eastAsia"/>
          <w:color w:val="FF0000"/>
          <w:szCs w:val="21"/>
          <w:highlight w:val="yellow"/>
        </w:rPr>
        <w:t>年</w:t>
      </w:r>
      <w:r>
        <w:rPr>
          <w:rFonts w:ascii="宋体" w:hAnsi="宋体"/>
          <w:color w:val="FF0000"/>
          <w:szCs w:val="21"/>
          <w:highlight w:val="yellow"/>
        </w:rPr>
        <w:t>07</w:t>
      </w:r>
      <w:r w:rsidRPr="00F15600">
        <w:rPr>
          <w:rFonts w:ascii="宋体" w:hAnsi="宋体" w:hint="eastAsia"/>
          <w:color w:val="FF0000"/>
          <w:szCs w:val="21"/>
          <w:highlight w:val="yellow"/>
        </w:rPr>
        <w:t>月</w:t>
      </w:r>
      <w:r>
        <w:rPr>
          <w:rFonts w:ascii="宋体" w:hAnsi="宋体"/>
          <w:color w:val="FF0000"/>
          <w:szCs w:val="21"/>
          <w:highlight w:val="yellow"/>
        </w:rPr>
        <w:t>04</w:t>
      </w:r>
      <w:r w:rsidRPr="00F15600">
        <w:rPr>
          <w:rFonts w:ascii="宋体" w:hAnsi="宋体" w:hint="eastAsia"/>
          <w:color w:val="FF0000"/>
          <w:szCs w:val="21"/>
          <w:highlight w:val="yellow"/>
        </w:rPr>
        <w:t>日</w:t>
      </w:r>
      <w:r w:rsidRPr="00F15600">
        <w:rPr>
          <w:rFonts w:ascii="宋体" w:hAnsi="宋体"/>
          <w:color w:val="FF0000"/>
          <w:szCs w:val="21"/>
          <w:highlight w:val="yellow"/>
        </w:rPr>
        <w:t>14:00</w:t>
      </w:r>
      <w:r>
        <w:rPr>
          <w:rFonts w:ascii="宋体" w:hAnsi="宋体" w:hint="eastAsia"/>
          <w:color w:val="000000"/>
          <w:szCs w:val="21"/>
        </w:rPr>
        <w:t>（北京时间）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2、</w:t>
      </w:r>
      <w:r>
        <w:rPr>
          <w:rFonts w:ascii="宋体" w:hAnsi="宋体" w:hint="eastAsia"/>
          <w:szCs w:val="21"/>
        </w:rPr>
        <w:t>开标时间和地点：定于</w:t>
      </w:r>
      <w:r w:rsidRPr="00F15600">
        <w:rPr>
          <w:rFonts w:ascii="宋体" w:hAnsi="宋体"/>
          <w:color w:val="FF0000"/>
          <w:szCs w:val="21"/>
          <w:highlight w:val="yellow"/>
        </w:rPr>
        <w:t>2022</w:t>
      </w:r>
      <w:r w:rsidRPr="00F15600">
        <w:rPr>
          <w:rFonts w:ascii="宋体" w:hAnsi="宋体" w:hint="eastAsia"/>
          <w:color w:val="FF0000"/>
          <w:szCs w:val="21"/>
          <w:highlight w:val="yellow"/>
        </w:rPr>
        <w:t>年</w:t>
      </w:r>
      <w:r>
        <w:rPr>
          <w:rFonts w:ascii="宋体" w:hAnsi="宋体"/>
          <w:color w:val="FF0000"/>
          <w:szCs w:val="21"/>
          <w:highlight w:val="yellow"/>
        </w:rPr>
        <w:t>07</w:t>
      </w:r>
      <w:r w:rsidRPr="00F15600">
        <w:rPr>
          <w:rFonts w:ascii="宋体" w:hAnsi="宋体" w:hint="eastAsia"/>
          <w:color w:val="FF0000"/>
          <w:szCs w:val="21"/>
          <w:highlight w:val="yellow"/>
        </w:rPr>
        <w:t>月</w:t>
      </w:r>
      <w:r>
        <w:rPr>
          <w:rFonts w:ascii="宋体" w:hAnsi="宋体"/>
          <w:color w:val="FF0000"/>
          <w:szCs w:val="21"/>
          <w:highlight w:val="yellow"/>
        </w:rPr>
        <w:t>04</w:t>
      </w:r>
      <w:r w:rsidRPr="00F15600">
        <w:rPr>
          <w:rFonts w:ascii="宋体" w:hAnsi="宋体" w:hint="eastAsia"/>
          <w:color w:val="FF0000"/>
          <w:szCs w:val="21"/>
          <w:highlight w:val="yellow"/>
        </w:rPr>
        <w:t>日</w:t>
      </w:r>
      <w:r w:rsidRPr="00F15600">
        <w:rPr>
          <w:rFonts w:ascii="宋体" w:hAnsi="宋体"/>
          <w:color w:val="FF0000"/>
          <w:szCs w:val="21"/>
          <w:highlight w:val="yellow"/>
        </w:rPr>
        <w:t>14:00</w:t>
      </w:r>
      <w:r>
        <w:rPr>
          <w:rFonts w:ascii="宋体" w:hAnsi="宋体" w:hint="eastAsia"/>
          <w:szCs w:val="21"/>
        </w:rPr>
        <w:t>（北京时间），在深圳市国信招标有限公司公开开标。供应商可以登录“深圳政府采购智慧平台用户网上办事子系统（http://zfcg.szggzy.com:8081/TPBidder/memberLogin）”，在“【我的项目】→【项目流程】→【开标及解密】”进行在线解密、查询开标情况。</w:t>
      </w:r>
    </w:p>
    <w:p w:rsidR="007900F6">
      <w:pPr>
        <w:pStyle w:val="Heading2"/>
        <w:keepNext w:val="0"/>
        <w:keepLines w:val="0"/>
        <w:spacing w:before="0" w:after="0" w:line="360" w:lineRule="auto"/>
        <w:contextualSpacing/>
        <w:jc w:val="left"/>
        <w:rPr>
          <w:rFonts w:cs="宋体"/>
          <w:color w:val="000000"/>
          <w:sz w:val="21"/>
          <w:szCs w:val="21"/>
        </w:rPr>
      </w:pPr>
      <w:r>
        <w:rPr>
          <w:rFonts w:cs="宋体" w:hint="eastAsia"/>
          <w:color w:val="000000"/>
          <w:sz w:val="21"/>
          <w:szCs w:val="21"/>
        </w:rPr>
        <w:t>五、公告期限</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自本公告发布之日起5个工作日。</w:t>
      </w:r>
    </w:p>
    <w:p w:rsidR="007900F6">
      <w:pPr>
        <w:pStyle w:val="Heading2"/>
        <w:keepNext w:val="0"/>
        <w:keepLines w:val="0"/>
        <w:spacing w:before="0" w:after="0" w:line="360" w:lineRule="auto"/>
        <w:contextualSpacing/>
        <w:jc w:val="left"/>
        <w:rPr>
          <w:rFonts w:cs="宋体"/>
          <w:color w:val="000000"/>
          <w:sz w:val="21"/>
          <w:szCs w:val="21"/>
        </w:rPr>
      </w:pPr>
      <w:r>
        <w:rPr>
          <w:rFonts w:cs="宋体" w:hint="eastAsia"/>
          <w:color w:val="000000"/>
          <w:sz w:val="21"/>
          <w:szCs w:val="21"/>
        </w:rPr>
        <w:t>六、其他补充事宜</w:t>
      </w:r>
    </w:p>
    <w:p w:rsidR="007900F6">
      <w:pPr>
        <w:spacing w:line="360" w:lineRule="auto"/>
        <w:ind w:left="850" w:hanging="372" w:leftChars="199" w:hangingChars="155"/>
        <w:contextualSpacing/>
        <w:rPr>
          <w:rFonts w:ascii="宋体" w:hAnsi="宋体" w:cs="宋体"/>
          <w:color w:val="000000"/>
          <w:kern w:val="0"/>
          <w:szCs w:val="21"/>
        </w:rPr>
      </w:pPr>
      <w:r>
        <w:rPr>
          <w:rFonts w:ascii="宋体" w:hAnsi="宋体" w:cs="宋体"/>
          <w:color w:val="000000"/>
          <w:kern w:val="0"/>
          <w:szCs w:val="21"/>
        </w:rPr>
        <w:t>1</w:t>
      </w:r>
      <w:r>
        <w:rPr>
          <w:rFonts w:ascii="宋体" w:hAnsi="宋体" w:cs="宋体" w:hint="eastAsia"/>
          <w:color w:val="000000"/>
          <w:kern w:val="0"/>
          <w:szCs w:val="21"/>
        </w:rPr>
        <w:t>、</w:t>
      </w:r>
      <w:r>
        <w:rPr>
          <w:rFonts w:ascii="宋体" w:hAnsi="宋体" w:cs="宋体"/>
          <w:color w:val="000000"/>
          <w:kern w:val="0"/>
          <w:szCs w:val="21"/>
        </w:rPr>
        <w:t>本项目实行网上投标，采用电子投标文件。</w:t>
      </w:r>
    </w:p>
    <w:p w:rsidR="007900F6">
      <w:pPr>
        <w:spacing w:line="360" w:lineRule="auto"/>
        <w:ind w:left="850" w:hanging="372" w:leftChars="199" w:hangingChars="155"/>
        <w:contextualSpacing/>
        <w:rPr>
          <w:rFonts w:ascii="宋体" w:hAns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w:t>
      </w:r>
      <w:r>
        <w:rPr>
          <w:rFonts w:ascii="宋体" w:hAnsi="宋体" w:hint="eastAsia"/>
          <w:szCs w:val="21"/>
        </w:rPr>
        <w:t>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ggzy.com/）,先办理注册手续（注册咨询：83938966；电子密钥咨询：83948165 4008301330 ），再进行投标报名。在网上报名后，点击“我的项目→项目流程”中进行招标文件的下载。</w:t>
      </w:r>
    </w:p>
    <w:p w:rsidR="007900F6">
      <w:pPr>
        <w:spacing w:line="360" w:lineRule="auto"/>
        <w:ind w:left="850" w:hanging="372" w:leftChars="199" w:hangingChars="155"/>
        <w:rPr>
          <w:rFonts w:ascii="宋体" w:hAnsi="宋体" w:cs="宋体"/>
          <w:color w:val="000000"/>
          <w:kern w:val="0"/>
          <w:szCs w:val="21"/>
        </w:rPr>
      </w:pPr>
      <w:r>
        <w:rPr>
          <w:rFonts w:ascii="宋体" w:hAnsi="宋体" w:cs="宋体" w:hint="eastAsia"/>
          <w:color w:val="000000"/>
          <w:kern w:val="0"/>
          <w:szCs w:val="21"/>
        </w:rPr>
        <w:t>3、</w:t>
      </w:r>
      <w:r>
        <w:rPr>
          <w:rFonts w:ascii="宋体" w:hAnsi="宋体" w:hint="eastAsia"/>
          <w:szCs w:val="21"/>
        </w:rPr>
        <w:t>完成网上响应后，供应商如确认参加本项目投标，请于</w:t>
      </w:r>
      <w:r>
        <w:rPr>
          <w:rFonts w:ascii="宋体" w:hAnsi="宋体"/>
          <w:szCs w:val="21"/>
          <w:highlight w:val="yellow"/>
        </w:rPr>
        <w:t>2022</w:t>
      </w:r>
      <w:r>
        <w:rPr>
          <w:rFonts w:ascii="宋体" w:hAnsi="宋体" w:hint="eastAsia"/>
          <w:szCs w:val="21"/>
          <w:highlight w:val="yellow"/>
        </w:rPr>
        <w:t>年</w:t>
      </w:r>
      <w:r>
        <w:rPr>
          <w:rFonts w:ascii="宋体" w:hAnsi="宋体"/>
          <w:szCs w:val="21"/>
          <w:highlight w:val="yellow"/>
        </w:rPr>
        <w:t>06</w:t>
      </w:r>
      <w:r>
        <w:rPr>
          <w:rFonts w:ascii="宋体" w:hAnsi="宋体" w:hint="eastAsia"/>
          <w:szCs w:val="21"/>
          <w:highlight w:val="yellow"/>
        </w:rPr>
        <w:t>月</w:t>
      </w:r>
      <w:r>
        <w:rPr>
          <w:rFonts w:ascii="宋体" w:hAnsi="宋体"/>
          <w:szCs w:val="21"/>
          <w:highlight w:val="yellow"/>
        </w:rPr>
        <w:t>23</w:t>
      </w:r>
      <w:r>
        <w:rPr>
          <w:rFonts w:ascii="宋体" w:hAnsi="宋体" w:hint="eastAsia"/>
          <w:szCs w:val="21"/>
          <w:highlight w:val="yellow"/>
        </w:rPr>
        <w:t>日至</w:t>
      </w:r>
      <w:r>
        <w:rPr>
          <w:rFonts w:ascii="宋体" w:hAnsi="宋体"/>
          <w:szCs w:val="21"/>
          <w:highlight w:val="yellow"/>
        </w:rPr>
        <w:t>2022</w:t>
      </w:r>
      <w:r>
        <w:rPr>
          <w:rFonts w:ascii="宋体" w:hAnsi="宋体" w:hint="eastAsia"/>
          <w:szCs w:val="21"/>
          <w:highlight w:val="yellow"/>
        </w:rPr>
        <w:t>年</w:t>
      </w:r>
      <w:r>
        <w:rPr>
          <w:rFonts w:ascii="宋体" w:hAnsi="宋体"/>
          <w:szCs w:val="21"/>
          <w:highlight w:val="yellow"/>
        </w:rPr>
        <w:t>07</w:t>
      </w:r>
      <w:r>
        <w:rPr>
          <w:rFonts w:ascii="宋体" w:hAnsi="宋体" w:hint="eastAsia"/>
          <w:szCs w:val="21"/>
          <w:highlight w:val="yellow"/>
        </w:rPr>
        <w:t>月</w:t>
      </w:r>
      <w:r>
        <w:rPr>
          <w:rFonts w:ascii="宋体" w:hAnsi="宋体"/>
          <w:szCs w:val="21"/>
          <w:highlight w:val="yellow"/>
        </w:rPr>
        <w:t>04</w:t>
      </w:r>
      <w:r>
        <w:rPr>
          <w:rFonts w:ascii="宋体" w:hAnsi="宋体" w:hint="eastAsia"/>
          <w:szCs w:val="21"/>
          <w:highlight w:val="yellow"/>
        </w:rPr>
        <w:t>日</w:t>
      </w:r>
      <w:r>
        <w:rPr>
          <w:rFonts w:ascii="宋体" w:hAnsi="宋体"/>
          <w:szCs w:val="21"/>
          <w:highlight w:val="yellow"/>
        </w:rPr>
        <w:t>14</w:t>
      </w:r>
      <w:r>
        <w:rPr>
          <w:rFonts w:ascii="宋体" w:hAnsi="宋体" w:hint="eastAsia"/>
          <w:szCs w:val="21"/>
          <w:highlight w:val="yellow"/>
        </w:rPr>
        <w:t>点</w:t>
      </w:r>
      <w:r>
        <w:rPr>
          <w:rFonts w:ascii="宋体"/>
          <w:szCs w:val="21"/>
          <w:highlight w:val="yellow"/>
        </w:rPr>
        <w:t>00</w:t>
      </w:r>
      <w:r>
        <w:rPr>
          <w:rFonts w:ascii="宋体" w:hAnsi="宋体" w:hint="eastAsia"/>
          <w:szCs w:val="21"/>
          <w:highlight w:val="yellow"/>
        </w:rPr>
        <w:t>分前</w:t>
      </w:r>
      <w:r>
        <w:rPr>
          <w:rFonts w:ascii="宋体" w:hAnsi="宋体" w:hint="eastAsia"/>
          <w:szCs w:val="21"/>
        </w:rPr>
        <w:t>，每天上午9时00分至12时00分，下午14时00分至17时30分（北京时间，法定节假日除外）将投标登记资料原件送或扫描件发至代理机构（扫描件发送到代理机构邮箱：285720828@qq.com）留存备案，否则报名无效。并缴纳登记费600元（仅接受现金或对公转账）逾期不接受报名。</w:t>
      </w:r>
    </w:p>
    <w:p w:rsidR="007900F6">
      <w:pPr>
        <w:spacing w:line="360" w:lineRule="auto"/>
        <w:ind w:left="850" w:hanging="372" w:leftChars="199" w:hangingChars="155"/>
        <w:rPr>
          <w:rFonts w:ascii="宋体" w:hAnsi="宋体" w:cs="宋体"/>
          <w:color w:val="000000"/>
          <w:kern w:val="0"/>
          <w:szCs w:val="21"/>
        </w:rPr>
      </w:pPr>
      <w:r>
        <w:rPr>
          <w:rFonts w:ascii="宋体" w:hAnsi="宋体" w:cs="宋体" w:hint="eastAsia"/>
          <w:color w:val="000000"/>
          <w:kern w:val="0"/>
          <w:szCs w:val="21"/>
        </w:rPr>
        <w:t xml:space="preserve">   投标登记资料如下：</w:t>
      </w:r>
    </w:p>
    <w:p w:rsidR="007900F6">
      <w:pPr>
        <w:spacing w:line="360" w:lineRule="auto"/>
        <w:ind w:left="850" w:hanging="372" w:leftChars="199" w:hangingChars="155"/>
        <w:rPr>
          <w:rFonts w:ascii="宋体" w:hAnsi="宋体" w:cs="宋体"/>
          <w:color w:val="000000"/>
          <w:kern w:val="0"/>
          <w:szCs w:val="21"/>
        </w:rPr>
      </w:pPr>
      <w:r>
        <w:rPr>
          <w:rFonts w:ascii="宋体" w:hAnsi="宋体" w:cs="宋体" w:hint="eastAsia"/>
          <w:color w:val="000000"/>
          <w:kern w:val="0"/>
          <w:szCs w:val="21"/>
        </w:rPr>
        <w:t xml:space="preserve">  （</w:t>
      </w:r>
      <w:r>
        <w:rPr>
          <w:rFonts w:ascii="宋体" w:hAnsi="宋体" w:cs="宋体"/>
          <w:color w:val="000000"/>
          <w:kern w:val="0"/>
          <w:szCs w:val="21"/>
        </w:rPr>
        <w:t>1</w:t>
      </w:r>
      <w:r>
        <w:rPr>
          <w:rFonts w:ascii="宋体" w:hAnsi="宋体" w:cs="宋体" w:hint="eastAsia"/>
          <w:color w:val="000000"/>
          <w:kern w:val="0"/>
          <w:szCs w:val="21"/>
        </w:rPr>
        <w:t>）法定代表人证明书</w:t>
      </w:r>
      <w:r>
        <w:rPr>
          <w:rFonts w:ascii="宋体" w:hAnsi="宋体" w:hint="eastAsia"/>
          <w:szCs w:val="21"/>
        </w:rPr>
        <w:t>（格式详见投标文件格式、附件）</w:t>
      </w:r>
      <w:r>
        <w:rPr>
          <w:rFonts w:ascii="宋体" w:hAnsi="宋体" w:cs="宋体" w:hint="eastAsia"/>
          <w:color w:val="000000"/>
          <w:kern w:val="0"/>
          <w:szCs w:val="21"/>
        </w:rPr>
        <w:t>；</w:t>
      </w:r>
    </w:p>
    <w:p w:rsidR="007900F6">
      <w:pPr>
        <w:spacing w:line="360" w:lineRule="auto"/>
        <w:ind w:left="850" w:hanging="372" w:leftChars="199" w:hangingChars="155"/>
        <w:rPr>
          <w:rFonts w:ascii="宋体" w:hAnsi="宋体" w:cs="宋体"/>
          <w:color w:val="000000"/>
          <w:kern w:val="0"/>
          <w:szCs w:val="21"/>
        </w:rPr>
      </w:pPr>
      <w:r>
        <w:rPr>
          <w:rFonts w:ascii="宋体" w:hAnsi="宋体" w:cs="宋体" w:hint="eastAsia"/>
          <w:color w:val="000000"/>
          <w:kern w:val="0"/>
          <w:szCs w:val="21"/>
        </w:rPr>
        <w:t xml:space="preserve">  （</w:t>
      </w:r>
      <w:r>
        <w:rPr>
          <w:rFonts w:ascii="宋体" w:hAnsi="宋体" w:cs="宋体"/>
          <w:color w:val="000000"/>
          <w:kern w:val="0"/>
          <w:szCs w:val="21"/>
        </w:rPr>
        <w:t>2</w:t>
      </w:r>
      <w:r>
        <w:rPr>
          <w:rFonts w:ascii="宋体" w:hAnsi="宋体" w:cs="宋体" w:hint="eastAsia"/>
          <w:color w:val="000000"/>
          <w:kern w:val="0"/>
          <w:szCs w:val="21"/>
        </w:rPr>
        <w:t>）投标文件签署授权委托书</w:t>
      </w:r>
      <w:r>
        <w:rPr>
          <w:rFonts w:ascii="宋体" w:hAnsi="宋体" w:hint="eastAsia"/>
          <w:szCs w:val="21"/>
        </w:rPr>
        <w:t>（格式详见投标文件格式、附件）</w:t>
      </w:r>
      <w:r>
        <w:rPr>
          <w:rFonts w:ascii="宋体" w:hAnsi="宋体" w:cs="宋体" w:hint="eastAsia"/>
          <w:color w:val="000000"/>
          <w:kern w:val="0"/>
          <w:szCs w:val="21"/>
        </w:rPr>
        <w:t>；</w:t>
      </w:r>
    </w:p>
    <w:p w:rsidR="007900F6">
      <w:pPr>
        <w:spacing w:line="360" w:lineRule="auto"/>
        <w:ind w:left="850" w:hanging="372" w:leftChars="199" w:hangingChars="155"/>
        <w:rPr>
          <w:rFonts w:ascii="宋体" w:hAnsi="宋体" w:cs="宋体"/>
          <w:color w:val="000000"/>
          <w:kern w:val="0"/>
          <w:szCs w:val="21"/>
        </w:rPr>
      </w:pPr>
      <w:r>
        <w:rPr>
          <w:rFonts w:ascii="宋体" w:hAnsi="宋体" w:cs="宋体" w:hint="eastAsia"/>
          <w:color w:val="000000"/>
          <w:kern w:val="0"/>
          <w:szCs w:val="21"/>
        </w:rPr>
        <w:t xml:space="preserve">  （</w:t>
      </w:r>
      <w:r>
        <w:rPr>
          <w:rFonts w:ascii="宋体" w:hAnsi="宋体" w:cs="宋体"/>
          <w:color w:val="000000"/>
          <w:kern w:val="0"/>
          <w:szCs w:val="21"/>
        </w:rPr>
        <w:t>3</w:t>
      </w:r>
      <w:r>
        <w:rPr>
          <w:rFonts w:ascii="宋体" w:hAnsi="宋体" w:cs="宋体" w:hint="eastAsia"/>
          <w:color w:val="000000"/>
          <w:kern w:val="0"/>
          <w:szCs w:val="21"/>
        </w:rPr>
        <w:t>）</w:t>
      </w:r>
      <w:r>
        <w:rPr>
          <w:rFonts w:ascii="宋体" w:hAnsi="宋体" w:hint="eastAsia"/>
          <w:szCs w:val="21"/>
        </w:rPr>
        <w:t>营业执照或法人证书或登记证书</w:t>
      </w:r>
      <w:r>
        <w:rPr>
          <w:rFonts w:ascii="宋体" w:hAnsi="宋体" w:cs="宋体" w:hint="eastAsia"/>
          <w:color w:val="000000"/>
          <w:kern w:val="0"/>
          <w:szCs w:val="21"/>
        </w:rPr>
        <w:t>；</w:t>
      </w:r>
    </w:p>
    <w:p w:rsidR="007900F6">
      <w:pPr>
        <w:spacing w:line="360" w:lineRule="auto"/>
        <w:ind w:left="850" w:hanging="372" w:leftChars="199" w:hangingChars="155"/>
        <w:rPr>
          <w:rFonts w:ascii="宋体" w:hAnsi="宋体" w:cs="宋体"/>
          <w:color w:val="000000"/>
          <w:kern w:val="0"/>
          <w:szCs w:val="21"/>
        </w:rPr>
      </w:pPr>
      <w:r>
        <w:rPr>
          <w:rFonts w:ascii="宋体" w:hAnsi="宋体" w:cs="宋体" w:hint="eastAsia"/>
          <w:color w:val="000000"/>
          <w:kern w:val="0"/>
          <w:szCs w:val="21"/>
        </w:rPr>
        <w:t xml:space="preserve">  （4）</w:t>
      </w:r>
      <w:r>
        <w:rPr>
          <w:rFonts w:ascii="宋体" w:hAnsi="宋体" w:hint="eastAsia"/>
          <w:szCs w:val="21"/>
        </w:rPr>
        <w:t>政府采购投标及履约承诺函（格式详见投标文件格式、附件）</w:t>
      </w:r>
    </w:p>
    <w:p w:rsidR="007900F6">
      <w:pPr>
        <w:spacing w:line="360" w:lineRule="auto"/>
        <w:ind w:left="1298" w:hanging="583" w:leftChars="298" w:hangingChars="243"/>
        <w:rPr>
          <w:rFonts w:ascii="宋体" w:hAnsi="宋体" w:cs="宋体"/>
          <w:color w:val="000000"/>
          <w:kern w:val="0"/>
          <w:szCs w:val="21"/>
        </w:rPr>
      </w:pPr>
      <w:r>
        <w:rPr>
          <w:rFonts w:ascii="宋体" w:hAnsi="宋体" w:cs="宋体" w:hint="eastAsia"/>
          <w:color w:val="000000"/>
          <w:kern w:val="0"/>
          <w:szCs w:val="21"/>
        </w:rPr>
        <w:t xml:space="preserve"> 注：以上投标登记资料均需加盖投标人公章。</w:t>
      </w:r>
      <w:r>
        <w:rPr>
          <w:rFonts w:ascii="宋体" w:hAnsi="宋体" w:cs="宋体"/>
          <w:color w:val="000000"/>
          <w:kern w:val="0"/>
          <w:szCs w:val="21"/>
        </w:rPr>
        <w:t xml:space="preserve"> </w:t>
      </w:r>
    </w:p>
    <w:p w:rsidR="007900F6">
      <w:pPr>
        <w:tabs>
          <w:tab w:val="left" w:pos="1260"/>
        </w:tabs>
        <w:spacing w:line="360" w:lineRule="auto"/>
        <w:ind w:firstLine="1320" w:firstLineChars="550"/>
        <w:rPr>
          <w:rFonts w:ascii="宋体" w:hAnsi="宋体" w:cs="宋体"/>
          <w:color w:val="000000"/>
          <w:kern w:val="0"/>
          <w:szCs w:val="21"/>
        </w:rPr>
      </w:pPr>
      <w:r>
        <w:rPr>
          <w:rFonts w:ascii="宋体" w:hAnsi="宋体" w:cs="宋体" w:hint="eastAsia"/>
          <w:color w:val="000000"/>
          <w:kern w:val="0"/>
          <w:szCs w:val="21"/>
        </w:rPr>
        <w:t>招标代理机构项目负责人：</w:t>
      </w:r>
    </w:p>
    <w:p w:rsidR="007900F6">
      <w:pPr>
        <w:spacing w:line="360" w:lineRule="auto"/>
        <w:ind w:left="838" w:firstLine="480" w:leftChars="349" w:firstLineChars="200"/>
        <w:rPr>
          <w:rFonts w:ascii="宋体" w:hAnsi="宋体" w:cs="宋体"/>
          <w:color w:val="000000"/>
          <w:kern w:val="0"/>
          <w:szCs w:val="21"/>
        </w:rPr>
      </w:pPr>
      <w:r>
        <w:rPr>
          <w:rFonts w:ascii="宋体" w:hAnsi="宋体" w:cs="宋体" w:hint="eastAsia"/>
          <w:color w:val="000000"/>
          <w:kern w:val="0"/>
          <w:szCs w:val="21"/>
        </w:rPr>
        <w:t>联系人：蒙伦飞   何明福</w:t>
      </w:r>
    </w:p>
    <w:p w:rsidR="007900F6">
      <w:pPr>
        <w:spacing w:line="360" w:lineRule="auto"/>
        <w:ind w:left="838" w:firstLine="480" w:leftChars="349" w:firstLineChars="200"/>
        <w:rPr>
          <w:rFonts w:ascii="宋体" w:hAnsi="宋体" w:cs="宋体"/>
          <w:color w:val="000000"/>
          <w:kern w:val="0"/>
          <w:szCs w:val="21"/>
        </w:rPr>
      </w:pPr>
      <w:r>
        <w:rPr>
          <w:rFonts w:ascii="宋体" w:hAnsi="宋体" w:cs="宋体" w:hint="eastAsia"/>
          <w:color w:val="000000"/>
          <w:kern w:val="0"/>
          <w:szCs w:val="21"/>
        </w:rPr>
        <w:t>联系电话：</w:t>
      </w:r>
      <w:r>
        <w:rPr>
          <w:rFonts w:ascii="宋体" w:hAnsi="宋体" w:cs="宋体"/>
          <w:color w:val="000000"/>
          <w:kern w:val="0"/>
          <w:szCs w:val="21"/>
        </w:rPr>
        <w:t>0755-</w:t>
      </w:r>
      <w:r>
        <w:rPr>
          <w:rFonts w:ascii="宋体" w:hAnsi="宋体" w:cs="宋体" w:hint="eastAsia"/>
          <w:color w:val="000000"/>
          <w:kern w:val="0"/>
          <w:szCs w:val="21"/>
        </w:rPr>
        <w:t>23908094</w:t>
      </w:r>
      <w:r>
        <w:rPr>
          <w:rFonts w:ascii="宋体" w:hAnsi="宋体" w:cs="宋体"/>
          <w:color w:val="000000"/>
          <w:kern w:val="0"/>
          <w:szCs w:val="21"/>
        </w:rPr>
        <w:t xml:space="preserve">  </w:t>
      </w:r>
      <w:r>
        <w:rPr>
          <w:rFonts w:ascii="宋体" w:hAnsi="宋体" w:cs="宋体" w:hint="eastAsia"/>
          <w:color w:val="000000"/>
          <w:kern w:val="0"/>
          <w:szCs w:val="21"/>
        </w:rPr>
        <w:t>88916924</w:t>
      </w:r>
    </w:p>
    <w:p w:rsidR="007900F6">
      <w:pPr>
        <w:tabs>
          <w:tab w:val="left" w:pos="1260"/>
        </w:tabs>
        <w:spacing w:line="360" w:lineRule="auto"/>
        <w:ind w:firstLine="1320" w:firstLineChars="550"/>
        <w:rPr>
          <w:rFonts w:ascii="宋体" w:hAnsi="宋体" w:cs="宋体"/>
          <w:color w:val="000000"/>
          <w:kern w:val="0"/>
          <w:szCs w:val="21"/>
        </w:rPr>
      </w:pPr>
      <w:r>
        <w:rPr>
          <w:rFonts w:ascii="宋体" w:hAnsi="宋体" w:cs="宋体" w:hint="eastAsia"/>
          <w:color w:val="000000"/>
          <w:kern w:val="0"/>
          <w:szCs w:val="21"/>
        </w:rPr>
        <w:t>地址：深圳市福田区福田街道福安社区民田路178号华融大厦1007、1008</w:t>
      </w:r>
    </w:p>
    <w:p w:rsidR="007900F6">
      <w:pPr>
        <w:spacing w:line="360" w:lineRule="auto"/>
        <w:ind w:left="850" w:hanging="372" w:leftChars="199" w:hangingChars="155"/>
        <w:rPr>
          <w:rFonts w:ascii="宋体" w:hAnsi="宋体" w:cs="宋体"/>
          <w:color w:val="000000"/>
          <w:kern w:val="0"/>
          <w:szCs w:val="21"/>
        </w:rPr>
      </w:pPr>
      <w:r>
        <w:rPr>
          <w:rFonts w:ascii="宋体" w:hAnsi="宋体" w:cs="宋体" w:hint="eastAsia"/>
          <w:color w:val="000000"/>
          <w:kern w:val="0"/>
          <w:szCs w:val="21"/>
        </w:rPr>
        <w:t>4、代理机构开户银行及相关信息：</w:t>
      </w:r>
    </w:p>
    <w:p w:rsidR="007900F6">
      <w:pPr>
        <w:spacing w:line="360" w:lineRule="auto"/>
        <w:ind w:left="850" w:hanging="12" w:leftChars="349" w:hangingChars="5"/>
        <w:rPr>
          <w:rFonts w:ascii="宋体" w:hAnsi="宋体"/>
          <w:szCs w:val="21"/>
        </w:rPr>
      </w:pPr>
      <w:r>
        <w:rPr>
          <w:rFonts w:ascii="宋体" w:hAnsi="宋体" w:hint="eastAsia"/>
          <w:szCs w:val="21"/>
        </w:rPr>
        <w:t>开户银行：中信银行深圳福南支行</w:t>
      </w:r>
    </w:p>
    <w:p w:rsidR="007900F6">
      <w:pPr>
        <w:spacing w:line="360" w:lineRule="auto"/>
        <w:ind w:left="850" w:hanging="12" w:leftChars="349" w:hangingChars="5"/>
        <w:rPr>
          <w:rFonts w:ascii="宋体" w:hAnsi="宋体"/>
          <w:szCs w:val="21"/>
        </w:rPr>
      </w:pPr>
      <w:r>
        <w:rPr>
          <w:rFonts w:ascii="宋体" w:hAnsi="宋体" w:hint="eastAsia"/>
          <w:szCs w:val="21"/>
        </w:rPr>
        <w:t>帐户名称：深圳市国信招标有限公司</w:t>
      </w:r>
    </w:p>
    <w:p w:rsidR="007900F6">
      <w:pPr>
        <w:spacing w:line="360" w:lineRule="auto"/>
        <w:ind w:left="850" w:hanging="12" w:leftChars="349" w:hangingChars="5"/>
        <w:rPr>
          <w:rFonts w:ascii="宋体" w:hAnsi="宋体"/>
          <w:szCs w:val="21"/>
        </w:rPr>
      </w:pPr>
      <w:r>
        <w:rPr>
          <w:rFonts w:ascii="宋体" w:hAnsi="宋体" w:hint="eastAsia"/>
          <w:szCs w:val="21"/>
        </w:rPr>
        <w:t>账　　号：7441310182600057811</w:t>
      </w:r>
    </w:p>
    <w:p w:rsidR="007900F6">
      <w:pPr>
        <w:spacing w:line="360" w:lineRule="auto"/>
        <w:ind w:left="850" w:hanging="372" w:leftChars="199" w:hangingChars="155"/>
        <w:contextualSpacing/>
        <w:rPr>
          <w:rFonts w:ascii="宋体" w:hAnsi="宋体" w:cs="宋体"/>
          <w:color w:val="000000"/>
          <w:kern w:val="0"/>
          <w:szCs w:val="21"/>
        </w:rPr>
      </w:pPr>
      <w:r>
        <w:rPr>
          <w:rFonts w:ascii="宋体" w:hAnsi="宋体" w:cs="宋体" w:hint="eastAsia"/>
          <w:color w:val="000000"/>
          <w:kern w:val="0"/>
          <w:szCs w:val="21"/>
        </w:rPr>
        <w:t>5、</w:t>
      </w:r>
      <w:r>
        <w:rPr>
          <w:rFonts w:ascii="宋体" w:hAnsi="宋体" w:hint="eastAsia"/>
          <w:szCs w:val="21"/>
        </w:rPr>
        <w:t>投标操作：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7900F6">
      <w:pPr>
        <w:spacing w:line="360" w:lineRule="auto"/>
        <w:ind w:left="850" w:hanging="372" w:leftChars="199" w:hangingChars="155"/>
        <w:contextualSpacing/>
        <w:rPr>
          <w:rFonts w:ascii="宋体" w:hAnsi="宋体" w:cs="宋体"/>
          <w:color w:val="000000"/>
          <w:kern w:val="0"/>
          <w:szCs w:val="21"/>
        </w:rPr>
      </w:pPr>
      <w:r>
        <w:rPr>
          <w:rFonts w:ascii="宋体" w:hAnsi="宋体" w:cs="宋体" w:hint="eastAsia"/>
          <w:color w:val="000000"/>
          <w:kern w:val="0"/>
          <w:szCs w:val="21"/>
        </w:rPr>
        <w:t>6、</w:t>
      </w:r>
      <w:r>
        <w:rPr>
          <w:rFonts w:ascii="宋体" w:hAnsi="宋体" w:hint="eastAsia"/>
          <w:szCs w:val="21"/>
        </w:rPr>
        <w:t>开标操作：供应商可以登录“深圳政府采购智慧平台用户网上办事子系统（http://zfcg.szggzy.com:8081/TPBidder/memberLogin）”，在“【我的项目】→【项目流程】→【开标及解密】”进行在线解密、查询开标情况。</w:t>
      </w:r>
      <w:r>
        <w:rPr>
          <w:rFonts w:ascii="宋体" w:hAnsi="宋体" w:cs="宋体"/>
          <w:color w:val="000000"/>
          <w:kern w:val="0"/>
          <w:szCs w:val="21"/>
        </w:rPr>
        <w:t xml:space="preserve"> </w:t>
      </w:r>
    </w:p>
    <w:p w:rsidR="007900F6">
      <w:pPr>
        <w:wordWrap w:val="0"/>
        <w:spacing w:line="360" w:lineRule="auto"/>
        <w:ind w:left="720" w:hanging="240" w:leftChars="200" w:hangingChars="100"/>
        <w:contextualSpacing/>
        <w:rPr>
          <w:rFonts w:ascii="宋体" w:hAnsi="宋体" w:cs="宋体"/>
          <w:color w:val="000000"/>
          <w:kern w:val="0"/>
          <w:szCs w:val="21"/>
        </w:rPr>
      </w:pPr>
      <w:r>
        <w:rPr>
          <w:rFonts w:ascii="宋体" w:hAnsi="宋体" w:cs="宋体" w:hint="eastAsia"/>
          <w:color w:val="000000"/>
          <w:kern w:val="0"/>
          <w:szCs w:val="21"/>
        </w:rPr>
        <w:t>7、</w:t>
      </w:r>
      <w:r>
        <w:rPr>
          <w:rFonts w:ascii="宋体" w:hAnsi="宋体" w:hint="eastAsia"/>
          <w:szCs w:val="21"/>
        </w:rPr>
        <w:t>在线解密：投标人须在开标当日</w:t>
      </w:r>
      <w:r w:rsidR="00B94935">
        <w:rPr>
          <w:rFonts w:ascii="宋体" w:hAnsi="宋体"/>
          <w:szCs w:val="21"/>
          <w:highlight w:val="yellow"/>
        </w:rPr>
        <w:t>2022</w:t>
      </w:r>
      <w:r w:rsidR="00B94935">
        <w:rPr>
          <w:rFonts w:ascii="宋体" w:hAnsi="宋体" w:hint="eastAsia"/>
          <w:szCs w:val="21"/>
          <w:highlight w:val="yellow"/>
        </w:rPr>
        <w:t>年</w:t>
      </w:r>
      <w:r w:rsidR="00B94935">
        <w:rPr>
          <w:rFonts w:ascii="宋体" w:hAnsi="宋体"/>
          <w:szCs w:val="21"/>
          <w:highlight w:val="yellow"/>
        </w:rPr>
        <w:t>07</w:t>
      </w:r>
      <w:r w:rsidR="00B94935">
        <w:rPr>
          <w:rFonts w:ascii="宋体" w:hAnsi="宋体" w:hint="eastAsia"/>
          <w:szCs w:val="21"/>
          <w:highlight w:val="yellow"/>
        </w:rPr>
        <w:t>月</w:t>
      </w:r>
      <w:r w:rsidR="00B94935">
        <w:rPr>
          <w:rFonts w:ascii="宋体" w:hAnsi="宋体"/>
          <w:szCs w:val="21"/>
          <w:highlight w:val="yellow"/>
        </w:rPr>
        <w:t>04</w:t>
      </w:r>
      <w:r w:rsidR="00B94935">
        <w:rPr>
          <w:rFonts w:ascii="宋体" w:hAnsi="宋体" w:hint="eastAsia"/>
          <w:szCs w:val="21"/>
          <w:highlight w:val="yellow"/>
        </w:rPr>
        <w:t>日</w:t>
      </w:r>
      <w:r w:rsidR="00B94935">
        <w:rPr>
          <w:rFonts w:ascii="宋体" w:hAnsi="宋体"/>
          <w:szCs w:val="21"/>
          <w:highlight w:val="yellow"/>
        </w:rPr>
        <w:t>14:00</w:t>
      </w:r>
      <w:r w:rsidR="00B94935">
        <w:rPr>
          <w:rFonts w:ascii="宋体" w:hAnsi="宋体" w:hint="eastAsia"/>
          <w:szCs w:val="21"/>
          <w:highlight w:val="yellow"/>
        </w:rPr>
        <w:t>至</w:t>
      </w:r>
      <w:r w:rsidR="00B94935">
        <w:rPr>
          <w:rFonts w:ascii="宋体" w:hAnsi="宋体"/>
          <w:szCs w:val="21"/>
          <w:highlight w:val="yellow"/>
        </w:rPr>
        <w:t>2022</w:t>
      </w:r>
      <w:r w:rsidR="00B94935">
        <w:rPr>
          <w:rFonts w:ascii="宋体" w:hAnsi="宋体" w:hint="eastAsia"/>
          <w:szCs w:val="21"/>
          <w:highlight w:val="yellow"/>
        </w:rPr>
        <w:t>年7月</w:t>
      </w:r>
      <w:r w:rsidR="00B94935">
        <w:rPr>
          <w:rFonts w:ascii="宋体" w:hAnsi="宋体"/>
          <w:szCs w:val="21"/>
          <w:highlight w:val="yellow"/>
        </w:rPr>
        <w:t>04</w:t>
      </w:r>
      <w:r w:rsidR="00B94935">
        <w:rPr>
          <w:rFonts w:ascii="宋体" w:hAnsi="宋体" w:hint="eastAsia"/>
          <w:szCs w:val="21"/>
          <w:highlight w:val="yellow"/>
        </w:rPr>
        <w:t>日</w:t>
      </w:r>
      <w:r w:rsidR="00B94935">
        <w:rPr>
          <w:rFonts w:ascii="宋体" w:hAnsi="宋体"/>
          <w:szCs w:val="21"/>
          <w:highlight w:val="yellow"/>
        </w:rPr>
        <w:t>14</w:t>
      </w:r>
      <w:r w:rsidR="00B94935">
        <w:rPr>
          <w:rFonts w:ascii="宋体" w:hAnsi="宋体" w:hint="eastAsia"/>
          <w:szCs w:val="21"/>
          <w:highlight w:val="yellow"/>
        </w:rPr>
        <w:t>：</w:t>
      </w:r>
      <w:r w:rsidR="00B94935">
        <w:rPr>
          <w:rFonts w:ascii="宋体" w:hAnsi="宋体"/>
          <w:szCs w:val="21"/>
          <w:highlight w:val="yellow"/>
        </w:rPr>
        <w:t>30</w:t>
      </w:r>
      <w:r>
        <w:rPr>
          <w:rFonts w:ascii="宋体" w:hAnsi="宋体" w:hint="eastAsia"/>
          <w:szCs w:val="21"/>
        </w:rPr>
        <w:t>（北京时间）期间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7900F6">
      <w:pPr>
        <w:snapToGrid w:val="0"/>
        <w:spacing w:line="360" w:lineRule="auto"/>
        <w:ind w:left="754" w:hanging="240" w:leftChars="214" w:hangingChars="100"/>
        <w:rPr>
          <w:rFonts w:ascii="宋体" w:hAnsi="宋体"/>
          <w:szCs w:val="21"/>
        </w:rPr>
      </w:pPr>
      <w:r>
        <w:rPr>
          <w:rFonts w:ascii="宋体" w:hAnsi="宋体" w:cs="宋体" w:hint="eastAsia"/>
          <w:color w:val="000000"/>
          <w:kern w:val="0"/>
          <w:szCs w:val="21"/>
        </w:rPr>
        <w:t>8、</w:t>
      </w:r>
      <w:r>
        <w:rPr>
          <w:rFonts w:ascii="宋体" w:hAnsi="宋体" w:hint="eastAsia"/>
          <w:szCs w:val="21"/>
        </w:rPr>
        <w:t>采购文件澄清/修改事项：</w:t>
      </w:r>
      <w:r w:rsidR="00B94935">
        <w:rPr>
          <w:rFonts w:ascii="宋体" w:hAnsi="宋体"/>
          <w:szCs w:val="21"/>
          <w:highlight w:val="yellow"/>
        </w:rPr>
        <w:t>2022</w:t>
      </w:r>
      <w:r w:rsidR="00B94935">
        <w:rPr>
          <w:rFonts w:ascii="宋体" w:hAnsi="宋体" w:hint="eastAsia"/>
          <w:szCs w:val="21"/>
          <w:highlight w:val="yellow"/>
        </w:rPr>
        <w:t>年</w:t>
      </w:r>
      <w:r w:rsidR="00B94935">
        <w:rPr>
          <w:rFonts w:ascii="宋体" w:hAnsi="宋体"/>
          <w:szCs w:val="21"/>
          <w:highlight w:val="yellow"/>
        </w:rPr>
        <w:t>06</w:t>
      </w:r>
      <w:r w:rsidR="00B94935">
        <w:rPr>
          <w:rFonts w:ascii="宋体" w:hAnsi="宋体" w:hint="eastAsia"/>
          <w:szCs w:val="21"/>
          <w:highlight w:val="yellow"/>
        </w:rPr>
        <w:t>月</w:t>
      </w:r>
      <w:r w:rsidR="00B94935">
        <w:rPr>
          <w:rFonts w:ascii="宋体" w:hAnsi="宋体"/>
          <w:szCs w:val="21"/>
          <w:highlight w:val="yellow"/>
        </w:rPr>
        <w:t>30</w:t>
      </w:r>
      <w:r w:rsidR="00B94935">
        <w:rPr>
          <w:rFonts w:ascii="宋体" w:hAnsi="宋体" w:hint="eastAsia"/>
          <w:szCs w:val="21"/>
          <w:highlight w:val="yellow"/>
        </w:rPr>
        <w:t>日</w:t>
      </w:r>
      <w:r w:rsidR="00B94935">
        <w:rPr>
          <w:rFonts w:ascii="宋体" w:hAnsi="宋体"/>
          <w:szCs w:val="21"/>
          <w:highlight w:val="yellow"/>
        </w:rPr>
        <w:t xml:space="preserve"> 12:00</w:t>
      </w:r>
      <w:r>
        <w:rPr>
          <w:rFonts w:ascii="宋体" w:hAnsi="宋体" w:hint="eastAsia"/>
          <w:szCs w:val="21"/>
        </w:rPr>
        <w:t>（北京时间）时前，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sidR="00B94935">
        <w:rPr>
          <w:rFonts w:ascii="宋体" w:hAnsi="宋体"/>
          <w:szCs w:val="21"/>
          <w:highlight w:val="yellow"/>
        </w:rPr>
        <w:t>2022</w:t>
      </w:r>
      <w:r w:rsidR="00B94935">
        <w:rPr>
          <w:rFonts w:ascii="宋体" w:hAnsi="宋体" w:hint="eastAsia"/>
          <w:szCs w:val="21"/>
          <w:highlight w:val="yellow"/>
        </w:rPr>
        <w:t>年</w:t>
      </w:r>
      <w:r w:rsidR="00B94935">
        <w:rPr>
          <w:rFonts w:ascii="宋体" w:hAnsi="宋体"/>
          <w:szCs w:val="21"/>
          <w:highlight w:val="yellow"/>
        </w:rPr>
        <w:t>06</w:t>
      </w:r>
      <w:r w:rsidR="00B94935">
        <w:rPr>
          <w:rFonts w:ascii="宋体" w:hAnsi="宋体" w:hint="eastAsia"/>
          <w:szCs w:val="21"/>
          <w:highlight w:val="yellow"/>
        </w:rPr>
        <w:t>月</w:t>
      </w:r>
      <w:r w:rsidR="00B94935">
        <w:rPr>
          <w:rFonts w:ascii="宋体" w:hAnsi="宋体"/>
          <w:szCs w:val="21"/>
          <w:highlight w:val="yellow"/>
        </w:rPr>
        <w:t>30</w:t>
      </w:r>
      <w:r w:rsidR="00B94935">
        <w:rPr>
          <w:rFonts w:ascii="宋体" w:hAnsi="宋体" w:hint="eastAsia"/>
          <w:szCs w:val="21"/>
          <w:highlight w:val="yellow"/>
        </w:rPr>
        <w:t>日</w:t>
      </w:r>
      <w:r w:rsidR="00B94935">
        <w:rPr>
          <w:rFonts w:ascii="宋体" w:hAnsi="宋体"/>
          <w:szCs w:val="21"/>
          <w:highlight w:val="yellow"/>
        </w:rPr>
        <w:t>17:30</w:t>
      </w:r>
      <w:r>
        <w:rPr>
          <w:rFonts w:ascii="宋体" w:hAnsi="宋体" w:hint="eastAsia"/>
          <w:szCs w:val="21"/>
          <w:highlight w:val="yellow"/>
        </w:rPr>
        <w:t>（</w:t>
      </w:r>
      <w:r>
        <w:rPr>
          <w:rFonts w:ascii="宋体" w:hAnsi="宋体" w:hint="eastAsia"/>
          <w:szCs w:val="21"/>
        </w:rPr>
        <w:t>北京时间）前将采购文件澄清/修改情况在“【我的项目】→【项目流程】→【答疑澄清文件下载】”中公布，望投标人予以关注。</w:t>
      </w:r>
    </w:p>
    <w:p w:rsidR="007900F6">
      <w:pPr>
        <w:snapToGrid w:val="0"/>
        <w:spacing w:line="360" w:lineRule="auto"/>
        <w:ind w:left="735" w:hanging="840" w:hangingChars="350"/>
        <w:rPr>
          <w:rFonts w:ascii="宋体" w:hAnsi="宋体"/>
          <w:szCs w:val="21"/>
        </w:rPr>
      </w:pPr>
      <w:r>
        <w:rPr>
          <w:rFonts w:ascii="宋体" w:hAnsi="宋体" w:hint="eastAsia"/>
          <w:szCs w:val="21"/>
        </w:rPr>
        <w:t>        （重要提示：质疑材料现场提交、邮寄地址：深圳市福田区福田街道福安社区民田路178号华融大厦1007、1008。质疑咨询电话：0755-23908094  88916924。）</w:t>
      </w:r>
    </w:p>
    <w:p w:rsidR="007900F6">
      <w:pPr>
        <w:snapToGrid w:val="0"/>
        <w:spacing w:line="360" w:lineRule="auto"/>
        <w:ind w:left="840" w:hanging="360" w:leftChars="200" w:hangingChars="150"/>
        <w:rPr>
          <w:rFonts w:ascii="宋体" w:hAnsi="宋体"/>
          <w:szCs w:val="21"/>
        </w:rPr>
      </w:pPr>
      <w:r>
        <w:rPr>
          <w:rFonts w:ascii="宋体" w:hAnsi="宋体" w:cs="宋体" w:hint="eastAsia"/>
          <w:color w:val="000000"/>
          <w:kern w:val="0"/>
          <w:szCs w:val="21"/>
        </w:rPr>
        <w:t xml:space="preserve">9、 </w:t>
      </w:r>
      <w:r>
        <w:rPr>
          <w:rFonts w:ascii="宋体" w:hAnsi="宋体" w:hint="eastAsia"/>
          <w:szCs w:val="21"/>
        </w:rPr>
        <w:t>采购人及采购代理机构有权对中标供应商就本项目要求提供的相关证明资料（原件）进行审查。供应商提供虚假资料被查实的，则可能面临被取消本项目中标资格、列入不良行为记录名单和三年内禁止参与深圳市政府采购活动的风险。</w:t>
      </w:r>
    </w:p>
    <w:p w:rsidR="007900F6">
      <w:pPr>
        <w:spacing w:line="360" w:lineRule="auto"/>
        <w:ind w:firstLine="360" w:firstLineChars="150"/>
        <w:contextualSpacing/>
        <w:rPr>
          <w:rFonts w:ascii="宋体" w:hAnsi="宋体" w:cs="宋体"/>
          <w:color w:val="000000"/>
          <w:kern w:val="0"/>
          <w:szCs w:val="21"/>
        </w:rPr>
      </w:pPr>
      <w:r>
        <w:rPr>
          <w:rFonts w:ascii="宋体" w:hAnsi="宋体" w:cs="宋体"/>
          <w:color w:val="000000"/>
          <w:kern w:val="0"/>
          <w:szCs w:val="21"/>
        </w:rPr>
        <w:t xml:space="preserve"> </w:t>
      </w:r>
      <w:r>
        <w:rPr>
          <w:rFonts w:ascii="宋体" w:hAnsi="宋体" w:cs="宋体" w:hint="eastAsia"/>
          <w:color w:val="000000"/>
          <w:kern w:val="0"/>
          <w:szCs w:val="21"/>
        </w:rPr>
        <w:t>10、</w:t>
      </w:r>
      <w:r>
        <w:rPr>
          <w:rFonts w:ascii="宋体" w:hAnsi="宋体" w:cs="宋体"/>
          <w:color w:val="000000"/>
          <w:kern w:val="0"/>
          <w:szCs w:val="21"/>
        </w:rPr>
        <w:t>本项目不需要投标保证金。</w:t>
      </w:r>
    </w:p>
    <w:p w:rsidR="007900F6">
      <w:pPr>
        <w:spacing w:line="360" w:lineRule="auto"/>
        <w:ind w:left="850" w:hanging="372" w:leftChars="199" w:hangingChars="155"/>
        <w:contextualSpacing/>
        <w:rPr>
          <w:rFonts w:ascii="宋体" w:hAnsi="宋体"/>
          <w:bCs/>
          <w:color w:val="000000"/>
          <w:szCs w:val="21"/>
        </w:rPr>
      </w:pPr>
      <w:r>
        <w:rPr>
          <w:rFonts w:ascii="宋体" w:hAnsi="宋体" w:hint="eastAsia"/>
          <w:color w:val="000000"/>
          <w:szCs w:val="21"/>
        </w:rPr>
        <w:t>11、现场踏勘：</w:t>
      </w:r>
      <w:r>
        <w:rPr>
          <w:rFonts w:ascii="宋体" w:hAnsi="宋体"/>
          <w:bCs/>
          <w:color w:val="000000"/>
          <w:szCs w:val="21"/>
        </w:rPr>
        <w:t>有踏勘需求的供应商，请自行组织踏勘工程现场（1、工程区域内地貌现状；2、地上地下管、线及设施；3、地下基础情况等）。</w:t>
      </w:r>
    </w:p>
    <w:p w:rsidR="007900F6">
      <w:pPr>
        <w:spacing w:line="360" w:lineRule="auto"/>
        <w:ind w:left="718" w:firstLine="240" w:leftChars="299" w:firstLineChars="100"/>
        <w:contextualSpacing/>
        <w:rPr>
          <w:rFonts w:ascii="宋体" w:hAnsi="宋体"/>
          <w:bCs/>
          <w:color w:val="000000"/>
          <w:szCs w:val="21"/>
        </w:rPr>
      </w:pPr>
      <w:r>
        <w:rPr>
          <w:rFonts w:ascii="宋体" w:hAnsi="宋体" w:hint="eastAsia"/>
          <w:bCs/>
          <w:color w:val="000000"/>
          <w:szCs w:val="21"/>
        </w:rPr>
        <w:t>联系人：张敏    联系电话：</w:t>
      </w:r>
      <w:r>
        <w:rPr>
          <w:rFonts w:ascii="宋体" w:hAnsi="宋体"/>
          <w:bCs/>
          <w:color w:val="000000"/>
          <w:szCs w:val="21"/>
        </w:rPr>
        <w:t>0755-22673603</w:t>
      </w:r>
    </w:p>
    <w:p w:rsidR="007900F6">
      <w:pPr>
        <w:pStyle w:val="Heading2"/>
        <w:keepNext w:val="0"/>
        <w:keepLines w:val="0"/>
        <w:spacing w:before="0" w:after="0" w:line="360" w:lineRule="auto"/>
        <w:contextualSpacing/>
        <w:jc w:val="left"/>
        <w:rPr>
          <w:rFonts w:cs="宋体"/>
          <w:color w:val="000000"/>
          <w:sz w:val="21"/>
          <w:szCs w:val="21"/>
        </w:rPr>
      </w:pPr>
      <w:r>
        <w:rPr>
          <w:rFonts w:cs="宋体" w:hint="eastAsia"/>
          <w:color w:val="000000"/>
          <w:sz w:val="21"/>
          <w:szCs w:val="21"/>
        </w:rPr>
        <w:t>七、对本次招标提出询问，请按</w:t>
      </w:r>
      <w:r>
        <w:rPr>
          <w:rFonts w:cs="宋体"/>
          <w:color w:val="000000"/>
          <w:sz w:val="21"/>
          <w:szCs w:val="21"/>
        </w:rPr>
        <w:t>以下方式</w:t>
      </w:r>
      <w:r>
        <w:rPr>
          <w:rFonts w:cs="宋体" w:hint="eastAsia"/>
          <w:color w:val="000000"/>
          <w:sz w:val="21"/>
          <w:szCs w:val="21"/>
        </w:rPr>
        <w:t>联系。</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1、采购人信息</w:t>
      </w:r>
    </w:p>
    <w:p w:rsidR="007900F6">
      <w:pPr>
        <w:spacing w:line="360" w:lineRule="auto"/>
        <w:ind w:left="850" w:hanging="12" w:leftChars="349" w:hangingChars="5"/>
        <w:contextualSpacing/>
        <w:rPr>
          <w:rFonts w:ascii="宋体" w:hAnsi="宋体"/>
          <w:color w:val="000000"/>
          <w:szCs w:val="21"/>
        </w:rPr>
      </w:pPr>
      <w:r>
        <w:rPr>
          <w:rFonts w:ascii="宋体" w:hAnsi="宋体" w:hint="eastAsia"/>
          <w:color w:val="000000"/>
          <w:szCs w:val="21"/>
        </w:rPr>
        <w:t>名称：香港科技大学深圳研究院</w:t>
      </w:r>
    </w:p>
    <w:p w:rsidR="007900F6">
      <w:pPr>
        <w:spacing w:line="360" w:lineRule="auto"/>
        <w:ind w:left="850" w:hanging="12" w:leftChars="349" w:hangingChars="5"/>
        <w:contextualSpacing/>
        <w:rPr>
          <w:rFonts w:ascii="宋体" w:hAnsi="宋体"/>
          <w:szCs w:val="21"/>
        </w:rPr>
      </w:pPr>
      <w:r>
        <w:rPr>
          <w:rFonts w:ascii="宋体" w:hAnsi="宋体" w:hint="eastAsia"/>
          <w:szCs w:val="21"/>
        </w:rPr>
        <w:t>地址：深圳市南山区粤兴一道9号香港科技大学产学研大楼702</w:t>
      </w:r>
    </w:p>
    <w:p w:rsidR="007900F6">
      <w:pPr>
        <w:spacing w:line="360" w:lineRule="auto"/>
        <w:ind w:left="850" w:hanging="12" w:leftChars="349" w:hangingChars="5"/>
        <w:contextualSpacing/>
        <w:rPr>
          <w:rFonts w:ascii="宋体" w:hAnsi="宋体"/>
          <w:szCs w:val="21"/>
        </w:rPr>
      </w:pPr>
      <w:r>
        <w:rPr>
          <w:rFonts w:ascii="宋体" w:hAnsi="宋体" w:hint="eastAsia"/>
          <w:szCs w:val="21"/>
        </w:rPr>
        <w:t>联系人：陈娜</w:t>
      </w:r>
    </w:p>
    <w:p w:rsidR="007900F6">
      <w:pPr>
        <w:spacing w:line="360" w:lineRule="auto"/>
        <w:ind w:left="850" w:hanging="12" w:leftChars="349" w:hangingChars="5"/>
        <w:contextualSpacing/>
        <w:rPr>
          <w:rFonts w:ascii="宋体" w:hAnsi="宋体"/>
          <w:szCs w:val="21"/>
        </w:rPr>
      </w:pPr>
      <w:r>
        <w:rPr>
          <w:rFonts w:ascii="宋体" w:hAnsi="宋体" w:hint="eastAsia"/>
          <w:szCs w:val="21"/>
        </w:rPr>
        <w:t>联系方式：</w:t>
      </w:r>
      <w:r>
        <w:rPr>
          <w:rFonts w:ascii="宋体" w:hAnsi="宋体"/>
          <w:szCs w:val="21"/>
        </w:rPr>
        <w:t>0755-22673603</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2、代理机构信息</w:t>
      </w:r>
    </w:p>
    <w:p w:rsidR="007900F6">
      <w:pPr>
        <w:spacing w:line="360" w:lineRule="auto"/>
        <w:ind w:left="850" w:hanging="12" w:leftChars="349" w:hangingChars="5"/>
        <w:contextualSpacing/>
        <w:rPr>
          <w:rFonts w:ascii="宋体" w:hAnsi="宋体"/>
          <w:color w:val="000000"/>
          <w:szCs w:val="21"/>
        </w:rPr>
      </w:pPr>
      <w:r>
        <w:rPr>
          <w:rFonts w:ascii="宋体" w:hAnsi="宋体" w:hint="eastAsia"/>
          <w:color w:val="000000"/>
          <w:szCs w:val="21"/>
        </w:rPr>
        <w:t>名称：深圳市国信招标有限公司</w:t>
      </w:r>
    </w:p>
    <w:p w:rsidR="007900F6">
      <w:pPr>
        <w:spacing w:line="360" w:lineRule="auto"/>
        <w:ind w:left="850" w:hanging="12" w:leftChars="349" w:hangingChars="5"/>
        <w:contextualSpacing/>
        <w:rPr>
          <w:rFonts w:ascii="宋体" w:hAnsi="宋体"/>
          <w:color w:val="000000"/>
          <w:szCs w:val="21"/>
        </w:rPr>
      </w:pPr>
      <w:r>
        <w:rPr>
          <w:rFonts w:ascii="宋体" w:hAnsi="宋体" w:hint="eastAsia"/>
          <w:color w:val="000000"/>
          <w:szCs w:val="21"/>
        </w:rPr>
        <w:t>地址：深圳市福田区福田街道福安社区民田路178号华融大厦1007、1008</w:t>
      </w:r>
    </w:p>
    <w:p w:rsidR="007900F6">
      <w:pPr>
        <w:spacing w:line="360" w:lineRule="auto"/>
        <w:ind w:left="850" w:hanging="12" w:leftChars="349" w:hangingChars="5"/>
        <w:contextualSpacing/>
        <w:rPr>
          <w:rFonts w:ascii="宋体" w:hAnsi="宋体"/>
          <w:color w:val="000000"/>
          <w:szCs w:val="21"/>
        </w:rPr>
      </w:pPr>
      <w:r>
        <w:rPr>
          <w:rFonts w:ascii="宋体" w:hAnsi="宋体" w:hint="eastAsia"/>
          <w:color w:val="000000"/>
          <w:szCs w:val="21"/>
        </w:rPr>
        <w:t>联系人：蒙伦飞   何明福</w:t>
      </w:r>
    </w:p>
    <w:p w:rsidR="007900F6">
      <w:pPr>
        <w:spacing w:line="360" w:lineRule="auto"/>
        <w:ind w:left="850" w:hanging="12" w:leftChars="349" w:hangingChars="5"/>
        <w:contextualSpacing/>
        <w:rPr>
          <w:rFonts w:ascii="宋体" w:hAnsi="宋体"/>
          <w:color w:val="000000"/>
          <w:szCs w:val="21"/>
        </w:rPr>
      </w:pPr>
      <w:r>
        <w:rPr>
          <w:rFonts w:ascii="宋体" w:hAnsi="宋体" w:hint="eastAsia"/>
          <w:color w:val="000000"/>
          <w:szCs w:val="21"/>
        </w:rPr>
        <w:t>联系方式：</w:t>
      </w:r>
      <w:r>
        <w:rPr>
          <w:rFonts w:ascii="宋体" w:hAnsi="宋体"/>
          <w:color w:val="000000"/>
          <w:szCs w:val="21"/>
        </w:rPr>
        <w:t>0755-</w:t>
      </w:r>
      <w:r>
        <w:rPr>
          <w:rFonts w:ascii="宋体" w:hAnsi="宋体" w:hint="eastAsia"/>
          <w:color w:val="000000"/>
          <w:szCs w:val="21"/>
        </w:rPr>
        <w:t>23908094</w:t>
      </w:r>
      <w:r>
        <w:rPr>
          <w:rFonts w:ascii="宋体" w:hAnsi="宋体"/>
          <w:color w:val="000000"/>
          <w:szCs w:val="21"/>
        </w:rPr>
        <w:t xml:space="preserve">  </w:t>
      </w:r>
      <w:r>
        <w:rPr>
          <w:rFonts w:ascii="宋体" w:hAnsi="宋体" w:hint="eastAsia"/>
          <w:color w:val="000000"/>
          <w:szCs w:val="21"/>
        </w:rPr>
        <w:t>88916924</w:t>
      </w:r>
    </w:p>
    <w:p w:rsidR="007900F6">
      <w:pPr>
        <w:spacing w:line="360" w:lineRule="auto"/>
        <w:ind w:left="850" w:hanging="372" w:leftChars="199" w:hangingChars="155"/>
        <w:contextualSpacing/>
        <w:rPr>
          <w:rFonts w:ascii="宋体" w:hAnsi="宋体"/>
          <w:color w:val="000000"/>
          <w:szCs w:val="21"/>
        </w:rPr>
      </w:pPr>
      <w:r>
        <w:rPr>
          <w:rFonts w:ascii="宋体" w:hAnsi="宋体" w:hint="eastAsia"/>
          <w:color w:val="000000"/>
          <w:szCs w:val="21"/>
        </w:rPr>
        <w:t>3、项目</w:t>
      </w:r>
      <w:r>
        <w:rPr>
          <w:rFonts w:ascii="宋体" w:hAnsi="宋体"/>
          <w:color w:val="000000"/>
          <w:szCs w:val="21"/>
        </w:rPr>
        <w:t>联系方式</w:t>
      </w:r>
    </w:p>
    <w:p w:rsidR="007900F6">
      <w:pPr>
        <w:spacing w:line="360" w:lineRule="auto"/>
        <w:ind w:left="850" w:hanging="12" w:leftChars="349" w:hangingChars="5"/>
        <w:contextualSpacing/>
        <w:rPr>
          <w:rFonts w:ascii="宋体" w:hAnsi="宋体"/>
          <w:color w:val="000000"/>
          <w:szCs w:val="21"/>
        </w:rPr>
      </w:pPr>
      <w:r>
        <w:rPr>
          <w:rFonts w:ascii="宋体" w:hAnsi="宋体" w:hint="eastAsia"/>
          <w:color w:val="000000"/>
          <w:szCs w:val="21"/>
        </w:rPr>
        <w:t>项目联系人：蒙伦飞   何明福</w:t>
      </w:r>
    </w:p>
    <w:p w:rsidR="007900F6">
      <w:pPr>
        <w:spacing w:line="360" w:lineRule="auto"/>
        <w:ind w:left="850" w:hanging="12" w:leftChars="349" w:hangingChars="5"/>
        <w:contextualSpacing/>
        <w:rPr>
          <w:rFonts w:ascii="宋体" w:hAnsi="宋体"/>
          <w:color w:val="000000"/>
          <w:szCs w:val="21"/>
        </w:rPr>
      </w:pPr>
      <w:r>
        <w:rPr>
          <w:rFonts w:ascii="宋体" w:hAnsi="宋体" w:hint="eastAsia"/>
          <w:color w:val="000000"/>
          <w:szCs w:val="21"/>
        </w:rPr>
        <w:t>电　话：</w:t>
      </w:r>
      <w:r>
        <w:rPr>
          <w:rFonts w:ascii="宋体" w:hAnsi="宋体"/>
          <w:color w:val="000000"/>
          <w:szCs w:val="21"/>
        </w:rPr>
        <w:t>0755-</w:t>
      </w:r>
      <w:r>
        <w:rPr>
          <w:rFonts w:ascii="宋体" w:hAnsi="宋体" w:hint="eastAsia"/>
          <w:color w:val="000000"/>
          <w:szCs w:val="21"/>
        </w:rPr>
        <w:t>23908094</w:t>
      </w:r>
      <w:r>
        <w:rPr>
          <w:rFonts w:ascii="宋体" w:hAnsi="宋体"/>
          <w:color w:val="000000"/>
          <w:szCs w:val="21"/>
        </w:rPr>
        <w:t xml:space="preserve">  </w:t>
      </w:r>
      <w:r>
        <w:rPr>
          <w:rFonts w:ascii="宋体" w:hAnsi="宋体" w:hint="eastAsia"/>
          <w:color w:val="000000"/>
          <w:szCs w:val="21"/>
        </w:rPr>
        <w:t>88916924</w:t>
      </w:r>
    </w:p>
    <w:p w:rsidR="007900F6">
      <w:pPr>
        <w:spacing w:line="360" w:lineRule="auto"/>
        <w:ind w:left="850" w:hanging="12" w:leftChars="349" w:hangingChars="5"/>
        <w:contextualSpacing/>
        <w:rPr>
          <w:rFonts w:ascii="宋体" w:hAnsi="宋体"/>
          <w:color w:val="000000"/>
          <w:szCs w:val="21"/>
        </w:rPr>
      </w:pPr>
      <w:r>
        <w:rPr>
          <w:rFonts w:ascii="宋体" w:hAnsi="宋体" w:hint="eastAsia"/>
          <w:color w:val="000000"/>
          <w:szCs w:val="21"/>
        </w:rPr>
        <w:t>开户银行：中信银行深圳福南支行</w:t>
      </w:r>
    </w:p>
    <w:p w:rsidR="007900F6">
      <w:pPr>
        <w:spacing w:line="360" w:lineRule="auto"/>
        <w:ind w:left="850" w:hanging="12" w:leftChars="349" w:hangingChars="5"/>
        <w:contextualSpacing/>
        <w:rPr>
          <w:rFonts w:ascii="宋体" w:hAnsi="宋体"/>
          <w:color w:val="000000"/>
          <w:szCs w:val="21"/>
        </w:rPr>
      </w:pPr>
      <w:r>
        <w:rPr>
          <w:rFonts w:ascii="宋体" w:hAnsi="宋体" w:hint="eastAsia"/>
          <w:color w:val="000000"/>
          <w:szCs w:val="21"/>
        </w:rPr>
        <w:t>帐户名称：深圳市国信招标有限公司</w:t>
      </w:r>
    </w:p>
    <w:p w:rsidR="007900F6">
      <w:pPr>
        <w:spacing w:line="360" w:lineRule="auto"/>
        <w:ind w:left="850" w:hanging="12" w:leftChars="349" w:hangingChars="5"/>
        <w:contextualSpacing/>
        <w:rPr>
          <w:rFonts w:ascii="宋体" w:hAnsi="宋体"/>
          <w:color w:val="000000"/>
          <w:szCs w:val="21"/>
        </w:rPr>
      </w:pPr>
      <w:r>
        <w:rPr>
          <w:rFonts w:ascii="宋体" w:hAnsi="宋体" w:hint="eastAsia"/>
          <w:color w:val="000000"/>
          <w:szCs w:val="21"/>
        </w:rPr>
        <w:t>账　　号：7441310182600057811</w:t>
      </w:r>
    </w:p>
    <w:p w:rsidR="007900F6">
      <w:pPr>
        <w:snapToGrid w:val="0"/>
        <w:spacing w:line="360" w:lineRule="auto"/>
        <w:ind w:firstLine="480" w:firstLineChars="200"/>
        <w:rPr>
          <w:rFonts w:ascii="宋体" w:hAnsi="宋体"/>
          <w:szCs w:val="21"/>
        </w:rPr>
      </w:pPr>
      <w:r>
        <w:rPr>
          <w:rFonts w:ascii="宋体" w:hAnsi="宋体"/>
          <w:color w:val="000000"/>
          <w:szCs w:val="21"/>
        </w:rPr>
        <w:t>4</w:t>
      </w:r>
      <w:r>
        <w:rPr>
          <w:rFonts w:ascii="宋体" w:hAnsi="宋体" w:hint="eastAsia"/>
          <w:color w:val="000000"/>
          <w:szCs w:val="21"/>
        </w:rPr>
        <w:t>、</w:t>
      </w:r>
      <w:r>
        <w:rPr>
          <w:rFonts w:ascii="宋体" w:hAnsi="宋体" w:hint="eastAsia"/>
          <w:szCs w:val="21"/>
        </w:rPr>
        <w:t>网上操作咨询：</w:t>
      </w:r>
    </w:p>
    <w:p w:rsidR="007900F6">
      <w:pPr>
        <w:snapToGrid w:val="0"/>
        <w:spacing w:line="360" w:lineRule="auto"/>
        <w:ind w:left="720" w:leftChars="300"/>
        <w:rPr>
          <w:rFonts w:ascii="宋体" w:hAnsi="宋体"/>
          <w:szCs w:val="21"/>
        </w:rPr>
      </w:pPr>
      <w:r>
        <w:rPr>
          <w:rFonts w:ascii="宋体" w:hAnsi="宋体" w:hint="eastAsia"/>
          <w:szCs w:val="21"/>
        </w:rPr>
        <w:t xml:space="preserve">系统技术支持、招投标软件技术支持：0755-83938599、0755-83948100、0755-83938584、0755-83203022-805 </w:t>
      </w:r>
    </w:p>
    <w:p w:rsidR="007900F6">
      <w:pPr>
        <w:snapToGrid w:val="0"/>
        <w:spacing w:line="360" w:lineRule="auto"/>
        <w:ind w:left="720" w:leftChars="300"/>
        <w:rPr>
          <w:rFonts w:ascii="宋体" w:hAnsi="宋体"/>
          <w:szCs w:val="21"/>
        </w:rPr>
      </w:pPr>
      <w:r>
        <w:rPr>
          <w:rFonts w:ascii="宋体" w:hAnsi="宋体" w:hint="eastAsia"/>
          <w:szCs w:val="21"/>
        </w:rPr>
        <w:t xml:space="preserve">工作QQ：1945831364、1910036032、2684586951、1272422942 </w:t>
      </w:r>
    </w:p>
    <w:p w:rsidR="007900F6">
      <w:pPr>
        <w:snapToGrid w:val="0"/>
        <w:spacing w:line="360" w:lineRule="auto"/>
        <w:ind w:left="720" w:leftChars="300"/>
        <w:rPr>
          <w:rFonts w:ascii="宋体" w:hAnsi="宋体"/>
          <w:szCs w:val="21"/>
        </w:rPr>
      </w:pPr>
      <w:r>
        <w:rPr>
          <w:rFonts w:ascii="宋体" w:hAnsi="宋体" w:hint="eastAsia"/>
          <w:szCs w:val="21"/>
        </w:rPr>
        <w:t xml:space="preserve">技术支持QQ群：673471913 </w:t>
      </w:r>
    </w:p>
    <w:p w:rsidR="007900F6">
      <w:pPr>
        <w:spacing w:line="360" w:lineRule="auto"/>
        <w:ind w:left="850" w:hanging="372" w:leftChars="199" w:hangingChars="155"/>
        <w:contextualSpacing/>
        <w:rPr>
          <w:rFonts w:ascii="宋体" w:hAnsi="宋体"/>
          <w:color w:val="000000"/>
          <w:szCs w:val="21"/>
        </w:rPr>
      </w:pPr>
    </w:p>
    <w:p w:rsidR="007900F6">
      <w:pPr>
        <w:spacing w:line="360" w:lineRule="auto"/>
        <w:ind w:firstLine="480" w:firstLineChars="200"/>
        <w:contextualSpacing/>
        <w:jc w:val="right"/>
        <w:rPr>
          <w:rFonts w:ascii="宋体" w:hAnsi="宋体" w:cs="宋体"/>
          <w:color w:val="000000"/>
          <w:szCs w:val="21"/>
        </w:rPr>
      </w:pPr>
      <w:r>
        <w:rPr>
          <w:rFonts w:ascii="宋体" w:hAnsi="宋体" w:cs="宋体"/>
          <w:color w:val="000000"/>
          <w:szCs w:val="21"/>
        </w:rPr>
        <w:t>深圳市国信招标有限公司</w:t>
        <w:br/>
      </w:r>
      <w:r>
        <w:rPr>
          <w:rFonts w:ascii="宋体" w:hAnsi="宋体" w:cs="宋体" w:hint="eastAsia"/>
          <w:color w:val="000000"/>
          <w:szCs w:val="21"/>
        </w:rPr>
        <w:t xml:space="preserve"> </w:t>
      </w:r>
      <w:r w:rsidRPr="00B07D8A" w:rsidR="00B94935">
        <w:rPr>
          <w:rFonts w:ascii="宋体" w:hAnsi="宋体" w:cs="宋体"/>
          <w:color w:val="000000"/>
          <w:szCs w:val="21"/>
        </w:rPr>
        <w:t xml:space="preserve"> </w:t>
      </w:r>
      <w:r w:rsidRPr="00E80DD0" w:rsidR="00B94935">
        <w:rPr>
          <w:rFonts w:ascii="宋体" w:hAnsi="宋体" w:cs="宋体"/>
          <w:color w:val="000000"/>
          <w:szCs w:val="21"/>
          <w:highlight w:val="yellow"/>
        </w:rPr>
        <w:t>202</w:t>
      </w:r>
      <w:r w:rsidR="00B94935">
        <w:rPr>
          <w:rFonts w:ascii="宋体" w:hAnsi="宋体" w:cs="宋体"/>
          <w:color w:val="000000"/>
          <w:szCs w:val="21"/>
          <w:highlight w:val="yellow"/>
        </w:rPr>
        <w:t>2</w:t>
      </w:r>
      <w:r w:rsidRPr="00E80DD0" w:rsidR="00B94935">
        <w:rPr>
          <w:rFonts w:ascii="宋体" w:hAnsi="宋体" w:cs="宋体" w:hint="eastAsia"/>
          <w:color w:val="000000"/>
          <w:szCs w:val="21"/>
          <w:highlight w:val="yellow"/>
        </w:rPr>
        <w:t>年</w:t>
      </w:r>
      <w:r w:rsidR="00B94935">
        <w:rPr>
          <w:rFonts w:ascii="宋体" w:hAnsi="宋体" w:cs="宋体"/>
          <w:color w:val="000000"/>
          <w:szCs w:val="21"/>
          <w:highlight w:val="yellow"/>
        </w:rPr>
        <w:t>06</w:t>
      </w:r>
      <w:r w:rsidRPr="00E80DD0" w:rsidR="00B94935">
        <w:rPr>
          <w:rFonts w:ascii="宋体" w:hAnsi="宋体" w:cs="宋体" w:hint="eastAsia"/>
          <w:color w:val="000000"/>
          <w:szCs w:val="21"/>
          <w:highlight w:val="yellow"/>
        </w:rPr>
        <w:t>月</w:t>
      </w:r>
      <w:r w:rsidR="00B94935">
        <w:rPr>
          <w:rFonts w:ascii="宋体" w:hAnsi="宋体" w:cs="宋体"/>
          <w:color w:val="000000"/>
          <w:szCs w:val="21"/>
          <w:highlight w:val="yellow"/>
        </w:rPr>
        <w:t>23</w:t>
      </w:r>
      <w:r w:rsidRPr="00E80DD0" w:rsidR="00B94935">
        <w:rPr>
          <w:rFonts w:ascii="宋体" w:hAnsi="宋体" w:cs="宋体" w:hint="eastAsia"/>
          <w:color w:val="000000"/>
          <w:szCs w:val="21"/>
          <w:highlight w:val="yellow"/>
        </w:rPr>
        <w:t>日</w:t>
      </w:r>
    </w:p>
    <w:p w:rsidR="007900F6">
      <w:pPr>
        <w:widowControl/>
        <w:spacing w:line="360" w:lineRule="auto"/>
        <w:contextualSpacing/>
        <w:jc w:val="left"/>
        <w:rPr>
          <w:rFonts w:ascii="宋体" w:hAnsi="宋体"/>
          <w:b/>
          <w:bCs/>
          <w:color w:val="000000"/>
          <w:kern w:val="0"/>
          <w:sz w:val="24"/>
          <w:szCs w:val="20"/>
        </w:rPr>
      </w:pPr>
      <w:bookmarkStart w:id="0" w:name="_Toc128884461"/>
      <w:r>
        <w:rPr>
          <w:color w:val="000000"/>
        </w:rPr>
        <w:br w:type="page"/>
      </w:r>
    </w:p>
    <w:p w:rsidR="007900F6">
      <w:pPr>
        <w:pStyle w:val="Heading2"/>
        <w:spacing w:before="0" w:after="0" w:line="360" w:lineRule="auto"/>
        <w:contextualSpacing/>
        <w:rPr>
          <w:color w:val="000000"/>
        </w:rPr>
      </w:pPr>
      <w:r>
        <w:rPr>
          <w:rFonts w:hint="eastAsia"/>
          <w:color w:val="000000"/>
        </w:rPr>
        <w:t>第二章  招标项目需求</w:t>
      </w:r>
    </w:p>
    <w:p w:rsidR="007900F6">
      <w:pPr>
        <w:pStyle w:val="Heading2"/>
        <w:keepNext w:val="0"/>
        <w:keepLines w:val="0"/>
        <w:spacing w:before="0" w:after="0" w:line="360" w:lineRule="auto"/>
        <w:contextualSpacing/>
        <w:jc w:val="left"/>
        <w:rPr>
          <w:rFonts w:cs="宋体"/>
          <w:color w:val="000000"/>
          <w:sz w:val="21"/>
          <w:szCs w:val="21"/>
        </w:rPr>
      </w:pPr>
      <w:bookmarkStart w:id="1" w:name="_Toc73518117"/>
      <w:bookmarkStart w:id="2" w:name="_Toc73521635"/>
      <w:bookmarkStart w:id="3" w:name="_Toc73521547"/>
      <w:bookmarkStart w:id="4" w:name="_Toc60560625"/>
      <w:bookmarkStart w:id="5" w:name="_Toc60631620"/>
      <w:bookmarkStart w:id="6" w:name="_Toc100052364"/>
      <w:bookmarkStart w:id="7" w:name="_Toc73517639"/>
      <w:bookmarkStart w:id="8" w:name="_Toc101074876"/>
      <w:r>
        <w:rPr>
          <w:rFonts w:cs="宋体" w:hint="eastAsia"/>
          <w:color w:val="000000"/>
          <w:sz w:val="21"/>
          <w:szCs w:val="21"/>
        </w:rPr>
        <w:t>一、对通用条款的补充内容</w:t>
      </w:r>
    </w:p>
    <w:tbl>
      <w:tblPr>
        <w:tblStyle w:val="TableNormal"/>
        <w:tblW w:w="822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6"/>
        <w:gridCol w:w="2272"/>
        <w:gridCol w:w="5311"/>
      </w:tblGrid>
      <w:tr>
        <w:tblPrEx>
          <w:tblW w:w="822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20"/>
          <w:jc w:val="center"/>
        </w:trPr>
        <w:tc>
          <w:tcPr>
            <w:tcW w:w="646" w:type="dxa"/>
            <w:vAlign w:val="center"/>
          </w:tcPr>
          <w:p w:rsidR="007900F6">
            <w:pPr>
              <w:snapToGrid w:val="0"/>
              <w:spacing w:line="360" w:lineRule="auto"/>
              <w:contextualSpacing/>
              <w:jc w:val="center"/>
              <w:rPr>
                <w:rFonts w:ascii="宋体" w:hAnsi="宋体"/>
                <w:b/>
                <w:bCs/>
                <w:color w:val="000000"/>
              </w:rPr>
            </w:pPr>
            <w:bookmarkEnd w:id="1"/>
            <w:bookmarkEnd w:id="2"/>
            <w:bookmarkEnd w:id="3"/>
            <w:bookmarkEnd w:id="4"/>
            <w:bookmarkEnd w:id="5"/>
            <w:bookmarkEnd w:id="6"/>
            <w:bookmarkEnd w:id="7"/>
            <w:bookmarkEnd w:id="8"/>
            <w:r>
              <w:rPr>
                <w:rFonts w:ascii="宋体" w:hAnsi="宋体" w:hint="eastAsia"/>
                <w:b/>
                <w:bCs/>
                <w:color w:val="000000"/>
              </w:rPr>
              <w:t>序号</w:t>
            </w:r>
          </w:p>
        </w:tc>
        <w:tc>
          <w:tcPr>
            <w:tcW w:w="2272" w:type="dxa"/>
            <w:vAlign w:val="center"/>
          </w:tcPr>
          <w:p w:rsidR="007900F6">
            <w:pPr>
              <w:snapToGrid w:val="0"/>
              <w:spacing w:line="360" w:lineRule="auto"/>
              <w:contextualSpacing/>
              <w:jc w:val="center"/>
              <w:rPr>
                <w:rFonts w:ascii="宋体" w:hAnsi="宋体"/>
                <w:b/>
                <w:bCs/>
                <w:color w:val="000000"/>
              </w:rPr>
            </w:pPr>
            <w:r>
              <w:rPr>
                <w:rFonts w:ascii="宋体" w:hAnsi="宋体" w:hint="eastAsia"/>
                <w:b/>
                <w:bCs/>
                <w:color w:val="000000"/>
              </w:rPr>
              <w:t>内   容</w:t>
            </w:r>
          </w:p>
        </w:tc>
        <w:tc>
          <w:tcPr>
            <w:tcW w:w="5311" w:type="dxa"/>
            <w:vAlign w:val="center"/>
          </w:tcPr>
          <w:p w:rsidR="007900F6">
            <w:pPr>
              <w:snapToGrid w:val="0"/>
              <w:spacing w:line="360" w:lineRule="auto"/>
              <w:contextualSpacing/>
              <w:jc w:val="center"/>
              <w:rPr>
                <w:rFonts w:ascii="宋体" w:hAnsi="宋体"/>
                <w:b/>
                <w:bCs/>
                <w:color w:val="000000"/>
              </w:rPr>
            </w:pPr>
            <w:r>
              <w:rPr>
                <w:rFonts w:ascii="宋体" w:hAnsi="宋体" w:hint="eastAsia"/>
                <w:b/>
                <w:bCs/>
                <w:color w:val="000000"/>
              </w:rPr>
              <w:t>规      定</w:t>
            </w:r>
          </w:p>
        </w:tc>
      </w:tr>
      <w:tr>
        <w:tblPrEx>
          <w:tblW w:w="8229" w:type="dxa"/>
          <w:jc w:val="center"/>
          <w:tblInd w:w="0" w:type="dxa"/>
          <w:tblLook w:val="0000"/>
        </w:tblPrEx>
        <w:trPr>
          <w:cantSplit/>
          <w:trHeight w:val="20"/>
          <w:jc w:val="center"/>
        </w:trPr>
        <w:tc>
          <w:tcPr>
            <w:tcW w:w="646" w:type="dxa"/>
            <w:vAlign w:val="center"/>
          </w:tcPr>
          <w:p w:rsidR="007900F6">
            <w:pPr>
              <w:snapToGrid w:val="0"/>
              <w:spacing w:line="360" w:lineRule="auto"/>
              <w:contextualSpacing/>
              <w:jc w:val="center"/>
              <w:rPr>
                <w:rFonts w:ascii="宋体" w:hAnsi="宋体"/>
                <w:color w:val="000000"/>
              </w:rPr>
            </w:pPr>
            <w:r>
              <w:rPr>
                <w:rFonts w:ascii="宋体" w:hAnsi="宋体" w:hint="eastAsia"/>
                <w:color w:val="000000"/>
              </w:rPr>
              <w:t>1</w:t>
            </w:r>
          </w:p>
        </w:tc>
        <w:tc>
          <w:tcPr>
            <w:tcW w:w="2272" w:type="dxa"/>
            <w:vAlign w:val="center"/>
          </w:tcPr>
          <w:p w:rsidR="007900F6">
            <w:pPr>
              <w:snapToGrid w:val="0"/>
              <w:spacing w:line="360" w:lineRule="auto"/>
              <w:contextualSpacing/>
              <w:rPr>
                <w:color w:val="000000"/>
              </w:rPr>
            </w:pPr>
            <w:r>
              <w:rPr>
                <w:rFonts w:hint="eastAsia"/>
                <w:color w:val="000000"/>
              </w:rPr>
              <w:t>联合体投标</w:t>
            </w:r>
          </w:p>
        </w:tc>
        <w:tc>
          <w:tcPr>
            <w:tcW w:w="5311" w:type="dxa"/>
            <w:vAlign w:val="center"/>
          </w:tcPr>
          <w:p w:rsidR="007900F6">
            <w:pPr>
              <w:snapToGrid w:val="0"/>
              <w:spacing w:line="360" w:lineRule="auto"/>
              <w:contextualSpacing/>
              <w:rPr>
                <w:rFonts w:ascii="宋体" w:hAnsi="宋体"/>
                <w:snapToGrid w:val="0"/>
                <w:color w:val="000000"/>
                <w:kern w:val="0"/>
                <w:szCs w:val="32"/>
                <w:u w:val="single"/>
                <w:lang w:val="zh-CN"/>
              </w:rPr>
            </w:pPr>
            <w:r>
              <w:rPr>
                <w:rFonts w:ascii="宋体" w:hAnsi="宋体" w:hint="eastAsia"/>
                <w:snapToGrid w:val="0"/>
                <w:color w:val="000000"/>
                <w:kern w:val="0"/>
                <w:szCs w:val="32"/>
                <w:u w:val="single"/>
                <w:lang w:val="zh-CN"/>
              </w:rPr>
              <w:t>见《招标公告》中“投标人资格要求”部分的相关内容</w:t>
            </w:r>
          </w:p>
        </w:tc>
      </w:tr>
      <w:tr>
        <w:tblPrEx>
          <w:tblW w:w="8229" w:type="dxa"/>
          <w:jc w:val="center"/>
          <w:tblInd w:w="0" w:type="dxa"/>
          <w:tblLook w:val="0000"/>
        </w:tblPrEx>
        <w:trPr>
          <w:cantSplit/>
          <w:trHeight w:val="20"/>
          <w:jc w:val="center"/>
        </w:trPr>
        <w:tc>
          <w:tcPr>
            <w:tcW w:w="646" w:type="dxa"/>
            <w:vAlign w:val="center"/>
          </w:tcPr>
          <w:p w:rsidR="007900F6">
            <w:pPr>
              <w:snapToGrid w:val="0"/>
              <w:spacing w:line="360" w:lineRule="auto"/>
              <w:contextualSpacing/>
              <w:jc w:val="center"/>
              <w:rPr>
                <w:rFonts w:ascii="宋体" w:hAnsi="宋体"/>
                <w:color w:val="000000"/>
              </w:rPr>
            </w:pPr>
            <w:r>
              <w:rPr>
                <w:rFonts w:ascii="宋体" w:hAnsi="宋体" w:hint="eastAsia"/>
                <w:color w:val="000000"/>
              </w:rPr>
              <w:t>2</w:t>
            </w:r>
          </w:p>
        </w:tc>
        <w:tc>
          <w:tcPr>
            <w:tcW w:w="2272" w:type="dxa"/>
            <w:vAlign w:val="center"/>
          </w:tcPr>
          <w:p w:rsidR="007900F6">
            <w:pPr>
              <w:snapToGrid w:val="0"/>
              <w:spacing w:line="360" w:lineRule="auto"/>
              <w:contextualSpacing/>
              <w:rPr>
                <w:rFonts w:ascii="宋体" w:hAnsi="宋体"/>
                <w:color w:val="000000"/>
              </w:rPr>
            </w:pPr>
            <w:r>
              <w:rPr>
                <w:rFonts w:ascii="宋体" w:hAnsi="宋体" w:hint="eastAsia"/>
                <w:color w:val="000000"/>
              </w:rPr>
              <w:t>投标有效期</w:t>
            </w:r>
          </w:p>
        </w:tc>
        <w:tc>
          <w:tcPr>
            <w:tcW w:w="5311" w:type="dxa"/>
            <w:vAlign w:val="center"/>
          </w:tcPr>
          <w:p w:rsidR="007900F6">
            <w:pPr>
              <w:snapToGrid w:val="0"/>
              <w:spacing w:line="360" w:lineRule="auto"/>
              <w:contextualSpacing/>
              <w:rPr>
                <w:rFonts w:ascii="宋体" w:hAnsi="宋体"/>
                <w:color w:val="000000"/>
              </w:rPr>
            </w:pPr>
            <w:r>
              <w:rPr>
                <w:rFonts w:ascii="宋体" w:hAnsi="宋体" w:hint="eastAsia"/>
                <w:color w:val="000000"/>
                <w:u w:val="single"/>
              </w:rPr>
              <w:t>120</w:t>
            </w:r>
            <w:r>
              <w:rPr>
                <w:rFonts w:ascii="宋体" w:hAnsi="宋体"/>
                <w:color w:val="000000"/>
                <w:u w:val="single"/>
              </w:rPr>
              <w:t>日历天</w:t>
            </w:r>
            <w:r>
              <w:rPr>
                <w:rFonts w:ascii="宋体" w:hAnsi="宋体"/>
                <w:color w:val="000000"/>
              </w:rPr>
              <w:t>（从投标截止之日算起）</w:t>
            </w:r>
          </w:p>
        </w:tc>
      </w:tr>
      <w:tr>
        <w:tblPrEx>
          <w:tblW w:w="8229" w:type="dxa"/>
          <w:jc w:val="center"/>
          <w:tblInd w:w="0" w:type="dxa"/>
          <w:tblLook w:val="0000"/>
        </w:tblPrEx>
        <w:trPr>
          <w:cantSplit/>
          <w:trHeight w:val="20"/>
          <w:jc w:val="center"/>
        </w:trPr>
        <w:tc>
          <w:tcPr>
            <w:tcW w:w="646" w:type="dxa"/>
            <w:vAlign w:val="center"/>
          </w:tcPr>
          <w:p w:rsidR="007900F6">
            <w:pPr>
              <w:snapToGrid w:val="0"/>
              <w:spacing w:line="360" w:lineRule="auto"/>
              <w:contextualSpacing/>
              <w:jc w:val="center"/>
              <w:rPr>
                <w:rFonts w:ascii="宋体" w:hAnsi="宋体"/>
                <w:color w:val="000000"/>
              </w:rPr>
            </w:pPr>
            <w:r>
              <w:rPr>
                <w:rFonts w:ascii="宋体" w:hAnsi="宋体" w:hint="eastAsia"/>
                <w:color w:val="000000"/>
              </w:rPr>
              <w:t>3</w:t>
            </w:r>
          </w:p>
        </w:tc>
        <w:tc>
          <w:tcPr>
            <w:tcW w:w="2272" w:type="dxa"/>
            <w:vAlign w:val="center"/>
          </w:tcPr>
          <w:p w:rsidR="007900F6">
            <w:pPr>
              <w:snapToGrid w:val="0"/>
              <w:spacing w:line="360" w:lineRule="auto"/>
              <w:contextualSpacing/>
              <w:rPr>
                <w:rFonts w:ascii="宋体" w:hAnsi="宋体"/>
                <w:color w:val="000000"/>
              </w:rPr>
            </w:pPr>
            <w:r>
              <w:rPr>
                <w:rFonts w:ascii="宋体" w:hAnsi="宋体" w:hint="eastAsia"/>
                <w:color w:val="000000"/>
              </w:rPr>
              <w:t>投标人的替代方案</w:t>
            </w:r>
          </w:p>
        </w:tc>
        <w:tc>
          <w:tcPr>
            <w:tcW w:w="5311" w:type="dxa"/>
            <w:vAlign w:val="center"/>
          </w:tcPr>
          <w:p w:rsidR="007900F6">
            <w:pPr>
              <w:snapToGrid w:val="0"/>
              <w:spacing w:line="360" w:lineRule="auto"/>
              <w:contextualSpacing/>
              <w:rPr>
                <w:rFonts w:ascii="宋体" w:hAnsi="宋体"/>
                <w:color w:val="000000"/>
              </w:rPr>
            </w:pPr>
            <w:r>
              <w:rPr>
                <w:rFonts w:ascii="宋体" w:hAnsi="宋体" w:hint="eastAsia"/>
                <w:color w:val="000000"/>
              </w:rPr>
              <w:t>不允许</w:t>
            </w:r>
          </w:p>
        </w:tc>
      </w:tr>
      <w:tr>
        <w:tblPrEx>
          <w:tblW w:w="8229" w:type="dxa"/>
          <w:jc w:val="center"/>
          <w:tblInd w:w="0" w:type="dxa"/>
          <w:tblLook w:val="0000"/>
        </w:tblPrEx>
        <w:trPr>
          <w:cantSplit/>
          <w:trHeight w:val="20"/>
          <w:jc w:val="center"/>
        </w:trPr>
        <w:tc>
          <w:tcPr>
            <w:tcW w:w="646" w:type="dxa"/>
            <w:vAlign w:val="center"/>
          </w:tcPr>
          <w:p w:rsidR="007900F6">
            <w:pPr>
              <w:snapToGrid w:val="0"/>
              <w:spacing w:line="360" w:lineRule="auto"/>
              <w:contextualSpacing/>
              <w:jc w:val="center"/>
              <w:rPr>
                <w:rFonts w:ascii="宋体" w:hAnsi="宋体"/>
                <w:color w:val="000000"/>
              </w:rPr>
            </w:pPr>
            <w:r>
              <w:rPr>
                <w:rFonts w:ascii="宋体" w:hAnsi="宋体" w:hint="eastAsia"/>
                <w:color w:val="000000"/>
              </w:rPr>
              <w:t>4</w:t>
            </w:r>
          </w:p>
        </w:tc>
        <w:tc>
          <w:tcPr>
            <w:tcW w:w="2272" w:type="dxa"/>
            <w:vAlign w:val="center"/>
          </w:tcPr>
          <w:p w:rsidR="007900F6">
            <w:pPr>
              <w:snapToGrid w:val="0"/>
              <w:spacing w:line="360" w:lineRule="auto"/>
              <w:contextualSpacing/>
              <w:rPr>
                <w:rFonts w:ascii="宋体" w:hAnsi="宋体"/>
                <w:color w:val="000000"/>
              </w:rPr>
            </w:pPr>
            <w:r>
              <w:rPr>
                <w:rFonts w:ascii="宋体" w:hAnsi="宋体" w:hint="eastAsia"/>
                <w:color w:val="000000"/>
              </w:rPr>
              <w:t>投标文件的投递</w:t>
            </w:r>
          </w:p>
        </w:tc>
        <w:tc>
          <w:tcPr>
            <w:tcW w:w="5311" w:type="dxa"/>
            <w:vAlign w:val="center"/>
          </w:tcPr>
          <w:p w:rsidR="007900F6">
            <w:pPr>
              <w:wordWrap w:val="0"/>
              <w:snapToGrid w:val="0"/>
              <w:spacing w:line="360" w:lineRule="auto"/>
              <w:contextualSpacing/>
              <w:rPr>
                <w:rFonts w:ascii="宋体" w:hAnsi="宋体"/>
                <w:color w:val="000000"/>
              </w:rPr>
            </w:pPr>
            <w:r>
              <w:rPr>
                <w:rFonts w:ascii="宋体" w:hAnsi="宋体" w:hint="eastAsia"/>
                <w:color w:val="000000"/>
              </w:rPr>
              <w:t>本项目实行网上投标，</w:t>
            </w:r>
            <w:r>
              <w:rPr>
                <w:rFonts w:ascii="宋体" w:hAnsi="宋体" w:hint="eastAsia"/>
                <w:bCs/>
                <w:color w:val="000000"/>
              </w:rPr>
              <w:t>登录“深圳政府采购智慧平台用户网上办事子系统（http://zfcg.szggzy.com:8081/TPBidder/memberLogin）”，用“【我的项目】→【项目流程】→【递交投标(应答)文件】”功能点上传投标文件。本项目电子投标文件最大容量为100MB，超过此容量的文件将被拒绝。</w:t>
            </w:r>
          </w:p>
        </w:tc>
      </w:tr>
      <w:tr>
        <w:tblPrEx>
          <w:tblW w:w="8229" w:type="dxa"/>
          <w:jc w:val="center"/>
          <w:tblInd w:w="0" w:type="dxa"/>
          <w:tblLook w:val="0000"/>
        </w:tblPrEx>
        <w:trPr>
          <w:cantSplit/>
          <w:trHeight w:val="20"/>
          <w:jc w:val="center"/>
        </w:trPr>
        <w:tc>
          <w:tcPr>
            <w:tcW w:w="646" w:type="dxa"/>
            <w:vAlign w:val="center"/>
          </w:tcPr>
          <w:p w:rsidR="007900F6">
            <w:pPr>
              <w:snapToGrid w:val="0"/>
              <w:spacing w:line="360" w:lineRule="auto"/>
              <w:contextualSpacing/>
              <w:jc w:val="center"/>
              <w:rPr>
                <w:rFonts w:ascii="宋体" w:hAnsi="宋体"/>
                <w:color w:val="000000"/>
              </w:rPr>
            </w:pPr>
            <w:r>
              <w:rPr>
                <w:rFonts w:ascii="宋体" w:hAnsi="宋体" w:hint="eastAsia"/>
                <w:color w:val="000000"/>
              </w:rPr>
              <w:t>5</w:t>
            </w:r>
          </w:p>
        </w:tc>
        <w:tc>
          <w:tcPr>
            <w:tcW w:w="2272" w:type="dxa"/>
            <w:vAlign w:val="center"/>
          </w:tcPr>
          <w:p w:rsidR="007900F6">
            <w:pPr>
              <w:snapToGrid w:val="0"/>
              <w:spacing w:line="360" w:lineRule="auto"/>
              <w:contextualSpacing/>
              <w:rPr>
                <w:rFonts w:ascii="宋体" w:hAnsi="宋体"/>
              </w:rPr>
            </w:pPr>
            <w:r>
              <w:rPr>
                <w:rFonts w:ascii="宋体" w:hAnsi="宋体" w:hint="eastAsia"/>
              </w:rPr>
              <w:t>履约保证金</w:t>
            </w:r>
          </w:p>
        </w:tc>
        <w:tc>
          <w:tcPr>
            <w:tcW w:w="5311" w:type="dxa"/>
            <w:vAlign w:val="center"/>
          </w:tcPr>
          <w:p w:rsidR="007900F6">
            <w:pPr>
              <w:snapToGrid w:val="0"/>
              <w:spacing w:line="360" w:lineRule="auto"/>
              <w:contextualSpacing/>
              <w:rPr>
                <w:rFonts w:ascii="宋体" w:hAnsi="宋体"/>
                <w:u w:val="single"/>
              </w:rPr>
            </w:pPr>
            <w:r>
              <w:rPr>
                <w:rFonts w:hint="eastAsia"/>
              </w:rPr>
              <w:t>无</w:t>
            </w:r>
          </w:p>
        </w:tc>
      </w:tr>
    </w:tbl>
    <w:p w:rsidR="007900F6">
      <w:pPr>
        <w:spacing w:line="360" w:lineRule="auto"/>
        <w:contextualSpacing/>
        <w:rPr>
          <w:b/>
          <w:color w:val="000000"/>
        </w:rPr>
      </w:pPr>
      <w:r>
        <w:rPr>
          <w:rFonts w:hint="eastAsia"/>
          <w:color w:val="000000"/>
          <w:szCs w:val="21"/>
        </w:rPr>
        <w:t>备注：本表为通用条款相关内容的补充和明确，如与通用条款相冲突的以本表为准。</w:t>
      </w:r>
    </w:p>
    <w:p w:rsidR="007900F6">
      <w:pPr>
        <w:pStyle w:val="Heading2"/>
        <w:keepNext w:val="0"/>
        <w:keepLines w:val="0"/>
        <w:spacing w:before="0" w:after="0" w:line="360" w:lineRule="auto"/>
        <w:contextualSpacing/>
        <w:jc w:val="left"/>
        <w:rPr>
          <w:rFonts w:cs="宋体"/>
          <w:color w:val="000000"/>
          <w:sz w:val="21"/>
          <w:szCs w:val="21"/>
        </w:rPr>
      </w:pPr>
      <w:r>
        <w:rPr>
          <w:rFonts w:cs="宋体" w:hint="eastAsia"/>
          <w:color w:val="000000"/>
          <w:sz w:val="21"/>
          <w:szCs w:val="21"/>
        </w:rPr>
        <w:t>二、实质性响应条款</w:t>
      </w:r>
      <w:r>
        <w:rPr>
          <w:rFonts w:ascii="黑体" w:eastAsia="黑体" w:hAnsi="黑体" w:cs="宋体" w:hint="eastAsia"/>
          <w:color w:val="000000"/>
          <w:sz w:val="21"/>
          <w:szCs w:val="21"/>
          <w:highlight w:val="red"/>
        </w:rPr>
        <w:t>（带“</w:t>
      </w:r>
      <w:r>
        <w:rPr>
          <w:rFonts w:ascii="黑体" w:eastAsia="黑体" w:hAnsi="黑体" w:cs="Segoe UI Symbol"/>
          <w:sz w:val="21"/>
          <w:szCs w:val="21"/>
          <w:highlight w:val="red"/>
        </w:rPr>
        <w:t>★”条款为重要商务条款，不满足</w:t>
      </w:r>
      <w:r>
        <w:rPr>
          <w:rFonts w:ascii="黑体" w:eastAsia="黑体" w:hAnsi="黑体" w:cs="Segoe UI Symbol" w:hint="eastAsia"/>
          <w:sz w:val="21"/>
          <w:szCs w:val="21"/>
          <w:highlight w:val="red"/>
        </w:rPr>
        <w:t>将</w:t>
      </w:r>
      <w:r>
        <w:rPr>
          <w:rFonts w:ascii="黑体" w:eastAsia="黑体" w:hAnsi="黑体" w:cs="Segoe UI Symbol"/>
          <w:sz w:val="21"/>
          <w:szCs w:val="21"/>
          <w:highlight w:val="red"/>
        </w:rPr>
        <w:t>废标）</w:t>
      </w:r>
    </w:p>
    <w:tbl>
      <w:tblPr>
        <w:tblStyle w:val="TableNormal"/>
        <w:tblW w:w="818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7483"/>
      </w:tblGrid>
      <w:tr>
        <w:tblPrEx>
          <w:tblW w:w="818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705" w:type="dxa"/>
          </w:tcPr>
          <w:p w:rsidR="007900F6">
            <w:pPr>
              <w:snapToGrid w:val="0"/>
              <w:spacing w:line="360" w:lineRule="auto"/>
              <w:jc w:val="center"/>
              <w:rPr>
                <w:rFonts w:ascii="宋体" w:hAnsi="宋体"/>
                <w:b/>
                <w:bCs/>
                <w:color w:val="000000"/>
              </w:rPr>
            </w:pPr>
            <w:r>
              <w:rPr>
                <w:rFonts w:ascii="宋体" w:hAnsi="宋体" w:hint="eastAsia"/>
                <w:b/>
                <w:bCs/>
                <w:color w:val="000000"/>
              </w:rPr>
              <w:t>序号</w:t>
            </w:r>
          </w:p>
        </w:tc>
        <w:tc>
          <w:tcPr>
            <w:tcW w:w="7483" w:type="dxa"/>
          </w:tcPr>
          <w:p w:rsidR="007900F6">
            <w:pPr>
              <w:snapToGrid w:val="0"/>
              <w:spacing w:line="360" w:lineRule="auto"/>
              <w:jc w:val="center"/>
              <w:rPr>
                <w:rFonts w:ascii="宋体" w:hAnsi="宋体"/>
                <w:b/>
                <w:bCs/>
                <w:color w:val="000000"/>
              </w:rPr>
            </w:pPr>
            <w:r>
              <w:rPr>
                <w:rFonts w:ascii="宋体" w:hAnsi="宋体" w:hint="eastAsia"/>
                <w:b/>
                <w:bCs/>
                <w:color w:val="000000"/>
              </w:rPr>
              <w:t>具体内容</w:t>
            </w:r>
          </w:p>
        </w:tc>
      </w:tr>
      <w:tr>
        <w:tblPrEx>
          <w:tblW w:w="8188" w:type="dxa"/>
          <w:jc w:val="center"/>
          <w:tblInd w:w="0" w:type="dxa"/>
          <w:tblLayout w:type="fixed"/>
          <w:tblLook w:val="0000"/>
        </w:tblPrEx>
        <w:trPr>
          <w:jc w:val="center"/>
        </w:trPr>
        <w:tc>
          <w:tcPr>
            <w:tcW w:w="705" w:type="dxa"/>
          </w:tcPr>
          <w:p w:rsidR="007900F6">
            <w:pPr>
              <w:snapToGrid w:val="0"/>
              <w:spacing w:line="360" w:lineRule="auto"/>
              <w:rPr>
                <w:rFonts w:ascii="宋体" w:hAnsi="宋体"/>
                <w:color w:val="000000"/>
              </w:rPr>
            </w:pPr>
            <w:r>
              <w:rPr>
                <w:rFonts w:ascii="宋体" w:hAnsi="宋体" w:hint="eastAsia"/>
                <w:color w:val="000000"/>
              </w:rPr>
              <w:t>1</w:t>
            </w:r>
          </w:p>
        </w:tc>
        <w:tc>
          <w:tcPr>
            <w:tcW w:w="7483" w:type="dxa"/>
          </w:tcPr>
          <w:p w:rsidR="007900F6">
            <w:pPr>
              <w:tabs>
                <w:tab w:val="left" w:pos="5289"/>
              </w:tabs>
              <w:snapToGrid w:val="0"/>
              <w:spacing w:line="360" w:lineRule="auto"/>
              <w:rPr>
                <w:rFonts w:ascii="宋体" w:hAnsi="宋体"/>
                <w:bCs/>
                <w:szCs w:val="21"/>
              </w:rPr>
            </w:pPr>
            <w:r>
              <w:rPr>
                <w:rFonts w:ascii="宋体" w:hAnsi="宋体" w:cs="Segoe UI Symbol"/>
                <w:szCs w:val="21"/>
              </w:rPr>
              <w:t>★</w:t>
            </w:r>
            <w:r>
              <w:rPr>
                <w:rFonts w:ascii="宋体" w:hAnsi="宋体"/>
                <w:bCs/>
                <w:szCs w:val="21"/>
              </w:rPr>
              <w:t>项目工期要求:</w:t>
            </w:r>
          </w:p>
          <w:p w:rsidR="007900F6">
            <w:pPr>
              <w:tabs>
                <w:tab w:val="left" w:pos="5289"/>
              </w:tabs>
              <w:snapToGrid w:val="0"/>
              <w:spacing w:line="360" w:lineRule="auto"/>
              <w:rPr>
                <w:rFonts w:ascii="宋体" w:hAnsi="宋体"/>
                <w:bCs/>
                <w:szCs w:val="21"/>
              </w:rPr>
            </w:pPr>
            <w:r>
              <w:rPr>
                <w:rFonts w:ascii="宋体" w:hAnsi="宋体"/>
                <w:bCs/>
                <w:szCs w:val="21"/>
              </w:rPr>
              <w:t>（1）计划开工日期：合同签订后3个工作日内（具体开工时间以监理单位发布的开工令为准）。</w:t>
            </w:r>
          </w:p>
          <w:p w:rsidR="007900F6">
            <w:pPr>
              <w:tabs>
                <w:tab w:val="left" w:pos="5289"/>
              </w:tabs>
              <w:snapToGrid w:val="0"/>
              <w:spacing w:line="360" w:lineRule="auto"/>
              <w:rPr>
                <w:rFonts w:ascii="宋体" w:hAnsi="宋体"/>
                <w:bCs/>
                <w:szCs w:val="21"/>
              </w:rPr>
            </w:pPr>
            <w:r>
              <w:rPr>
                <w:rFonts w:ascii="宋体" w:hAnsi="宋体"/>
                <w:bCs/>
                <w:szCs w:val="21"/>
              </w:rPr>
              <w:t>（2）项目工期：50个日历日</w:t>
            </w:r>
            <w:r>
              <w:rPr>
                <w:rFonts w:ascii="宋体" w:hAnsi="宋体" w:hint="eastAsia"/>
                <w:kern w:val="0"/>
                <w:szCs w:val="21"/>
              </w:rPr>
              <w:t>（如因疫情原因要求停止施工，项目工期顺延；工作日办公时间不能噪音施工）</w:t>
            </w:r>
            <w:r>
              <w:rPr>
                <w:rFonts w:ascii="宋体" w:hAnsi="宋体"/>
                <w:bCs/>
                <w:szCs w:val="21"/>
              </w:rPr>
              <w:t>。</w:t>
            </w:r>
          </w:p>
          <w:p w:rsidR="007900F6">
            <w:pPr>
              <w:tabs>
                <w:tab w:val="left" w:pos="5289"/>
              </w:tabs>
              <w:snapToGrid w:val="0"/>
              <w:spacing w:line="360" w:lineRule="auto"/>
              <w:ind w:firstLine="600" w:firstLineChars="250"/>
              <w:rPr>
                <w:rFonts w:ascii="宋体" w:hAnsi="宋体"/>
                <w:color w:val="000000"/>
                <w:szCs w:val="21"/>
              </w:rPr>
            </w:pPr>
            <w:r>
              <w:rPr>
                <w:rFonts w:ascii="宋体" w:hAnsi="宋体"/>
                <w:color w:val="000000"/>
                <w:szCs w:val="21"/>
              </w:rPr>
              <w:t>本项目规定的完工期限是指本项目约定工程承包内容全部完工并验收，已充分考虑下雨、台风、停水、停电、节假日等因素影响。</w:t>
            </w:r>
          </w:p>
        </w:tc>
      </w:tr>
      <w:tr>
        <w:tblPrEx>
          <w:tblW w:w="8188" w:type="dxa"/>
          <w:jc w:val="center"/>
          <w:tblInd w:w="0" w:type="dxa"/>
          <w:tblLayout w:type="fixed"/>
          <w:tblLook w:val="0000"/>
        </w:tblPrEx>
        <w:trPr>
          <w:trHeight w:val="501"/>
          <w:jc w:val="center"/>
        </w:trPr>
        <w:tc>
          <w:tcPr>
            <w:tcW w:w="705" w:type="dxa"/>
          </w:tcPr>
          <w:p w:rsidR="007900F6">
            <w:pPr>
              <w:snapToGrid w:val="0"/>
              <w:spacing w:line="360" w:lineRule="auto"/>
              <w:rPr>
                <w:rFonts w:ascii="宋体" w:hAnsi="宋体"/>
                <w:color w:val="000000"/>
              </w:rPr>
            </w:pPr>
            <w:r>
              <w:rPr>
                <w:rFonts w:ascii="宋体" w:hAnsi="宋体" w:hint="eastAsia"/>
                <w:color w:val="000000"/>
              </w:rPr>
              <w:t>2</w:t>
            </w:r>
          </w:p>
        </w:tc>
        <w:tc>
          <w:tcPr>
            <w:tcW w:w="7483" w:type="dxa"/>
          </w:tcPr>
          <w:p w:rsidR="007900F6">
            <w:pPr>
              <w:snapToGrid w:val="0"/>
              <w:spacing w:line="360" w:lineRule="auto"/>
              <w:rPr>
                <w:rFonts w:ascii="宋体" w:hAnsi="宋体"/>
                <w:szCs w:val="21"/>
              </w:rPr>
            </w:pPr>
            <w:r>
              <w:rPr>
                <w:rFonts w:ascii="宋体" w:hAnsi="宋体" w:cs="Segoe UI Symbol"/>
                <w:szCs w:val="21"/>
              </w:rPr>
              <w:t>★</w:t>
            </w:r>
            <w:r>
              <w:rPr>
                <w:rFonts w:ascii="宋体" w:hAnsi="宋体"/>
                <w:bCs/>
                <w:szCs w:val="21"/>
              </w:rPr>
              <w:t>预算金额：本</w:t>
            </w:r>
            <w:r>
              <w:rPr>
                <w:rFonts w:ascii="宋体" w:hAnsi="宋体"/>
                <w:bCs/>
                <w:kern w:val="0"/>
                <w:szCs w:val="21"/>
              </w:rPr>
              <w:t>项目预算人民币</w:t>
            </w:r>
            <w:r>
              <w:rPr>
                <w:rFonts w:ascii="宋体" w:hAnsi="宋体" w:hint="eastAsia"/>
                <w:bCs/>
                <w:kern w:val="0"/>
                <w:szCs w:val="21"/>
                <w:u w:val="single"/>
              </w:rPr>
              <w:t>贰</w:t>
            </w:r>
            <w:r>
              <w:rPr>
                <w:rFonts w:ascii="宋体" w:hAnsi="宋体"/>
                <w:kern w:val="0"/>
                <w:szCs w:val="21"/>
                <w:u w:val="single"/>
              </w:rPr>
              <w:t>佰</w:t>
            </w:r>
            <w:r>
              <w:rPr>
                <w:rFonts w:ascii="宋体" w:hAnsi="宋体" w:hint="eastAsia"/>
                <w:kern w:val="0"/>
                <w:szCs w:val="21"/>
                <w:u w:val="single"/>
              </w:rPr>
              <w:t>叁拾</w:t>
            </w:r>
            <w:r>
              <w:rPr>
                <w:rFonts w:ascii="宋体" w:hAnsi="宋体"/>
                <w:kern w:val="0"/>
                <w:szCs w:val="21"/>
                <w:u w:val="single"/>
              </w:rPr>
              <w:t>万元整（¥2,300,000.00）</w:t>
            </w:r>
            <w:r>
              <w:rPr>
                <w:rFonts w:ascii="宋体" w:hAnsi="宋体"/>
                <w:bCs/>
                <w:kern w:val="0"/>
                <w:szCs w:val="21"/>
              </w:rPr>
              <w:t>。投标总报价不能超过投标报价上限，否则作无效投标处理。</w:t>
            </w:r>
          </w:p>
        </w:tc>
      </w:tr>
      <w:tr>
        <w:tblPrEx>
          <w:tblW w:w="8188" w:type="dxa"/>
          <w:jc w:val="center"/>
          <w:tblInd w:w="0" w:type="dxa"/>
          <w:tblLayout w:type="fixed"/>
          <w:tblLook w:val="0000"/>
        </w:tblPrEx>
        <w:trPr>
          <w:trHeight w:val="501"/>
          <w:jc w:val="center"/>
        </w:trPr>
        <w:tc>
          <w:tcPr>
            <w:tcW w:w="705" w:type="dxa"/>
          </w:tcPr>
          <w:p w:rsidR="007900F6">
            <w:pPr>
              <w:snapToGrid w:val="0"/>
              <w:spacing w:line="360" w:lineRule="auto"/>
              <w:rPr>
                <w:rFonts w:ascii="宋体" w:hAnsi="宋体"/>
                <w:color w:val="000000"/>
              </w:rPr>
            </w:pPr>
            <w:r>
              <w:rPr>
                <w:rFonts w:ascii="宋体" w:hAnsi="宋体"/>
                <w:color w:val="000000"/>
              </w:rPr>
              <w:t>3</w:t>
            </w:r>
          </w:p>
        </w:tc>
        <w:tc>
          <w:tcPr>
            <w:tcW w:w="7483" w:type="dxa"/>
            <w:vAlign w:val="center"/>
          </w:tcPr>
          <w:p w:rsidR="007900F6">
            <w:pPr>
              <w:tabs>
                <w:tab w:val="left" w:pos="5289"/>
              </w:tabs>
              <w:snapToGrid w:val="0"/>
              <w:spacing w:line="360" w:lineRule="auto"/>
              <w:rPr>
                <w:rFonts w:ascii="宋体" w:hAnsi="宋体"/>
                <w:bCs/>
                <w:szCs w:val="21"/>
              </w:rPr>
            </w:pPr>
            <w:r>
              <w:rPr>
                <w:rFonts w:ascii="宋体" w:hAnsi="宋体" w:cs="Segoe UI Symbol"/>
                <w:szCs w:val="21"/>
              </w:rPr>
              <w:t>★</w:t>
            </w:r>
            <w:r>
              <w:rPr>
                <w:rFonts w:ascii="宋体" w:hAnsi="宋体"/>
                <w:bCs/>
                <w:szCs w:val="21"/>
              </w:rPr>
              <w:t>项目验收程序、期限及标准：</w:t>
            </w:r>
          </w:p>
          <w:p w:rsidR="007900F6">
            <w:pPr>
              <w:snapToGrid w:val="0"/>
              <w:spacing w:line="360" w:lineRule="auto"/>
              <w:rPr>
                <w:rFonts w:ascii="宋体" w:hAnsi="宋体"/>
                <w:bCs/>
                <w:szCs w:val="21"/>
              </w:rPr>
            </w:pPr>
            <w:r>
              <w:rPr>
                <w:rFonts w:ascii="宋体" w:hAnsi="宋体"/>
                <w:szCs w:val="21"/>
              </w:rPr>
              <w:t>（1）验收程序及期限：</w:t>
            </w:r>
            <w:r>
              <w:rPr>
                <w:rFonts w:ascii="宋体" w:hAnsi="宋体"/>
                <w:bCs/>
                <w:szCs w:val="21"/>
              </w:rPr>
              <w:t>按国家标准及相关行业技术规范验收。</w:t>
            </w:r>
            <w:r>
              <w:rPr>
                <w:rFonts w:ascii="宋体" w:hAnsi="宋体"/>
                <w:szCs w:val="21"/>
              </w:rPr>
              <w:t>工程经承建单位自检合格后，通知监理进行预验收，预验收合格后</w:t>
            </w:r>
            <w:r>
              <w:rPr>
                <w:rFonts w:ascii="宋体" w:hAnsi="宋体"/>
                <w:bCs/>
                <w:szCs w:val="21"/>
              </w:rPr>
              <w:t>7天内</w:t>
            </w:r>
            <w:r>
              <w:rPr>
                <w:rFonts w:ascii="宋体" w:hAnsi="宋体"/>
                <w:szCs w:val="21"/>
              </w:rPr>
              <w:t>由</w:t>
            </w:r>
            <w:r>
              <w:rPr>
                <w:rFonts w:ascii="宋体" w:hAnsi="宋体"/>
                <w:bCs/>
                <w:szCs w:val="21"/>
              </w:rPr>
              <w:t>中标人提出申请，按工程竣工程验收的有关规定，申请竣工验收。</w:t>
            </w:r>
          </w:p>
          <w:p w:rsidR="007900F6">
            <w:pPr>
              <w:snapToGrid w:val="0"/>
              <w:spacing w:line="360" w:lineRule="auto"/>
              <w:rPr>
                <w:rFonts w:ascii="宋体" w:hAnsi="宋体"/>
                <w:bCs/>
                <w:szCs w:val="21"/>
              </w:rPr>
            </w:pPr>
            <w:r>
              <w:rPr>
                <w:rFonts w:ascii="宋体" w:hAnsi="宋体"/>
                <w:bCs/>
                <w:szCs w:val="21"/>
              </w:rPr>
              <w:t>（2）如果工程验收不合格，中标人须在规定期限内按整改意见进行整改，整改时间纳入工程的施工期内，整改完成达到验收标准后，重新提出工程竣工验收申请。</w:t>
            </w:r>
          </w:p>
          <w:p w:rsidR="007900F6">
            <w:pPr>
              <w:snapToGrid w:val="0"/>
              <w:spacing w:line="360" w:lineRule="auto"/>
              <w:rPr>
                <w:rFonts w:ascii="宋体" w:hAnsi="宋体"/>
                <w:bCs/>
                <w:szCs w:val="21"/>
              </w:rPr>
            </w:pPr>
            <w:r>
              <w:rPr>
                <w:rFonts w:ascii="宋体" w:hAnsi="宋体"/>
                <w:bCs/>
                <w:szCs w:val="21"/>
              </w:rPr>
              <w:t>（3）工程竣工验收合格五个工作日内，中标人须提交工程竣工验收报告。工程竣工验收报告获批准后，办理工程移交、决算手续。</w:t>
            </w:r>
          </w:p>
          <w:p w:rsidR="007900F6">
            <w:pPr>
              <w:snapToGrid w:val="0"/>
              <w:spacing w:line="360" w:lineRule="auto"/>
              <w:rPr>
                <w:rFonts w:ascii="宋体" w:hAnsi="宋体"/>
                <w:szCs w:val="21"/>
              </w:rPr>
            </w:pPr>
            <w:r>
              <w:rPr>
                <w:rFonts w:ascii="宋体" w:hAnsi="宋体"/>
                <w:szCs w:val="21"/>
              </w:rPr>
              <w:t>（4）验收标准：满足</w:t>
            </w:r>
            <w:r>
              <w:rPr>
                <w:rFonts w:ascii="宋体" w:hAnsi="宋体"/>
                <w:bCs/>
                <w:szCs w:val="21"/>
              </w:rPr>
              <w:t>国家、深圳市住建局</w:t>
            </w:r>
            <w:r>
              <w:rPr>
                <w:rFonts w:ascii="宋体" w:hAnsi="宋体"/>
                <w:szCs w:val="21"/>
              </w:rPr>
              <w:t>相关国家规范和行业规范要求。</w:t>
            </w:r>
          </w:p>
        </w:tc>
      </w:tr>
      <w:tr>
        <w:tblPrEx>
          <w:tblW w:w="8188" w:type="dxa"/>
          <w:jc w:val="center"/>
          <w:tblInd w:w="0" w:type="dxa"/>
          <w:tblLayout w:type="fixed"/>
          <w:tblLook w:val="0000"/>
        </w:tblPrEx>
        <w:trPr>
          <w:trHeight w:val="501"/>
          <w:jc w:val="center"/>
        </w:trPr>
        <w:tc>
          <w:tcPr>
            <w:tcW w:w="705" w:type="dxa"/>
          </w:tcPr>
          <w:p w:rsidR="007900F6">
            <w:pPr>
              <w:snapToGrid w:val="0"/>
              <w:spacing w:line="360" w:lineRule="auto"/>
              <w:rPr>
                <w:rFonts w:ascii="宋体" w:hAnsi="宋体"/>
                <w:color w:val="000000"/>
              </w:rPr>
            </w:pPr>
            <w:r>
              <w:rPr>
                <w:rFonts w:ascii="宋体" w:hAnsi="宋体"/>
                <w:color w:val="000000"/>
              </w:rPr>
              <w:t>4</w:t>
            </w:r>
          </w:p>
        </w:tc>
        <w:tc>
          <w:tcPr>
            <w:tcW w:w="7483" w:type="dxa"/>
          </w:tcPr>
          <w:p w:rsidR="007900F6">
            <w:pPr>
              <w:tabs>
                <w:tab w:val="left" w:pos="5289"/>
              </w:tabs>
              <w:snapToGrid w:val="0"/>
              <w:spacing w:line="360" w:lineRule="auto"/>
              <w:rPr>
                <w:rFonts w:ascii="宋体" w:hAnsi="宋体"/>
                <w:bCs/>
                <w:szCs w:val="21"/>
              </w:rPr>
            </w:pPr>
            <w:r>
              <w:rPr>
                <w:rFonts w:ascii="宋体" w:hAnsi="宋体" w:cs="Segoe UI Symbol"/>
                <w:szCs w:val="21"/>
              </w:rPr>
              <w:t>★</w:t>
            </w:r>
            <w:r>
              <w:rPr>
                <w:rFonts w:ascii="宋体" w:hAnsi="宋体"/>
                <w:bCs/>
                <w:szCs w:val="21"/>
              </w:rPr>
              <w:t>保修要求：</w:t>
            </w:r>
          </w:p>
          <w:p w:rsidR="007900F6">
            <w:pPr>
              <w:tabs>
                <w:tab w:val="left" w:pos="5289"/>
              </w:tabs>
              <w:snapToGrid w:val="0"/>
              <w:spacing w:line="360" w:lineRule="auto"/>
              <w:rPr>
                <w:rFonts w:ascii="宋体" w:hAnsi="宋体"/>
                <w:bCs/>
                <w:szCs w:val="21"/>
              </w:rPr>
            </w:pPr>
            <w:r>
              <w:rPr>
                <w:rFonts w:ascii="宋体" w:hAnsi="宋体"/>
                <w:bCs/>
                <w:szCs w:val="21"/>
              </w:rPr>
              <w:t>（1）保修期限：以工程竣工验收合格之日起计算，</w:t>
            </w:r>
            <w:r>
              <w:rPr>
                <w:rFonts w:ascii="宋体" w:hAnsi="宋体" w:hint="eastAsia"/>
                <w:bCs/>
                <w:szCs w:val="21"/>
              </w:rPr>
              <w:t>家具类产品保修期为</w:t>
            </w:r>
            <w:r>
              <w:rPr>
                <w:rFonts w:ascii="宋体" w:hAnsi="宋体"/>
                <w:bCs/>
                <w:szCs w:val="21"/>
              </w:rPr>
              <w:t xml:space="preserve"> 伍 年</w:t>
            </w:r>
            <w:r>
              <w:rPr>
                <w:rFonts w:ascii="宋体" w:hAnsi="宋体"/>
                <w:szCs w:val="21"/>
              </w:rPr>
              <w:t>（1825个日历日）</w:t>
            </w:r>
            <w:r>
              <w:rPr>
                <w:rFonts w:ascii="宋体" w:hAnsi="宋体"/>
                <w:bCs/>
                <w:szCs w:val="21"/>
              </w:rPr>
              <w:t>，设备类产品保修期为 贰 年</w:t>
            </w:r>
            <w:r>
              <w:rPr>
                <w:rFonts w:ascii="宋体" w:hAnsi="宋体"/>
                <w:szCs w:val="21"/>
              </w:rPr>
              <w:t>（730个日历日）</w:t>
            </w:r>
            <w:r>
              <w:rPr>
                <w:rFonts w:ascii="宋体" w:hAnsi="宋体" w:hint="eastAsia"/>
                <w:szCs w:val="21"/>
              </w:rPr>
              <w:t>。</w:t>
            </w:r>
          </w:p>
          <w:p w:rsidR="007900F6">
            <w:pPr>
              <w:tabs>
                <w:tab w:val="left" w:pos="5289"/>
              </w:tabs>
              <w:snapToGrid w:val="0"/>
              <w:spacing w:line="360" w:lineRule="auto"/>
              <w:rPr>
                <w:rFonts w:ascii="宋体" w:hAnsi="宋体"/>
                <w:bCs/>
                <w:szCs w:val="21"/>
              </w:rPr>
            </w:pPr>
            <w:r>
              <w:rPr>
                <w:rFonts w:ascii="宋体" w:hAnsi="宋体"/>
                <w:bCs/>
                <w:szCs w:val="21"/>
              </w:rPr>
              <w:t>（2）保修费用：结算总价款的5%，若发生的累积保修费超过截留的保修款总额，超过部分仍由中标人支付。</w:t>
            </w:r>
          </w:p>
          <w:p w:rsidR="007900F6">
            <w:pPr>
              <w:tabs>
                <w:tab w:val="left" w:pos="5289"/>
              </w:tabs>
              <w:snapToGrid w:val="0"/>
              <w:spacing w:line="360" w:lineRule="auto"/>
              <w:rPr>
                <w:rFonts w:ascii="宋体" w:hAnsi="宋体"/>
                <w:bCs/>
                <w:szCs w:val="21"/>
              </w:rPr>
            </w:pPr>
            <w:r>
              <w:rPr>
                <w:rFonts w:ascii="宋体" w:hAnsi="宋体"/>
                <w:bCs/>
                <w:szCs w:val="21"/>
              </w:rPr>
              <w:t>（3）保修内容：合同条款（含补充合同条款）所包含的工程项目、设计变更、现场签证或文字约定、双方或多方会议纪要约定的全部内容；属中标人施工质量原因及验收后移交前中标人保管不力造成施工范围各部位、部件、整体或单体的损坏、脱落、变质、丢失、开裂等，均属于中标人保修责任范围。</w:t>
            </w:r>
          </w:p>
          <w:p w:rsidR="007900F6">
            <w:pPr>
              <w:snapToGrid w:val="0"/>
              <w:spacing w:line="360" w:lineRule="auto"/>
              <w:rPr>
                <w:rFonts w:ascii="宋体" w:hAnsi="宋体"/>
                <w:bCs/>
                <w:szCs w:val="21"/>
              </w:rPr>
            </w:pPr>
            <w:r>
              <w:rPr>
                <w:rFonts w:ascii="宋体" w:hAnsi="宋体"/>
                <w:bCs/>
                <w:szCs w:val="21"/>
              </w:rPr>
              <w:t>（4）保修承诺：保修期间发生问题承诺4小时内响应，中标人应在接到采购人口头或书面通知后3天内派人进场修理，</w:t>
            </w:r>
            <w:r>
              <w:rPr>
                <w:rFonts w:ascii="宋体" w:hAnsi="宋体"/>
                <w:szCs w:val="21"/>
              </w:rPr>
              <w:t>发生质量问题，中标人要调查故障原因并修复直至满足最终验收指标和性能的要求，或者更换整个或部分有缺陷的材料。</w:t>
            </w:r>
            <w:r>
              <w:rPr>
                <w:rFonts w:ascii="宋体" w:hAnsi="宋体"/>
                <w:bCs/>
                <w:szCs w:val="21"/>
              </w:rPr>
              <w:t>若</w:t>
            </w:r>
            <w:r>
              <w:rPr>
                <w:rFonts w:ascii="宋体" w:hAnsi="宋体" w:hint="eastAsia"/>
                <w:bCs/>
                <w:szCs w:val="21"/>
              </w:rPr>
              <w:t>采购</w:t>
            </w:r>
            <w:r>
              <w:rPr>
                <w:rFonts w:ascii="宋体" w:hAnsi="宋体"/>
                <w:bCs/>
                <w:szCs w:val="21"/>
              </w:rPr>
              <w:t>人以电话和短信</w:t>
            </w:r>
            <w:r>
              <w:rPr>
                <w:rFonts w:ascii="宋体" w:hAnsi="宋体" w:hint="eastAsia"/>
                <w:bCs/>
                <w:szCs w:val="21"/>
              </w:rPr>
              <w:t>通知</w:t>
            </w:r>
            <w:r>
              <w:rPr>
                <w:rFonts w:ascii="宋体" w:hAnsi="宋体"/>
                <w:bCs/>
                <w:szCs w:val="21"/>
              </w:rPr>
              <w:t>中标人</w:t>
            </w:r>
            <w:r>
              <w:rPr>
                <w:rFonts w:ascii="宋体" w:hAnsi="宋体" w:hint="eastAsia"/>
                <w:bCs/>
                <w:szCs w:val="21"/>
              </w:rPr>
              <w:t>，中标人</w:t>
            </w:r>
            <w:r>
              <w:rPr>
                <w:rFonts w:ascii="宋体" w:hAnsi="宋体"/>
                <w:bCs/>
                <w:szCs w:val="21"/>
              </w:rPr>
              <w:t>并未</w:t>
            </w:r>
            <w:r>
              <w:rPr>
                <w:rFonts w:ascii="宋体" w:hAnsi="宋体" w:hint="eastAsia"/>
                <w:bCs/>
                <w:szCs w:val="21"/>
              </w:rPr>
              <w:t>对故障进行处理的。采购人有权</w:t>
            </w:r>
            <w:r>
              <w:rPr>
                <w:rFonts w:ascii="宋体" w:hAnsi="宋体"/>
                <w:bCs/>
                <w:szCs w:val="21"/>
              </w:rPr>
              <w:t>委托其他单位或人员</w:t>
            </w:r>
            <w:r>
              <w:rPr>
                <w:rFonts w:ascii="宋体" w:hAnsi="宋体" w:hint="eastAsia"/>
                <w:bCs/>
                <w:szCs w:val="21"/>
              </w:rPr>
              <w:t>维修，维修所产生的费用</w:t>
            </w:r>
            <w:r>
              <w:rPr>
                <w:rFonts w:ascii="宋体" w:hAnsi="宋体"/>
                <w:bCs/>
                <w:szCs w:val="21"/>
              </w:rPr>
              <w:t>在</w:t>
            </w:r>
            <w:r>
              <w:rPr>
                <w:rFonts w:ascii="宋体" w:hAnsi="宋体" w:hint="eastAsia"/>
                <w:bCs/>
                <w:szCs w:val="21"/>
              </w:rPr>
              <w:t>中标人</w:t>
            </w:r>
            <w:r>
              <w:rPr>
                <w:rFonts w:ascii="宋体" w:hAnsi="宋体"/>
                <w:bCs/>
                <w:szCs w:val="21"/>
              </w:rPr>
              <w:t>保修费内扣除，不足部分由中标人支付。</w:t>
            </w:r>
          </w:p>
        </w:tc>
      </w:tr>
      <w:tr>
        <w:tblPrEx>
          <w:tblW w:w="8188" w:type="dxa"/>
          <w:jc w:val="center"/>
          <w:tblInd w:w="0" w:type="dxa"/>
          <w:tblLayout w:type="fixed"/>
          <w:tblLook w:val="0000"/>
        </w:tblPrEx>
        <w:trPr>
          <w:trHeight w:val="501"/>
          <w:jc w:val="center"/>
        </w:trPr>
        <w:tc>
          <w:tcPr>
            <w:tcW w:w="705" w:type="dxa"/>
          </w:tcPr>
          <w:p w:rsidR="007900F6">
            <w:pPr>
              <w:snapToGrid w:val="0"/>
              <w:spacing w:line="360" w:lineRule="auto"/>
              <w:rPr>
                <w:rFonts w:ascii="宋体" w:hAnsi="宋体"/>
                <w:color w:val="000000"/>
              </w:rPr>
            </w:pPr>
            <w:r>
              <w:rPr>
                <w:rFonts w:ascii="宋体" w:hAnsi="宋体" w:hint="eastAsia"/>
                <w:color w:val="000000"/>
              </w:rPr>
              <w:t>5</w:t>
            </w:r>
          </w:p>
        </w:tc>
        <w:tc>
          <w:tcPr>
            <w:tcW w:w="7483" w:type="dxa"/>
          </w:tcPr>
          <w:p w:rsidR="007900F6">
            <w:pPr>
              <w:tabs>
                <w:tab w:val="left" w:pos="5289"/>
              </w:tabs>
              <w:snapToGrid w:val="0"/>
              <w:spacing w:line="360" w:lineRule="auto"/>
              <w:rPr>
                <w:rFonts w:ascii="宋体" w:hAnsi="宋体"/>
                <w:bCs/>
                <w:szCs w:val="21"/>
              </w:rPr>
            </w:pPr>
            <w:r>
              <w:rPr>
                <w:rFonts w:ascii="宋体" w:hAnsi="宋体" w:cs="Segoe UI Symbol"/>
                <w:szCs w:val="21"/>
              </w:rPr>
              <w:t>★</w:t>
            </w:r>
            <w:r>
              <w:rPr>
                <w:rFonts w:ascii="宋体" w:hAnsi="宋体"/>
                <w:bCs/>
                <w:szCs w:val="21"/>
              </w:rPr>
              <w:t>付款方式：</w:t>
            </w:r>
          </w:p>
          <w:p w:rsidR="007900F6">
            <w:pPr>
              <w:tabs>
                <w:tab w:val="left" w:pos="5289"/>
              </w:tabs>
              <w:snapToGrid w:val="0"/>
              <w:spacing w:line="360" w:lineRule="auto"/>
              <w:rPr>
                <w:rFonts w:ascii="宋体" w:hAnsi="宋体"/>
                <w:bCs/>
                <w:szCs w:val="21"/>
              </w:rPr>
            </w:pPr>
            <w:r>
              <w:rPr>
                <w:rFonts w:ascii="宋体" w:hAnsi="宋体"/>
                <w:bCs/>
                <w:szCs w:val="21"/>
              </w:rPr>
              <w:t>（1）</w:t>
            </w:r>
            <w:r>
              <w:rPr>
                <w:rFonts w:ascii="宋体" w:hAnsi="宋体"/>
                <w:szCs w:val="21"/>
              </w:rPr>
              <w:t>付款原则：工程进度款根据市财政拨款情况、监督、监理情况分期付给。由于</w:t>
            </w:r>
            <w:r>
              <w:rPr>
                <w:rFonts w:ascii="宋体" w:hAnsi="宋体" w:hint="eastAsia"/>
                <w:szCs w:val="21"/>
              </w:rPr>
              <w:t>中标人</w:t>
            </w:r>
            <w:r>
              <w:rPr>
                <w:rFonts w:ascii="宋体" w:hAnsi="宋体"/>
                <w:szCs w:val="21"/>
              </w:rPr>
              <w:t>原因造成工程款不能支付，责任由</w:t>
            </w:r>
            <w:r>
              <w:rPr>
                <w:rFonts w:ascii="宋体" w:hAnsi="宋体" w:hint="eastAsia"/>
                <w:szCs w:val="21"/>
              </w:rPr>
              <w:t>中标人</w:t>
            </w:r>
            <w:r>
              <w:rPr>
                <w:rFonts w:ascii="宋体" w:hAnsi="宋体"/>
                <w:szCs w:val="21"/>
              </w:rPr>
              <w:t>承担。</w:t>
            </w:r>
          </w:p>
          <w:p w:rsidR="007900F6">
            <w:pPr>
              <w:tabs>
                <w:tab w:val="left" w:pos="420"/>
                <w:tab w:val="left" w:pos="5289"/>
              </w:tabs>
              <w:snapToGrid w:val="0"/>
              <w:spacing w:line="360" w:lineRule="auto"/>
              <w:rPr>
                <w:rFonts w:ascii="宋体" w:hAnsi="宋体"/>
                <w:color w:val="FF0000"/>
                <w:szCs w:val="21"/>
              </w:rPr>
            </w:pPr>
            <w:r>
              <w:rPr>
                <w:rFonts w:ascii="宋体" w:hAnsi="宋体"/>
                <w:bCs/>
                <w:szCs w:val="21"/>
              </w:rPr>
              <w:t>（2）</w:t>
            </w:r>
            <w:r>
              <w:rPr>
                <w:rFonts w:ascii="宋体" w:hAnsi="宋体"/>
                <w:szCs w:val="21"/>
              </w:rPr>
              <w:t>付款方式：本工程开工预付款为合同价的</w:t>
            </w:r>
            <w:r>
              <w:rPr>
                <w:rFonts w:ascii="宋体" w:hAnsi="宋体"/>
                <w:szCs w:val="21"/>
                <w:u w:val="single"/>
              </w:rPr>
              <w:t xml:space="preserve"> 20 </w:t>
            </w:r>
            <w:r>
              <w:rPr>
                <w:rFonts w:ascii="宋体" w:hAnsi="宋体"/>
                <w:szCs w:val="21"/>
              </w:rPr>
              <w:t>% ，完成合同签订，中标人提供发票后</w:t>
            </w:r>
            <w:r>
              <w:rPr>
                <w:rFonts w:ascii="宋体" w:hAnsi="宋体"/>
                <w:color w:val="FF0000"/>
                <w:szCs w:val="21"/>
              </w:rPr>
              <w:t xml:space="preserve">30 </w:t>
            </w:r>
            <w:r>
              <w:rPr>
                <w:rFonts w:ascii="宋体" w:hAnsi="宋体"/>
                <w:szCs w:val="21"/>
              </w:rPr>
              <w:t>个工作日内，支付预付款；当工程形象进度完成80%时，由中标人提交实际已完工程形象进度款申请书一式两份，经监理及</w:t>
            </w:r>
            <w:r>
              <w:rPr>
                <w:rFonts w:ascii="宋体" w:hAnsi="宋体" w:hint="eastAsia"/>
                <w:szCs w:val="21"/>
              </w:rPr>
              <w:t>采购</w:t>
            </w:r>
            <w:r>
              <w:rPr>
                <w:rFonts w:ascii="宋体" w:hAnsi="宋体"/>
                <w:szCs w:val="21"/>
              </w:rPr>
              <w:t>人审核后支付至施工合同总造价的70%；工程验收合格并递交合格竣工资料，工程结算经造价咨询单位审核，并出具工程结算审核报告后 ，按合同结算总额支付至95%，于中标人提交付款申请后50个工作日内支付；余下工程结算总造价的5%作为工程缺陷质保金。质保期满如无质量问题，5%质保金无息支付给中标人。</w:t>
            </w:r>
          </w:p>
        </w:tc>
      </w:tr>
    </w:tbl>
    <w:p w:rsidR="007900F6">
      <w:pPr>
        <w:spacing w:line="360" w:lineRule="auto"/>
        <w:contextualSpacing/>
        <w:rPr>
          <w:b/>
          <w:color w:val="000000"/>
        </w:rPr>
      </w:pPr>
      <w:r>
        <w:rPr>
          <w:rFonts w:hint="eastAsia"/>
          <w:b/>
          <w:color w:val="000000"/>
        </w:rPr>
        <w:t>注：上表所列内容为不可负偏离条款</w:t>
      </w:r>
    </w:p>
    <w:p w:rsidR="007900F6">
      <w:pPr>
        <w:widowControl/>
        <w:jc w:val="left"/>
        <w:rPr>
          <w:b/>
          <w:color w:val="000000"/>
        </w:rPr>
      </w:pPr>
      <w:r>
        <w:rPr>
          <w:b/>
          <w:color w:val="000000"/>
        </w:rPr>
        <w:br w:type="page"/>
      </w:r>
    </w:p>
    <w:p w:rsidR="007900F6">
      <w:pPr>
        <w:spacing w:line="360" w:lineRule="auto"/>
        <w:contextualSpacing/>
        <w:rPr>
          <w:b/>
          <w:color w:val="000000"/>
        </w:rPr>
      </w:pPr>
    </w:p>
    <w:p w:rsidR="007900F6">
      <w:pPr>
        <w:pStyle w:val="Heading2"/>
        <w:keepNext w:val="0"/>
        <w:keepLines w:val="0"/>
        <w:spacing w:before="0" w:after="0" w:line="360" w:lineRule="auto"/>
        <w:contextualSpacing/>
        <w:rPr>
          <w:rFonts w:cs="宋体"/>
          <w:color w:val="000000"/>
          <w:sz w:val="32"/>
          <w:szCs w:val="32"/>
        </w:rPr>
      </w:pPr>
      <w:bookmarkEnd w:id="0"/>
      <w:r>
        <w:rPr>
          <w:rFonts w:cs="宋体" w:hint="eastAsia"/>
          <w:color w:val="000000"/>
          <w:sz w:val="32"/>
          <w:szCs w:val="32"/>
        </w:rPr>
        <w:t>招标项目简介</w:t>
      </w:r>
    </w:p>
    <w:p w:rsidR="007900F6">
      <w:pPr>
        <w:snapToGrid w:val="0"/>
        <w:spacing w:line="360" w:lineRule="auto"/>
        <w:ind w:firstLine="480" w:firstLineChars="200"/>
        <w:rPr>
          <w:rFonts w:ascii="宋体" w:hAnsi="宋体"/>
          <w:color w:val="000000"/>
          <w:kern w:val="0"/>
          <w:szCs w:val="21"/>
        </w:rPr>
      </w:pPr>
      <w:r>
        <w:rPr>
          <w:rFonts w:ascii="宋体" w:hAnsi="宋体" w:hint="eastAsia"/>
          <w:color w:val="000000"/>
          <w:kern w:val="0"/>
          <w:szCs w:val="21"/>
        </w:rPr>
        <w:t>1.</w:t>
      </w:r>
      <w:r>
        <w:rPr>
          <w:rFonts w:ascii="宋体" w:hAnsi="宋体"/>
          <w:szCs w:val="21"/>
        </w:rPr>
        <w:t xml:space="preserve"> </w:t>
      </w:r>
      <w:r>
        <w:rPr>
          <w:rFonts w:ascii="宋体" w:hAnsi="宋体"/>
          <w:color w:val="000000"/>
          <w:kern w:val="0"/>
          <w:szCs w:val="21"/>
        </w:rPr>
        <w:t>本项目位于深圳市科技园南区粤兴一道9号香港科技大学产学研大楼4楼412室。建筑面积约400平，实用面积约213平。</w:t>
      </w:r>
      <w:r>
        <w:rPr>
          <w:rFonts w:ascii="宋体" w:hAnsi="宋体" w:hint="eastAsia"/>
          <w:color w:val="000000"/>
          <w:kern w:val="0"/>
          <w:szCs w:val="21"/>
        </w:rPr>
        <w:t>香港科技大学深圳研究院分子神经科学实验室生物标志物分析平台（以下简称“实验室”）</w:t>
      </w:r>
      <w:r>
        <w:rPr>
          <w:rFonts w:ascii="宋体" w:hAnsi="宋体"/>
          <w:color w:val="000000"/>
          <w:kern w:val="0"/>
          <w:szCs w:val="21"/>
        </w:rPr>
        <w:t xml:space="preserve"> 的目标是成为在分子神经科学领域的国际领先技术平台，承担国家重点研究课题、培养科研人才、提升分子神经科学的基础研究、深圳市公共平台技术服务，并促进中国内地和香港的生物技术科研合作。根据实验室功能需要，对生物标志物分析平台进行优化布局设计、施工，满足生物标志物分析平台实验室环境的要求。本次招标范围主要为该项目装修及安装工程，具体包括拆除工程、隔墙工程、地面、墙面、门窗、电气工程、给排水（冷热水）、净化空调、智能控制系统、弱电工程、楼板加固、消防系统等。具体以</w:t>
      </w:r>
      <w:r>
        <w:rPr>
          <w:rFonts w:ascii="宋体" w:hAnsi="宋体" w:hint="eastAsia"/>
          <w:color w:val="000000"/>
          <w:kern w:val="0"/>
          <w:szCs w:val="21"/>
        </w:rPr>
        <w:t>采购</w:t>
      </w:r>
      <w:r>
        <w:rPr>
          <w:rFonts w:ascii="宋体" w:hAnsi="宋体"/>
          <w:color w:val="000000"/>
          <w:kern w:val="0"/>
          <w:szCs w:val="21"/>
        </w:rPr>
        <w:t>人提供的图纸、清单及</w:t>
      </w:r>
      <w:r>
        <w:rPr>
          <w:rFonts w:ascii="宋体" w:hAnsi="宋体" w:hint="eastAsia"/>
          <w:color w:val="000000"/>
          <w:kern w:val="0"/>
          <w:szCs w:val="21"/>
        </w:rPr>
        <w:t>采购</w:t>
      </w:r>
      <w:r>
        <w:rPr>
          <w:rFonts w:ascii="宋体" w:hAnsi="宋体"/>
          <w:color w:val="000000"/>
          <w:kern w:val="0"/>
          <w:szCs w:val="21"/>
        </w:rPr>
        <w:t>人指定的其他内容为准。</w:t>
      </w:r>
    </w:p>
    <w:p w:rsidR="007900F6">
      <w:pPr>
        <w:widowControl/>
        <w:snapToGrid w:val="0"/>
        <w:spacing w:line="360" w:lineRule="auto"/>
        <w:ind w:firstLine="480" w:firstLineChars="200"/>
        <w:jc w:val="left"/>
        <w:rPr>
          <w:rFonts w:ascii="宋体" w:hAnsi="宋体"/>
          <w:kern w:val="0"/>
          <w:szCs w:val="21"/>
        </w:rPr>
      </w:pPr>
      <w:r>
        <w:rPr>
          <w:rFonts w:ascii="宋体" w:hAnsi="宋体" w:hint="eastAsia"/>
          <w:kern w:val="0"/>
          <w:szCs w:val="21"/>
        </w:rPr>
        <w:t>2.</w:t>
      </w:r>
      <w:r>
        <w:rPr>
          <w:rFonts w:ascii="宋体" w:hAnsi="宋体"/>
          <w:szCs w:val="21"/>
        </w:rPr>
        <w:t xml:space="preserve"> 预算金额:</w:t>
      </w:r>
      <w:r>
        <w:rPr>
          <w:rFonts w:ascii="宋体" w:hAnsi="宋体" w:hint="eastAsia"/>
          <w:szCs w:val="21"/>
        </w:rPr>
        <w:t xml:space="preserve"> 2</w:t>
      </w:r>
      <w:r>
        <w:rPr>
          <w:rFonts w:ascii="宋体" w:hAnsi="宋体"/>
          <w:szCs w:val="21"/>
        </w:rPr>
        <w:t>,</w:t>
      </w:r>
      <w:r>
        <w:rPr>
          <w:rFonts w:ascii="宋体" w:hAnsi="宋体" w:hint="eastAsia"/>
          <w:szCs w:val="21"/>
        </w:rPr>
        <w:t>300</w:t>
      </w:r>
      <w:r>
        <w:rPr>
          <w:rFonts w:ascii="宋体" w:hAnsi="宋体"/>
          <w:szCs w:val="21"/>
        </w:rPr>
        <w:t>,000.00</w:t>
      </w:r>
      <w:r>
        <w:rPr>
          <w:rFonts w:ascii="宋体" w:hAnsi="宋体" w:hint="eastAsia"/>
          <w:szCs w:val="21"/>
        </w:rPr>
        <w:t>元</w:t>
      </w:r>
    </w:p>
    <w:p w:rsidR="007900F6">
      <w:pPr>
        <w:snapToGrid w:val="0"/>
        <w:spacing w:line="360" w:lineRule="auto"/>
        <w:ind w:firstLine="480" w:firstLineChars="200"/>
        <w:rPr>
          <w:rFonts w:ascii="宋体" w:hAnsi="宋体"/>
          <w:kern w:val="0"/>
          <w:szCs w:val="21"/>
        </w:rPr>
      </w:pPr>
      <w:r>
        <w:rPr>
          <w:rFonts w:ascii="宋体" w:hAnsi="宋体" w:hint="eastAsia"/>
          <w:szCs w:val="21"/>
        </w:rPr>
        <w:t>3.</w:t>
      </w:r>
      <w:r>
        <w:rPr>
          <w:rFonts w:ascii="宋体" w:hAnsi="宋体"/>
          <w:kern w:val="0"/>
          <w:szCs w:val="21"/>
        </w:rPr>
        <w:t xml:space="preserve"> 项目工期要求：</w:t>
      </w:r>
      <w:r>
        <w:rPr>
          <w:rFonts w:ascii="宋体" w:hAnsi="宋体"/>
          <w:b/>
          <w:bCs/>
          <w:kern w:val="0"/>
          <w:szCs w:val="21"/>
        </w:rPr>
        <w:t xml:space="preserve">50 </w:t>
      </w:r>
      <w:r>
        <w:rPr>
          <w:rFonts w:ascii="宋体" w:hAnsi="宋体"/>
          <w:kern w:val="0"/>
          <w:szCs w:val="21"/>
        </w:rPr>
        <w:t>个日历日</w:t>
      </w:r>
      <w:r>
        <w:rPr>
          <w:rFonts w:ascii="宋体" w:hAnsi="宋体" w:hint="eastAsia"/>
          <w:kern w:val="0"/>
          <w:szCs w:val="21"/>
        </w:rPr>
        <w:t>（如因疫情原因要求停止施工，项目工期可顺延；工作日办公时间不能噪音施工）。</w:t>
      </w:r>
    </w:p>
    <w:p w:rsidR="007900F6">
      <w:pPr>
        <w:snapToGrid w:val="0"/>
        <w:spacing w:line="360" w:lineRule="auto"/>
        <w:ind w:firstLine="480" w:firstLineChars="200"/>
        <w:rPr>
          <w:rFonts w:ascii="宋体" w:hAnsi="宋体"/>
          <w:kern w:val="0"/>
          <w:szCs w:val="21"/>
          <w:u w:val="single"/>
        </w:rPr>
      </w:pPr>
      <w:r>
        <w:rPr>
          <w:rFonts w:ascii="宋体" w:hAnsi="宋体" w:hint="eastAsia"/>
          <w:kern w:val="0"/>
          <w:szCs w:val="21"/>
        </w:rPr>
        <w:t>4.</w:t>
      </w:r>
      <w:r>
        <w:rPr>
          <w:rFonts w:ascii="宋体" w:hAnsi="宋体"/>
          <w:kern w:val="0"/>
          <w:szCs w:val="21"/>
        </w:rPr>
        <w:t xml:space="preserve"> 合同方式采用：</w:t>
      </w:r>
      <w:r>
        <w:rPr>
          <w:rFonts w:ascii="宋体" w:hAnsi="宋体"/>
          <w:kern w:val="0"/>
          <w:szCs w:val="21"/>
          <w:u w:val="single"/>
        </w:rPr>
        <w:t xml:space="preserve"> （1）</w:t>
      </w:r>
    </w:p>
    <w:p w:rsidR="007900F6">
      <w:pPr>
        <w:snapToGrid w:val="0"/>
        <w:spacing w:line="360" w:lineRule="auto"/>
        <w:ind w:firstLine="600" w:firstLineChars="250"/>
        <w:rPr>
          <w:rFonts w:ascii="宋体" w:hAnsi="宋体"/>
          <w:kern w:val="0"/>
          <w:szCs w:val="21"/>
        </w:rPr>
      </w:pPr>
      <w:r>
        <w:rPr>
          <w:rFonts w:ascii="宋体" w:hAnsi="宋体"/>
          <w:kern w:val="0"/>
          <w:szCs w:val="21"/>
        </w:rPr>
        <w:t xml:space="preserve">（1）固定总价合同，工程结算时，结算不做调整； </w:t>
      </w:r>
    </w:p>
    <w:p w:rsidR="007900F6">
      <w:pPr>
        <w:snapToGrid w:val="0"/>
        <w:spacing w:line="360" w:lineRule="auto"/>
        <w:ind w:firstLine="600" w:firstLineChars="250"/>
        <w:rPr>
          <w:rFonts w:ascii="宋体" w:hAnsi="宋体"/>
          <w:kern w:val="0"/>
          <w:szCs w:val="21"/>
        </w:rPr>
      </w:pPr>
      <w:r>
        <w:rPr>
          <w:rFonts w:ascii="宋体" w:hAnsi="宋体"/>
          <w:kern w:val="0"/>
          <w:szCs w:val="21"/>
        </w:rPr>
        <w:t>（2）固定单价合同，工程结算时，项目单价不做调整，按实际完成的工程量结算；</w:t>
      </w:r>
    </w:p>
    <w:p w:rsidR="007900F6">
      <w:pPr>
        <w:snapToGrid w:val="0"/>
        <w:spacing w:line="360" w:lineRule="auto"/>
        <w:ind w:firstLine="480" w:firstLineChars="200"/>
        <w:rPr>
          <w:rFonts w:ascii="宋体" w:hAnsi="宋体"/>
          <w:kern w:val="0"/>
          <w:szCs w:val="21"/>
        </w:rPr>
      </w:pPr>
      <w:r>
        <w:rPr>
          <w:rFonts w:ascii="宋体" w:hAnsi="宋体" w:hint="eastAsia"/>
          <w:kern w:val="0"/>
          <w:szCs w:val="21"/>
        </w:rPr>
        <w:t>5.</w:t>
      </w:r>
      <w:r>
        <w:rPr>
          <w:rFonts w:ascii="宋体" w:hAnsi="宋体"/>
          <w:kern w:val="0"/>
          <w:szCs w:val="21"/>
        </w:rPr>
        <w:t xml:space="preserve"> 项目需求清单</w:t>
      </w:r>
    </w:p>
    <w:tbl>
      <w:tblPr>
        <w:tblStyle w:val="TableGrid"/>
        <w:tblW w:w="4604" w:type="pct"/>
        <w:jc w:val="center"/>
        <w:tblInd w:w="0" w:type="dxa"/>
        <w:tblLook w:val="0000"/>
      </w:tblPr>
      <w:tblGrid>
        <w:gridCol w:w="2106"/>
        <w:gridCol w:w="1738"/>
        <w:gridCol w:w="541"/>
        <w:gridCol w:w="517"/>
        <w:gridCol w:w="1476"/>
        <w:gridCol w:w="1476"/>
      </w:tblGrid>
      <w:tr>
        <w:tblPrEx>
          <w:tblW w:w="4604" w:type="pct"/>
          <w:jc w:val="center"/>
          <w:tblInd w:w="0" w:type="dxa"/>
          <w:tblLook w:val="0000"/>
        </w:tblPrEx>
        <w:trPr>
          <w:jc w:val="center"/>
        </w:trPr>
        <w:tc>
          <w:tcPr>
            <w:tcW w:w="1225"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采购计划编号</w:t>
            </w:r>
          </w:p>
        </w:tc>
        <w:tc>
          <w:tcPr>
            <w:tcW w:w="1213"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项目名称</w:t>
            </w:r>
          </w:p>
        </w:tc>
        <w:tc>
          <w:tcPr>
            <w:tcW w:w="451"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数量</w:t>
            </w:r>
          </w:p>
        </w:tc>
        <w:tc>
          <w:tcPr>
            <w:tcW w:w="435"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单位</w:t>
            </w:r>
          </w:p>
        </w:tc>
        <w:tc>
          <w:tcPr>
            <w:tcW w:w="867"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财政预算</w:t>
            </w:r>
          </w:p>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限额（元）</w:t>
            </w:r>
          </w:p>
        </w:tc>
        <w:tc>
          <w:tcPr>
            <w:tcW w:w="809"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最高投标</w:t>
            </w:r>
          </w:p>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限额（元）</w:t>
            </w:r>
          </w:p>
        </w:tc>
      </w:tr>
      <w:tr>
        <w:tblPrEx>
          <w:tblW w:w="4604" w:type="pct"/>
          <w:jc w:val="center"/>
          <w:tblInd w:w="0" w:type="dxa"/>
          <w:tblLook w:val="0000"/>
        </w:tblPrEx>
        <w:trPr>
          <w:jc w:val="center"/>
        </w:trPr>
        <w:tc>
          <w:tcPr>
            <w:tcW w:w="1225"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ZXBZ20224403010651</w:t>
            </w:r>
          </w:p>
        </w:tc>
        <w:tc>
          <w:tcPr>
            <w:tcW w:w="1213"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hint="eastAsia"/>
                <w:szCs w:val="21"/>
              </w:rPr>
              <w:t>生物标志物分析平台改造项目</w:t>
            </w:r>
          </w:p>
        </w:tc>
        <w:tc>
          <w:tcPr>
            <w:tcW w:w="451"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1</w:t>
            </w:r>
          </w:p>
        </w:tc>
        <w:tc>
          <w:tcPr>
            <w:tcW w:w="435"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kern w:val="0"/>
                <w:szCs w:val="21"/>
              </w:rPr>
              <w:t>项</w:t>
            </w:r>
          </w:p>
        </w:tc>
        <w:tc>
          <w:tcPr>
            <w:tcW w:w="867"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hint="eastAsia"/>
                <w:szCs w:val="21"/>
              </w:rPr>
              <w:t>2</w:t>
            </w:r>
            <w:r>
              <w:rPr>
                <w:rFonts w:ascii="宋体" w:hAnsi="宋体"/>
                <w:szCs w:val="21"/>
              </w:rPr>
              <w:t>,</w:t>
            </w:r>
            <w:r>
              <w:rPr>
                <w:rFonts w:ascii="宋体" w:hAnsi="宋体" w:hint="eastAsia"/>
                <w:szCs w:val="21"/>
              </w:rPr>
              <w:t>300</w:t>
            </w:r>
            <w:r>
              <w:rPr>
                <w:rFonts w:ascii="宋体" w:hAnsi="宋体"/>
                <w:szCs w:val="21"/>
              </w:rPr>
              <w:t>,000.00</w:t>
            </w:r>
            <w:r>
              <w:rPr>
                <w:rFonts w:ascii="宋体" w:hAnsi="宋体" w:hint="eastAsia"/>
                <w:szCs w:val="21"/>
              </w:rPr>
              <w:t>元</w:t>
            </w:r>
          </w:p>
        </w:tc>
        <w:tc>
          <w:tcPr>
            <w:tcW w:w="809" w:type="pct"/>
            <w:vAlign w:val="center"/>
          </w:tcPr>
          <w:p w:rsidR="007900F6">
            <w:pPr>
              <w:autoSpaceDE w:val="0"/>
              <w:autoSpaceDN w:val="0"/>
              <w:adjustRightInd w:val="0"/>
              <w:snapToGrid w:val="0"/>
              <w:spacing w:line="360" w:lineRule="auto"/>
              <w:jc w:val="center"/>
              <w:rPr>
                <w:rFonts w:ascii="宋体" w:hAnsi="宋体"/>
                <w:kern w:val="0"/>
                <w:szCs w:val="21"/>
              </w:rPr>
            </w:pPr>
            <w:r>
              <w:rPr>
                <w:rFonts w:ascii="宋体" w:hAnsi="宋体" w:hint="eastAsia"/>
                <w:szCs w:val="21"/>
              </w:rPr>
              <w:t>2</w:t>
            </w:r>
            <w:r>
              <w:rPr>
                <w:rFonts w:ascii="宋体" w:hAnsi="宋体"/>
                <w:szCs w:val="21"/>
              </w:rPr>
              <w:t>,</w:t>
            </w:r>
            <w:r>
              <w:rPr>
                <w:rFonts w:ascii="宋体" w:hAnsi="宋体" w:hint="eastAsia"/>
                <w:szCs w:val="21"/>
              </w:rPr>
              <w:t>300</w:t>
            </w:r>
            <w:r>
              <w:rPr>
                <w:rFonts w:ascii="宋体" w:hAnsi="宋体"/>
                <w:szCs w:val="21"/>
              </w:rPr>
              <w:t>,000.00</w:t>
            </w:r>
            <w:r>
              <w:rPr>
                <w:rFonts w:ascii="宋体" w:hAnsi="宋体" w:hint="eastAsia"/>
                <w:szCs w:val="21"/>
              </w:rPr>
              <w:t>元</w:t>
            </w:r>
          </w:p>
        </w:tc>
      </w:tr>
    </w:tbl>
    <w:p w:rsidR="007900F6">
      <w:pPr>
        <w:snapToGrid w:val="0"/>
        <w:spacing w:line="360" w:lineRule="auto"/>
        <w:ind w:firstLine="480" w:firstLineChars="200"/>
        <w:rPr>
          <w:rFonts w:ascii="宋体" w:hAnsi="宋体"/>
          <w:color w:val="000000"/>
          <w:kern w:val="0"/>
          <w:szCs w:val="21"/>
        </w:rPr>
      </w:pPr>
      <w:r>
        <w:rPr>
          <w:rFonts w:ascii="宋体" w:hAnsi="宋体" w:hint="eastAsia"/>
          <w:color w:val="000000"/>
          <w:kern w:val="0"/>
          <w:szCs w:val="21"/>
        </w:rPr>
        <w:t>6.项目特点</w:t>
      </w:r>
    </w:p>
    <w:p w:rsidR="007900F6">
      <w:pPr>
        <w:snapToGrid w:val="0"/>
        <w:spacing w:line="360" w:lineRule="auto"/>
        <w:ind w:firstLine="480" w:firstLineChars="200"/>
        <w:rPr>
          <w:rFonts w:ascii="宋体" w:hAnsi="宋体"/>
          <w:szCs w:val="21"/>
        </w:rPr>
      </w:pPr>
      <w:r>
        <w:rPr>
          <w:rFonts w:ascii="宋体" w:hAnsi="宋体" w:hint="eastAsia"/>
          <w:color w:val="000000"/>
          <w:kern w:val="0"/>
          <w:szCs w:val="21"/>
        </w:rPr>
        <w:t>（1）</w:t>
      </w:r>
      <w:r>
        <w:rPr>
          <w:rFonts w:ascii="宋体" w:hAnsi="宋体"/>
          <w:szCs w:val="21"/>
        </w:rPr>
        <w:t>工期紧张：本项目建设工期紧张</w:t>
      </w:r>
      <w:r>
        <w:rPr>
          <w:rFonts w:ascii="宋体" w:hAnsi="宋体" w:hint="eastAsia"/>
          <w:szCs w:val="21"/>
        </w:rPr>
        <w:t>：</w:t>
      </w:r>
      <w:r>
        <w:rPr>
          <w:rFonts w:ascii="宋体" w:hAnsi="宋体"/>
          <w:szCs w:val="21"/>
        </w:rPr>
        <w:t>本项目工期为50个日历日</w:t>
      </w:r>
      <w:r>
        <w:rPr>
          <w:rFonts w:ascii="宋体" w:hAnsi="宋体" w:hint="eastAsia"/>
          <w:szCs w:val="21"/>
        </w:rPr>
        <w:t>（如因疫情原因要求停止施工，项目工期顺延；</w:t>
      </w:r>
      <w:r>
        <w:rPr>
          <w:rFonts w:ascii="宋体" w:hAnsi="宋体" w:hint="eastAsia"/>
          <w:kern w:val="0"/>
          <w:szCs w:val="21"/>
        </w:rPr>
        <w:t>工作日办公时间不能噪音施工</w:t>
      </w:r>
      <w:r>
        <w:rPr>
          <w:rFonts w:ascii="宋体" w:hAnsi="宋体" w:hint="eastAsia"/>
          <w:szCs w:val="21"/>
        </w:rPr>
        <w:t>）</w:t>
      </w:r>
      <w:r>
        <w:rPr>
          <w:rFonts w:ascii="宋体" w:hAnsi="宋体"/>
          <w:szCs w:val="21"/>
        </w:rPr>
        <w:t>。</w:t>
      </w:r>
      <w:r>
        <w:rPr>
          <w:rFonts w:ascii="宋体" w:hAnsi="宋体" w:hint="eastAsia"/>
          <w:szCs w:val="21"/>
        </w:rPr>
        <w:t>中标</w:t>
      </w:r>
      <w:r>
        <w:rPr>
          <w:rFonts w:ascii="宋体" w:hAnsi="宋体"/>
          <w:szCs w:val="21"/>
        </w:rPr>
        <w:t>人需合理安排施工计划，有效的调动施工资源，有必要的情况下应配合</w:t>
      </w:r>
      <w:r>
        <w:rPr>
          <w:rFonts w:ascii="宋体" w:hAnsi="宋体" w:hint="eastAsia"/>
          <w:szCs w:val="21"/>
        </w:rPr>
        <w:t>采购</w:t>
      </w:r>
      <w:r>
        <w:rPr>
          <w:rFonts w:ascii="宋体" w:hAnsi="宋体"/>
          <w:szCs w:val="21"/>
        </w:rPr>
        <w:t>人采取恰当的抢工措施。</w:t>
      </w:r>
    </w:p>
    <w:p w:rsidR="007900F6">
      <w:pPr>
        <w:snapToGrid w:val="0"/>
        <w:spacing w:line="360" w:lineRule="auto"/>
        <w:ind w:firstLine="480" w:firstLineChars="200"/>
        <w:rPr>
          <w:rFonts w:ascii="宋体" w:hAnsi="宋体"/>
          <w:b/>
          <w:szCs w:val="21"/>
        </w:rPr>
      </w:pPr>
      <w:r>
        <w:rPr>
          <w:rFonts w:ascii="宋体" w:hAnsi="宋体" w:hint="eastAsia"/>
          <w:color w:val="000000"/>
          <w:kern w:val="0"/>
          <w:szCs w:val="21"/>
        </w:rPr>
        <w:t>（2）</w:t>
      </w:r>
      <w:r>
        <w:rPr>
          <w:rFonts w:ascii="宋体" w:hAnsi="宋体"/>
          <w:szCs w:val="21"/>
        </w:rPr>
        <w:t>实验室建设必须满足国家规范和相关技术要求：</w:t>
      </w:r>
      <w:r>
        <w:rPr>
          <w:rFonts w:ascii="宋体" w:hAnsi="宋体" w:hint="eastAsia"/>
          <w:szCs w:val="21"/>
        </w:rPr>
        <w:t>《洁净室施工及验收规范》GBJ50591-2010、《通风与空调工程施工质量验收规范》GB50243-2016、《建筑装饰装修工程质量验收规范》GB 50210-2018、《科研建筑设计标准》（JGJ91-2019）、《大气污染物综合排放标准》GB16297-1996</w:t>
      </w:r>
      <w:r>
        <w:rPr>
          <w:rFonts w:ascii="宋体" w:hAnsi="宋体"/>
          <w:szCs w:val="21"/>
        </w:rPr>
        <w:t>等。要求项目实施方</w:t>
      </w:r>
      <w:r>
        <w:rPr>
          <w:rFonts w:ascii="宋体" w:hAnsi="宋体" w:hint="eastAsia"/>
          <w:szCs w:val="21"/>
        </w:rPr>
        <w:t>基于实验室有关标准、规范基础上，融入人性化操作的特点及有关仪器操作规范要求，从安全、实用的角度出发，科学合理布置实验操作台及其他设备，达到 “安全第一”，“实用性强”，“环保节能”的效果</w:t>
      </w:r>
      <w:r>
        <w:rPr>
          <w:rFonts w:ascii="宋体" w:hAnsi="宋体"/>
          <w:szCs w:val="21"/>
        </w:rPr>
        <w:t>。</w:t>
      </w:r>
    </w:p>
    <w:p w:rsidR="007900F6">
      <w:pPr>
        <w:widowControl/>
        <w:jc w:val="left"/>
        <w:rPr>
          <w:rFonts w:ascii="宋体" w:hAnsi="宋体"/>
          <w:b/>
          <w:color w:val="000000"/>
          <w:kern w:val="0"/>
          <w:szCs w:val="21"/>
        </w:rPr>
      </w:pPr>
      <w:r>
        <w:rPr>
          <w:rFonts w:ascii="宋体" w:hAnsi="宋体"/>
          <w:b/>
          <w:color w:val="000000"/>
          <w:kern w:val="0"/>
          <w:szCs w:val="21"/>
        </w:rPr>
        <w:br w:type="page"/>
      </w:r>
    </w:p>
    <w:p w:rsidR="007900F6">
      <w:pPr>
        <w:snapToGrid w:val="0"/>
        <w:spacing w:before="60" w:beforeLines="25" w:after="60" w:afterLines="25" w:line="360" w:lineRule="auto"/>
        <w:contextualSpacing/>
        <w:rPr>
          <w:rFonts w:ascii="宋体" w:hAnsi="宋体"/>
          <w:b/>
          <w:color w:val="000000"/>
          <w:kern w:val="0"/>
          <w:szCs w:val="21"/>
        </w:rPr>
      </w:pPr>
    </w:p>
    <w:p w:rsidR="007900F6">
      <w:pPr>
        <w:snapToGrid w:val="0"/>
        <w:spacing w:before="60" w:beforeLines="25" w:after="60" w:afterLines="25" w:line="360" w:lineRule="auto"/>
        <w:rPr>
          <w:rFonts w:ascii="宋体" w:hAnsi="宋体"/>
          <w:color w:val="000000"/>
          <w:szCs w:val="21"/>
        </w:rPr>
      </w:pPr>
      <w:r>
        <w:rPr>
          <w:rFonts w:ascii="宋体" w:hAnsi="宋体" w:hint="eastAsia"/>
          <w:b/>
          <w:color w:val="000000"/>
          <w:kern w:val="0"/>
          <w:szCs w:val="21"/>
        </w:rPr>
        <w:t>三、项目技术要求：</w:t>
      </w:r>
    </w:p>
    <w:p w:rsidR="007900F6">
      <w:pPr>
        <w:snapToGrid w:val="0"/>
        <w:spacing w:before="60" w:beforeLines="25" w:after="60" w:afterLines="25" w:line="360" w:lineRule="auto"/>
        <w:rPr>
          <w:rFonts w:ascii="宋体" w:hAnsi="宋体"/>
          <w:b/>
          <w:color w:val="000000"/>
          <w:kern w:val="0"/>
          <w:szCs w:val="21"/>
        </w:rPr>
      </w:pPr>
      <w:r>
        <w:rPr>
          <w:rFonts w:ascii="宋体" w:hAnsi="宋体" w:hint="eastAsia"/>
          <w:b/>
          <w:color w:val="000000"/>
          <w:kern w:val="0"/>
          <w:szCs w:val="21"/>
        </w:rPr>
        <w:t>（一）</w:t>
      </w:r>
      <w:r>
        <w:rPr>
          <w:rFonts w:ascii="宋体" w:hAnsi="宋体"/>
          <w:b/>
          <w:color w:val="000000"/>
          <w:kern w:val="0"/>
          <w:szCs w:val="21"/>
        </w:rPr>
        <w:t>项目参考标准不限于以下规范、标准</w:t>
      </w:r>
    </w:p>
    <w:p w:rsidR="007900F6">
      <w:pPr>
        <w:snapToGrid w:val="0"/>
        <w:spacing w:line="360" w:lineRule="auto"/>
        <w:ind w:firstLine="720" w:firstLineChars="300"/>
        <w:rPr>
          <w:rFonts w:ascii="宋体" w:hAnsi="宋体"/>
          <w:b/>
          <w:color w:val="000000"/>
          <w:kern w:val="0"/>
          <w:szCs w:val="21"/>
        </w:rPr>
      </w:pPr>
      <w:r>
        <w:rPr>
          <w:rFonts w:ascii="宋体" w:hAnsi="宋体"/>
          <w:color w:val="000000"/>
          <w:kern w:val="0"/>
          <w:szCs w:val="21"/>
        </w:rPr>
        <w:t>1、严格按照以下中华人民共和国国家标准，</w:t>
      </w:r>
      <w:r>
        <w:rPr>
          <w:rFonts w:ascii="宋体" w:hAnsi="宋体" w:hint="eastAsia"/>
          <w:color w:val="000000"/>
          <w:kern w:val="0"/>
          <w:szCs w:val="21"/>
        </w:rPr>
        <w:t>达到安全与实用为一体的设计效果</w:t>
      </w:r>
      <w:r>
        <w:rPr>
          <w:rFonts w:ascii="宋体" w:hAnsi="宋体"/>
          <w:color w:val="000000"/>
          <w:kern w:val="0"/>
          <w:szCs w:val="21"/>
        </w:rPr>
        <w:t>。</w:t>
      </w:r>
    </w:p>
    <w:p w:rsidR="007900F6">
      <w:pPr>
        <w:tabs>
          <w:tab w:val="left" w:pos="1155"/>
        </w:tabs>
        <w:snapToGrid w:val="0"/>
        <w:spacing w:line="360" w:lineRule="auto"/>
        <w:ind w:firstLine="960" w:firstLineChars="400"/>
        <w:rPr>
          <w:rFonts w:ascii="宋体" w:hAnsi="宋体"/>
          <w:color w:val="000000"/>
          <w:kern w:val="0"/>
          <w:szCs w:val="21"/>
        </w:rPr>
      </w:pPr>
      <w:r>
        <w:rPr>
          <w:rFonts w:ascii="宋体" w:hAnsi="宋体"/>
          <w:color w:val="000000"/>
          <w:kern w:val="0"/>
          <w:szCs w:val="21"/>
        </w:rPr>
        <w:t>（1）专业类设计依据和技术标准</w:t>
      </w:r>
    </w:p>
    <w:tbl>
      <w:tblPr>
        <w:tblStyle w:val="TableNormal"/>
        <w:tblW w:w="5000" w:type="pct"/>
        <w:jc w:val="center"/>
        <w:tblInd w:w="0" w:type="dxa"/>
        <w:tblCellMar>
          <w:left w:w="0" w:type="dxa"/>
          <w:right w:w="0" w:type="dxa"/>
        </w:tblCellMar>
        <w:tblLook w:val="0000"/>
      </w:tblPr>
      <w:tblGrid>
        <w:gridCol w:w="393"/>
        <w:gridCol w:w="2879"/>
        <w:gridCol w:w="5257"/>
      </w:tblGrid>
      <w:tr>
        <w:tblPrEx>
          <w:tblW w:w="5000" w:type="pct"/>
          <w:jc w:val="center"/>
          <w:tblInd w:w="0" w:type="dxa"/>
          <w:tblCellMar>
            <w:left w:w="0" w:type="dxa"/>
            <w:right w:w="0" w:type="dxa"/>
          </w:tblCellMar>
          <w:tblLook w:val="0000"/>
        </w:tblPrEx>
        <w:trPr>
          <w:trHeight w:val="465"/>
          <w:jc w:val="center"/>
        </w:trPr>
        <w:tc>
          <w:tcPr>
            <w:tcW w:w="23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center"/>
              <w:rPr>
                <w:rFonts w:ascii="宋体" w:hAnsi="宋体"/>
                <w:szCs w:val="21"/>
              </w:rPr>
            </w:pPr>
            <w:r>
              <w:rPr>
                <w:rFonts w:ascii="宋体" w:hAnsi="宋体"/>
                <w:szCs w:val="21"/>
              </w:rPr>
              <w:t>1</w:t>
            </w:r>
          </w:p>
        </w:tc>
        <w:tc>
          <w:tcPr>
            <w:tcW w:w="1688"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rPr>
                <w:rFonts w:ascii="宋体" w:hAnsi="宋体"/>
                <w:szCs w:val="21"/>
              </w:rPr>
            </w:pPr>
            <w:r>
              <w:rPr>
                <w:rFonts w:ascii="宋体" w:hAnsi="宋体" w:cs="宋体" w:hint="eastAsia"/>
                <w:szCs w:val="21"/>
              </w:rPr>
              <w:t>GB50073-2013</w:t>
            </w:r>
          </w:p>
        </w:tc>
        <w:tc>
          <w:tcPr>
            <w:tcW w:w="3082"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left"/>
              <w:rPr>
                <w:rFonts w:ascii="宋体" w:hAnsi="宋体"/>
                <w:szCs w:val="21"/>
              </w:rPr>
            </w:pPr>
            <w:r>
              <w:rPr>
                <w:rFonts w:ascii="宋体" w:hAnsi="宋体" w:cs="宋体" w:hint="eastAsia"/>
                <w:szCs w:val="21"/>
              </w:rPr>
              <w:t>《洁净厂房设计规范》</w:t>
            </w:r>
          </w:p>
        </w:tc>
      </w:tr>
      <w:tr>
        <w:tblPrEx>
          <w:tblW w:w="5000" w:type="pct"/>
          <w:jc w:val="center"/>
          <w:tblInd w:w="0" w:type="dxa"/>
          <w:tblCellMar>
            <w:left w:w="0" w:type="dxa"/>
            <w:right w:w="0" w:type="dxa"/>
          </w:tblCellMar>
          <w:tblLook w:val="0000"/>
        </w:tblPrEx>
        <w:trPr>
          <w:trHeight w:val="443"/>
          <w:jc w:val="center"/>
        </w:trPr>
        <w:tc>
          <w:tcPr>
            <w:tcW w:w="23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center"/>
              <w:rPr>
                <w:rFonts w:ascii="宋体" w:hAnsi="宋体"/>
                <w:szCs w:val="21"/>
              </w:rPr>
            </w:pPr>
            <w:r>
              <w:rPr>
                <w:rFonts w:ascii="宋体" w:hAnsi="宋体"/>
                <w:szCs w:val="21"/>
              </w:rPr>
              <w:t>2</w:t>
            </w:r>
          </w:p>
        </w:tc>
        <w:tc>
          <w:tcPr>
            <w:tcW w:w="1688"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rPr>
                <w:rFonts w:ascii="宋体" w:hAnsi="宋体"/>
                <w:szCs w:val="21"/>
              </w:rPr>
            </w:pPr>
            <w:r>
              <w:rPr>
                <w:rFonts w:ascii="宋体" w:hAnsi="宋体" w:cs="宋体" w:hint="eastAsia"/>
                <w:szCs w:val="21"/>
              </w:rPr>
              <w:t>GBJ50591-2010</w:t>
            </w:r>
          </w:p>
        </w:tc>
        <w:tc>
          <w:tcPr>
            <w:tcW w:w="3082"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left"/>
              <w:rPr>
                <w:rFonts w:ascii="宋体" w:hAnsi="宋体"/>
                <w:szCs w:val="21"/>
              </w:rPr>
            </w:pPr>
            <w:r>
              <w:rPr>
                <w:rFonts w:ascii="宋体" w:hAnsi="宋体" w:cs="宋体" w:hint="eastAsia"/>
                <w:szCs w:val="21"/>
              </w:rPr>
              <w:t>《洁净室施工及验收规范》</w:t>
            </w:r>
          </w:p>
        </w:tc>
      </w:tr>
      <w:tr>
        <w:tblPrEx>
          <w:tblW w:w="5000" w:type="pct"/>
          <w:jc w:val="center"/>
          <w:tblInd w:w="0" w:type="dxa"/>
          <w:tblCellMar>
            <w:left w:w="0" w:type="dxa"/>
            <w:right w:w="0" w:type="dxa"/>
          </w:tblCellMar>
          <w:tblLook w:val="0000"/>
        </w:tblPrEx>
        <w:trPr>
          <w:trHeight w:val="443"/>
          <w:jc w:val="center"/>
        </w:trPr>
        <w:tc>
          <w:tcPr>
            <w:tcW w:w="23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center"/>
              <w:rPr>
                <w:rFonts w:ascii="宋体" w:hAnsi="宋体"/>
                <w:szCs w:val="21"/>
              </w:rPr>
            </w:pPr>
            <w:r>
              <w:rPr>
                <w:rFonts w:ascii="宋体" w:hAnsi="宋体"/>
                <w:szCs w:val="21"/>
              </w:rPr>
              <w:t>3</w:t>
            </w:r>
          </w:p>
        </w:tc>
        <w:tc>
          <w:tcPr>
            <w:tcW w:w="1688"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rPr>
                <w:rFonts w:ascii="宋体" w:hAnsi="宋体"/>
                <w:szCs w:val="21"/>
              </w:rPr>
            </w:pPr>
            <w:r>
              <w:rPr>
                <w:rFonts w:ascii="宋体" w:hAnsi="宋体"/>
                <w:szCs w:val="21"/>
              </w:rPr>
              <w:t>GB50346-2011</w:t>
            </w:r>
          </w:p>
        </w:tc>
        <w:tc>
          <w:tcPr>
            <w:tcW w:w="3082"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left"/>
              <w:rPr>
                <w:rFonts w:ascii="宋体" w:hAnsi="宋体"/>
                <w:szCs w:val="21"/>
              </w:rPr>
            </w:pPr>
            <w:r>
              <w:rPr>
                <w:rFonts w:ascii="宋体" w:hAnsi="宋体"/>
                <w:szCs w:val="21"/>
              </w:rPr>
              <w:t>《生物安全实验室建筑技术规范》</w:t>
            </w:r>
          </w:p>
        </w:tc>
      </w:tr>
      <w:tr>
        <w:tblPrEx>
          <w:tblW w:w="5000" w:type="pct"/>
          <w:jc w:val="center"/>
          <w:tblInd w:w="0" w:type="dxa"/>
          <w:tblCellMar>
            <w:left w:w="0" w:type="dxa"/>
            <w:right w:w="0" w:type="dxa"/>
          </w:tblCellMar>
          <w:tblLook w:val="0000"/>
        </w:tblPrEx>
        <w:trPr>
          <w:trHeight w:val="462"/>
          <w:jc w:val="center"/>
        </w:trPr>
        <w:tc>
          <w:tcPr>
            <w:tcW w:w="23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center"/>
              <w:rPr>
                <w:rFonts w:ascii="宋体" w:hAnsi="宋体"/>
                <w:szCs w:val="21"/>
              </w:rPr>
            </w:pPr>
            <w:r>
              <w:rPr>
                <w:rFonts w:ascii="宋体" w:hAnsi="宋体"/>
                <w:szCs w:val="21"/>
              </w:rPr>
              <w:t>4</w:t>
            </w:r>
          </w:p>
        </w:tc>
        <w:tc>
          <w:tcPr>
            <w:tcW w:w="1688"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rPr>
                <w:rFonts w:ascii="宋体" w:hAnsi="宋体"/>
                <w:szCs w:val="21"/>
              </w:rPr>
            </w:pPr>
            <w:r>
              <w:rPr>
                <w:rFonts w:ascii="宋体" w:hAnsi="宋体"/>
                <w:szCs w:val="21"/>
              </w:rPr>
              <w:t>GB19489—2008</w:t>
            </w:r>
          </w:p>
        </w:tc>
        <w:tc>
          <w:tcPr>
            <w:tcW w:w="3082"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left"/>
              <w:rPr>
                <w:rFonts w:ascii="宋体" w:hAnsi="宋体"/>
                <w:szCs w:val="21"/>
              </w:rPr>
            </w:pPr>
            <w:r>
              <w:rPr>
                <w:rFonts w:ascii="宋体" w:hAnsi="宋体"/>
                <w:szCs w:val="21"/>
              </w:rPr>
              <w:t>《实验室生物安全通用要求》</w:t>
            </w:r>
          </w:p>
        </w:tc>
      </w:tr>
      <w:tr>
        <w:tblPrEx>
          <w:tblW w:w="5000" w:type="pct"/>
          <w:jc w:val="center"/>
          <w:tblInd w:w="0" w:type="dxa"/>
          <w:tblCellMar>
            <w:left w:w="0" w:type="dxa"/>
            <w:right w:w="0" w:type="dxa"/>
          </w:tblCellMar>
          <w:tblLook w:val="0000"/>
        </w:tblPrEx>
        <w:trPr>
          <w:trHeight w:val="469"/>
          <w:jc w:val="center"/>
        </w:trPr>
        <w:tc>
          <w:tcPr>
            <w:tcW w:w="23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center"/>
              <w:rPr>
                <w:rFonts w:ascii="宋体" w:hAnsi="宋体"/>
                <w:szCs w:val="21"/>
              </w:rPr>
            </w:pPr>
            <w:r>
              <w:rPr>
                <w:rFonts w:ascii="宋体" w:hAnsi="宋体"/>
                <w:szCs w:val="21"/>
              </w:rPr>
              <w:t>5</w:t>
            </w:r>
          </w:p>
        </w:tc>
        <w:tc>
          <w:tcPr>
            <w:tcW w:w="1688"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rPr>
                <w:rFonts w:ascii="宋体" w:hAnsi="宋体"/>
                <w:szCs w:val="21"/>
              </w:rPr>
            </w:pPr>
            <w:r>
              <w:rPr>
                <w:rFonts w:ascii="宋体" w:hAnsi="宋体" w:cs="宋体" w:hint="eastAsia"/>
                <w:szCs w:val="21"/>
              </w:rPr>
              <w:t>WS 233-2017</w:t>
            </w:r>
          </w:p>
        </w:tc>
        <w:tc>
          <w:tcPr>
            <w:tcW w:w="3082"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left"/>
              <w:rPr>
                <w:rFonts w:ascii="宋体" w:hAnsi="宋体"/>
                <w:szCs w:val="21"/>
              </w:rPr>
            </w:pPr>
            <w:r>
              <w:rPr>
                <w:rFonts w:ascii="宋体" w:hAnsi="宋体" w:cs="宋体" w:hint="eastAsia"/>
                <w:szCs w:val="21"/>
              </w:rPr>
              <w:t>《病原微生物和生物医学实验室生物安全通用准则》</w:t>
            </w:r>
          </w:p>
        </w:tc>
      </w:tr>
      <w:tr>
        <w:tblPrEx>
          <w:tblW w:w="5000" w:type="pct"/>
          <w:jc w:val="center"/>
          <w:tblInd w:w="0" w:type="dxa"/>
          <w:tblCellMar>
            <w:left w:w="0" w:type="dxa"/>
            <w:right w:w="0" w:type="dxa"/>
          </w:tblCellMar>
          <w:tblLook w:val="0000"/>
        </w:tblPrEx>
        <w:trPr>
          <w:trHeight w:val="461"/>
          <w:jc w:val="center"/>
        </w:trPr>
        <w:tc>
          <w:tcPr>
            <w:tcW w:w="23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center"/>
              <w:rPr>
                <w:rFonts w:ascii="宋体" w:hAnsi="宋体"/>
                <w:szCs w:val="21"/>
              </w:rPr>
            </w:pPr>
            <w:r>
              <w:rPr>
                <w:rFonts w:ascii="宋体" w:hAnsi="宋体"/>
                <w:szCs w:val="21"/>
              </w:rPr>
              <w:t>6</w:t>
            </w:r>
          </w:p>
        </w:tc>
        <w:tc>
          <w:tcPr>
            <w:tcW w:w="1688"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rPr>
                <w:rFonts w:ascii="宋体" w:hAnsi="宋体"/>
                <w:szCs w:val="21"/>
              </w:rPr>
            </w:pPr>
            <w:r>
              <w:rPr>
                <w:rFonts w:ascii="宋体" w:hAnsi="宋体" w:cs="宋体" w:hint="eastAsia"/>
                <w:szCs w:val="21"/>
              </w:rPr>
              <w:t>GB16297-1996</w:t>
            </w:r>
          </w:p>
        </w:tc>
        <w:tc>
          <w:tcPr>
            <w:tcW w:w="3082"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adjustRightInd w:val="0"/>
              <w:snapToGrid w:val="0"/>
              <w:spacing w:line="360" w:lineRule="auto"/>
              <w:jc w:val="left"/>
              <w:rPr>
                <w:rFonts w:ascii="宋体" w:hAnsi="宋体"/>
                <w:szCs w:val="21"/>
              </w:rPr>
            </w:pPr>
            <w:r>
              <w:rPr>
                <w:rFonts w:ascii="宋体" w:hAnsi="宋体" w:cs="宋体" w:hint="eastAsia"/>
                <w:szCs w:val="21"/>
              </w:rPr>
              <w:t>《大气污染物综合排放标准》</w:t>
            </w:r>
          </w:p>
        </w:tc>
      </w:tr>
    </w:tbl>
    <w:p w:rsidR="007900F6">
      <w:pPr>
        <w:snapToGrid w:val="0"/>
        <w:spacing w:line="360" w:lineRule="auto"/>
        <w:ind w:firstLine="960" w:firstLineChars="400"/>
        <w:contextualSpacing/>
        <w:rPr>
          <w:rFonts w:ascii="宋体" w:hAnsi="宋体"/>
          <w:color w:val="000000"/>
          <w:kern w:val="0"/>
          <w:szCs w:val="21"/>
        </w:rPr>
      </w:pPr>
    </w:p>
    <w:p w:rsidR="007900F6">
      <w:pPr>
        <w:widowControl/>
        <w:tabs>
          <w:tab w:val="left" w:pos="1155"/>
        </w:tabs>
        <w:ind w:firstLine="960" w:firstLineChars="400"/>
        <w:jc w:val="left"/>
        <w:rPr>
          <w:rFonts w:ascii="宋体" w:hAnsi="宋体"/>
          <w:color w:val="000000"/>
          <w:kern w:val="0"/>
          <w:szCs w:val="21"/>
        </w:rPr>
      </w:pPr>
      <w:r>
        <w:rPr>
          <w:rFonts w:ascii="宋体" w:hAnsi="宋体" w:hint="eastAsia"/>
          <w:color w:val="000000"/>
          <w:kern w:val="0"/>
          <w:szCs w:val="21"/>
        </w:rPr>
        <w:t>（2）</w:t>
      </w:r>
      <w:r>
        <w:rPr>
          <w:szCs w:val="21"/>
        </w:rPr>
        <w:t>通用类设计依据和技术标准</w:t>
      </w:r>
    </w:p>
    <w:tbl>
      <w:tblPr>
        <w:tblStyle w:val="TableNormal"/>
        <w:tblW w:w="5000" w:type="pct"/>
        <w:jc w:val="center"/>
        <w:tblInd w:w="0" w:type="dxa"/>
        <w:tblCellMar>
          <w:left w:w="0" w:type="dxa"/>
          <w:right w:w="0" w:type="dxa"/>
        </w:tblCellMar>
        <w:tblLook w:val="0000"/>
      </w:tblPr>
      <w:tblGrid>
        <w:gridCol w:w="426"/>
        <w:gridCol w:w="2859"/>
        <w:gridCol w:w="5244"/>
      </w:tblGrid>
      <w:tr>
        <w:tblPrEx>
          <w:tblW w:w="5000" w:type="pct"/>
          <w:jc w:val="center"/>
          <w:tblInd w:w="0" w:type="dxa"/>
          <w:tblCellMar>
            <w:left w:w="0" w:type="dxa"/>
            <w:right w:w="0" w:type="dxa"/>
          </w:tblCellMar>
          <w:tblLook w:val="0000"/>
        </w:tblPrEx>
        <w:trPr>
          <w:trHeight w:val="465"/>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GB50736-2012</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《民用建筑采暖通风与空气调节设计规范》</w:t>
            </w:r>
          </w:p>
        </w:tc>
      </w:tr>
      <w:tr>
        <w:tblPrEx>
          <w:tblW w:w="5000" w:type="pct"/>
          <w:jc w:val="center"/>
          <w:tblInd w:w="0" w:type="dxa"/>
          <w:tblCellMar>
            <w:left w:w="0" w:type="dxa"/>
            <w:right w:w="0" w:type="dxa"/>
          </w:tblCellMar>
          <w:tblLook w:val="0000"/>
        </w:tblPrEx>
        <w:trPr>
          <w:trHeight w:val="462"/>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2</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GB50243-2016</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《通风与空调工程施工及验收规范》</w:t>
            </w:r>
          </w:p>
        </w:tc>
      </w:tr>
      <w:tr>
        <w:tblPrEx>
          <w:tblW w:w="5000" w:type="pct"/>
          <w:jc w:val="center"/>
          <w:tblInd w:w="0" w:type="dxa"/>
          <w:tblCellMar>
            <w:left w:w="0" w:type="dxa"/>
            <w:right w:w="0" w:type="dxa"/>
          </w:tblCellMar>
          <w:tblLook w:val="0000"/>
        </w:tblPrEx>
        <w:trPr>
          <w:trHeight w:val="462"/>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3</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GB/T14295-2008</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《空气过滤器》</w:t>
            </w:r>
          </w:p>
        </w:tc>
      </w:tr>
      <w:tr>
        <w:tblPrEx>
          <w:tblW w:w="5000" w:type="pct"/>
          <w:jc w:val="center"/>
          <w:tblInd w:w="0" w:type="dxa"/>
          <w:tblCellMar>
            <w:left w:w="0" w:type="dxa"/>
            <w:right w:w="0" w:type="dxa"/>
          </w:tblCellMar>
          <w:tblLook w:val="0000"/>
        </w:tblPrEx>
        <w:trPr>
          <w:trHeight w:val="462"/>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4</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GB/T13554-2008</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 xml:space="preserve">《高效空气过滤器》  </w:t>
            </w:r>
          </w:p>
        </w:tc>
      </w:tr>
      <w:tr>
        <w:tblPrEx>
          <w:tblW w:w="5000" w:type="pct"/>
          <w:jc w:val="center"/>
          <w:tblInd w:w="0" w:type="dxa"/>
          <w:tblCellMar>
            <w:left w:w="0" w:type="dxa"/>
            <w:right w:w="0" w:type="dxa"/>
          </w:tblCellMar>
          <w:tblLook w:val="0000"/>
        </w:tblPrEx>
        <w:trPr>
          <w:trHeight w:val="462"/>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5</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GB50015-2019</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《建筑给排水设计规范》</w:t>
            </w:r>
          </w:p>
        </w:tc>
      </w:tr>
      <w:tr>
        <w:tblPrEx>
          <w:tblW w:w="5000" w:type="pct"/>
          <w:jc w:val="center"/>
          <w:tblInd w:w="0" w:type="dxa"/>
          <w:tblCellMar>
            <w:left w:w="0" w:type="dxa"/>
            <w:right w:w="0" w:type="dxa"/>
          </w:tblCellMar>
          <w:tblLook w:val="0000"/>
        </w:tblPrEx>
        <w:trPr>
          <w:trHeight w:val="462"/>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6</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GB50242-2002</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《建筑给水排水及采暖工程施工质量验收规范》</w:t>
            </w:r>
          </w:p>
        </w:tc>
      </w:tr>
      <w:tr>
        <w:tblPrEx>
          <w:tblW w:w="5000" w:type="pct"/>
          <w:jc w:val="center"/>
          <w:tblInd w:w="0" w:type="dxa"/>
          <w:tblCellMar>
            <w:left w:w="0" w:type="dxa"/>
            <w:right w:w="0" w:type="dxa"/>
          </w:tblCellMar>
          <w:tblLook w:val="0000"/>
        </w:tblPrEx>
        <w:trPr>
          <w:trHeight w:val="462"/>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7</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GB50555-2010</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《民用建筑节水设计标准》</w:t>
            </w:r>
          </w:p>
        </w:tc>
      </w:tr>
      <w:tr>
        <w:tblPrEx>
          <w:tblW w:w="5000" w:type="pct"/>
          <w:jc w:val="center"/>
          <w:tblInd w:w="0" w:type="dxa"/>
          <w:tblCellMar>
            <w:left w:w="0" w:type="dxa"/>
            <w:right w:w="0" w:type="dxa"/>
          </w:tblCellMar>
          <w:tblLook w:val="0000"/>
        </w:tblPrEx>
        <w:trPr>
          <w:trHeight w:val="469"/>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8</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hint="eastAsia"/>
                <w:szCs w:val="21"/>
              </w:rPr>
              <w:t>（</w:t>
            </w:r>
            <w:r>
              <w:rPr>
                <w:rFonts w:ascii="宋体" w:hAnsi="宋体"/>
                <w:szCs w:val="21"/>
              </w:rPr>
              <w:t>GB50016-2014）2018年版</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《建筑设计防火规范》</w:t>
            </w:r>
          </w:p>
        </w:tc>
      </w:tr>
      <w:tr>
        <w:tblPrEx>
          <w:tblW w:w="5000" w:type="pct"/>
          <w:jc w:val="center"/>
          <w:tblInd w:w="0" w:type="dxa"/>
          <w:tblCellMar>
            <w:left w:w="0" w:type="dxa"/>
            <w:right w:w="0" w:type="dxa"/>
          </w:tblCellMar>
          <w:tblLook w:val="0000"/>
        </w:tblPrEx>
        <w:trPr>
          <w:trHeight w:val="463"/>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9</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GB50222—</w:t>
            </w:r>
            <w:r>
              <w:rPr>
                <w:rFonts w:ascii="宋体" w:hAnsi="宋体" w:cs="宋体" w:hint="eastAsia"/>
                <w:szCs w:val="21"/>
              </w:rPr>
              <w:t>2017</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《建筑内部装修设计防火规范》</w:t>
            </w:r>
          </w:p>
        </w:tc>
      </w:tr>
      <w:tr>
        <w:tblPrEx>
          <w:tblW w:w="5000" w:type="pct"/>
          <w:jc w:val="center"/>
          <w:tblInd w:w="0" w:type="dxa"/>
          <w:tblCellMar>
            <w:left w:w="0" w:type="dxa"/>
            <w:right w:w="0" w:type="dxa"/>
          </w:tblCellMar>
          <w:tblLook w:val="0000"/>
        </w:tblPrEx>
        <w:trPr>
          <w:trHeight w:val="463"/>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10</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GB50210-2018</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《建筑装饰工程质量验收规范》</w:t>
            </w:r>
          </w:p>
        </w:tc>
      </w:tr>
      <w:tr>
        <w:tblPrEx>
          <w:tblW w:w="5000" w:type="pct"/>
          <w:jc w:val="center"/>
          <w:tblInd w:w="0" w:type="dxa"/>
          <w:tblCellMar>
            <w:left w:w="0" w:type="dxa"/>
            <w:right w:w="0" w:type="dxa"/>
          </w:tblCellMar>
          <w:tblLook w:val="0000"/>
        </w:tblPrEx>
        <w:trPr>
          <w:trHeight w:val="469"/>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11</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GB50054—2011</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《低压配电设计规范》</w:t>
            </w:r>
          </w:p>
        </w:tc>
      </w:tr>
      <w:tr>
        <w:tblPrEx>
          <w:tblW w:w="5000" w:type="pct"/>
          <w:jc w:val="center"/>
          <w:tblInd w:w="0" w:type="dxa"/>
          <w:tblCellMar>
            <w:left w:w="0" w:type="dxa"/>
            <w:right w:w="0" w:type="dxa"/>
          </w:tblCellMar>
          <w:tblLook w:val="0000"/>
        </w:tblPrEx>
        <w:trPr>
          <w:trHeight w:val="461"/>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12</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GB50055—2011</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《通用用电设备配电设计规范》</w:t>
            </w:r>
          </w:p>
        </w:tc>
      </w:tr>
      <w:tr>
        <w:tblPrEx>
          <w:tblW w:w="5000" w:type="pct"/>
          <w:jc w:val="center"/>
          <w:tblInd w:w="0" w:type="dxa"/>
          <w:tblCellMar>
            <w:left w:w="0" w:type="dxa"/>
            <w:right w:w="0" w:type="dxa"/>
          </w:tblCellMar>
          <w:tblLook w:val="0000"/>
        </w:tblPrEx>
        <w:trPr>
          <w:trHeight w:val="439"/>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13</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JGJ16—2008</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《民用建筑电气设计规范》</w:t>
            </w:r>
          </w:p>
        </w:tc>
      </w:tr>
      <w:tr>
        <w:tblPrEx>
          <w:tblW w:w="5000" w:type="pct"/>
          <w:jc w:val="center"/>
          <w:tblInd w:w="0" w:type="dxa"/>
          <w:tblCellMar>
            <w:left w:w="0" w:type="dxa"/>
            <w:right w:w="0" w:type="dxa"/>
          </w:tblCellMar>
          <w:tblLook w:val="0000"/>
        </w:tblPrEx>
        <w:trPr>
          <w:trHeight w:val="439"/>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14</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GB50325-2020</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《民用建筑工程室内环境污染控制规范》</w:t>
            </w:r>
          </w:p>
        </w:tc>
      </w:tr>
      <w:tr>
        <w:tblPrEx>
          <w:tblW w:w="5000" w:type="pct"/>
          <w:jc w:val="center"/>
          <w:tblInd w:w="0" w:type="dxa"/>
          <w:tblCellMar>
            <w:left w:w="0" w:type="dxa"/>
            <w:right w:w="0" w:type="dxa"/>
          </w:tblCellMar>
          <w:tblLook w:val="0000"/>
        </w:tblPrEx>
        <w:trPr>
          <w:trHeight w:val="439"/>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15</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GB50303-2015</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《建筑电气工程施工质量验收规范》</w:t>
            </w:r>
          </w:p>
        </w:tc>
      </w:tr>
      <w:tr>
        <w:tblPrEx>
          <w:tblW w:w="5000" w:type="pct"/>
          <w:jc w:val="center"/>
          <w:tblInd w:w="0" w:type="dxa"/>
          <w:tblCellMar>
            <w:left w:w="0" w:type="dxa"/>
            <w:right w:w="0" w:type="dxa"/>
          </w:tblCellMar>
          <w:tblLook w:val="0000"/>
        </w:tblPrEx>
        <w:trPr>
          <w:trHeight w:val="472"/>
          <w:jc w:val="center"/>
        </w:trPr>
        <w:tc>
          <w:tcPr>
            <w:tcW w:w="250" w:type="pct"/>
            <w:tcBorders>
              <w:top w:val="nil"/>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16</w:t>
            </w:r>
          </w:p>
        </w:tc>
        <w:tc>
          <w:tcPr>
            <w:tcW w:w="1676"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GB50591-2010</w:t>
            </w:r>
          </w:p>
        </w:tc>
        <w:tc>
          <w:tcPr>
            <w:tcW w:w="3074" w:type="pct"/>
            <w:tcBorders>
              <w:top w:val="nil"/>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《洁净室施工及验收规范》</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17</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GB50395-2007</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《视频安防监控系统工程设计规范》</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18</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GB/T50312-2007</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《建筑及建筑群综合布线系统工程设计规范》</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19</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GB/T50314-2006</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《智能建筑设计标准》</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20</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GB50034-2013</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《建筑照明设计标准》</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21</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GB50189-2015</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《公共建筑节能设计标准》</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22</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GB50457-2019</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《医药工业洁净厂房设计规范》</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23</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JGJ91-2019</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cs="宋体" w:hint="eastAsia"/>
                <w:szCs w:val="21"/>
              </w:rPr>
              <w:t>《科研建筑设计标准》</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24</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GB51309-2018</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《消防应急照明和疏散指示系统技术规范》</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25</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GB/T27025-2008</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《检测和校准实验室能力的通用要求》</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szCs w:val="21"/>
              </w:rPr>
              <w:t>26</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szCs w:val="21"/>
              </w:rPr>
              <w:t>JGJ91-2019</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szCs w:val="21"/>
              </w:rPr>
              <w:t>《科研建筑设计标准》</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hint="eastAsia"/>
                <w:szCs w:val="21"/>
              </w:rPr>
              <w:t>27</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szCs w:val="21"/>
              </w:rPr>
            </w:pPr>
            <w:r>
              <w:rPr>
                <w:rFonts w:ascii="宋体" w:hAnsi="宋体" w:cs="宋体" w:hint="eastAsia"/>
                <w:szCs w:val="21"/>
              </w:rPr>
              <w:t>GB50118-2010</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szCs w:val="21"/>
              </w:rPr>
            </w:pPr>
            <w:r>
              <w:rPr>
                <w:rFonts w:ascii="宋体" w:hAnsi="宋体" w:cs="宋体" w:hint="eastAsia"/>
                <w:szCs w:val="21"/>
              </w:rPr>
              <w:t>《民用建筑隔声设计规范》</w:t>
            </w:r>
          </w:p>
        </w:tc>
      </w:tr>
      <w:tr>
        <w:tblPrEx>
          <w:tblW w:w="5000" w:type="pct"/>
          <w:jc w:val="center"/>
          <w:tblInd w:w="0" w:type="dxa"/>
          <w:tblCellMar>
            <w:left w:w="0" w:type="dxa"/>
            <w:right w:w="0" w:type="dxa"/>
          </w:tblCellMar>
          <w:tblLook w:val="0000"/>
        </w:tblPrEx>
        <w:trPr>
          <w:trHeight w:val="472"/>
          <w:jc w:val="center"/>
        </w:trPr>
        <w:tc>
          <w:tcPr>
            <w:tcW w:w="25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center"/>
              <w:rPr>
                <w:rFonts w:ascii="宋体" w:hAnsi="宋体"/>
                <w:szCs w:val="21"/>
              </w:rPr>
            </w:pPr>
            <w:r>
              <w:rPr>
                <w:rFonts w:ascii="宋体" w:hAnsi="宋体" w:hint="eastAsia"/>
                <w:szCs w:val="21"/>
              </w:rPr>
              <w:t>28</w:t>
            </w:r>
          </w:p>
        </w:tc>
        <w:tc>
          <w:tcPr>
            <w:tcW w:w="1676"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rPr>
                <w:rFonts w:ascii="宋体" w:hAnsi="宋体" w:cs="宋体"/>
                <w:szCs w:val="21"/>
              </w:rPr>
            </w:pPr>
            <w:r>
              <w:rPr>
                <w:rFonts w:ascii="宋体" w:hAnsi="宋体" w:cs="宋体" w:hint="eastAsia"/>
                <w:szCs w:val="21"/>
              </w:rPr>
              <w:t>GB50052-2009</w:t>
            </w:r>
          </w:p>
        </w:tc>
        <w:tc>
          <w:tcPr>
            <w:tcW w:w="3074" w:type="pct"/>
            <w:tcBorders>
              <w:top w:val="single" w:sz="2" w:space="0" w:color="auto"/>
              <w:left w:val="nil"/>
              <w:bottom w:val="single" w:sz="2" w:space="0" w:color="auto"/>
              <w:right w:val="single" w:sz="2" w:space="0" w:color="auto"/>
            </w:tcBorders>
            <w:tcMar>
              <w:top w:w="0" w:type="dxa"/>
              <w:left w:w="108" w:type="dxa"/>
              <w:bottom w:w="0" w:type="dxa"/>
              <w:right w:w="108" w:type="dxa"/>
            </w:tcMar>
            <w:vAlign w:val="center"/>
          </w:tcPr>
          <w:p w:rsidR="007900F6">
            <w:pPr>
              <w:widowControl/>
              <w:snapToGrid w:val="0"/>
              <w:spacing w:line="360" w:lineRule="auto"/>
              <w:jc w:val="left"/>
              <w:rPr>
                <w:rFonts w:ascii="宋体" w:hAnsi="宋体" w:cs="宋体"/>
                <w:szCs w:val="21"/>
              </w:rPr>
            </w:pPr>
            <w:r>
              <w:rPr>
                <w:rFonts w:ascii="宋体" w:hAnsi="宋体" w:cs="宋体" w:hint="eastAsia"/>
                <w:szCs w:val="21"/>
              </w:rPr>
              <w:t>《供配电系统规范》</w:t>
            </w:r>
          </w:p>
        </w:tc>
      </w:tr>
    </w:tbl>
    <w:p w:rsidR="007900F6">
      <w:pPr>
        <w:snapToGrid w:val="0"/>
        <w:spacing w:line="360" w:lineRule="auto"/>
        <w:ind w:firstLine="720" w:firstLineChars="300"/>
        <w:contextualSpacing/>
        <w:rPr>
          <w:rFonts w:ascii="宋体" w:hAnsi="宋体"/>
          <w:color w:val="000000"/>
          <w:kern w:val="0"/>
          <w:szCs w:val="21"/>
        </w:rPr>
      </w:pPr>
    </w:p>
    <w:p w:rsidR="007900F6">
      <w:pPr>
        <w:widowControl/>
        <w:snapToGrid w:val="0"/>
        <w:spacing w:line="360" w:lineRule="auto"/>
        <w:ind w:left="1080" w:hanging="360" w:leftChars="300" w:hangingChars="150"/>
        <w:jc w:val="left"/>
        <w:rPr>
          <w:rFonts w:ascii="宋体" w:hAnsi="宋体"/>
          <w:color w:val="000000"/>
          <w:kern w:val="0"/>
          <w:szCs w:val="21"/>
        </w:rPr>
      </w:pPr>
      <w:r>
        <w:rPr>
          <w:rFonts w:ascii="宋体" w:hAnsi="宋体" w:hint="eastAsia"/>
          <w:color w:val="000000"/>
          <w:kern w:val="0"/>
          <w:szCs w:val="21"/>
        </w:rPr>
        <w:t>2、</w:t>
      </w:r>
      <w:r>
        <w:rPr>
          <w:szCs w:val="21"/>
        </w:rPr>
        <w:t>以上所列的主要技术标准和规范，如未能达到国际和国内最新标准时，中标人应使系统的施工及选用的设备和材料符合最新的国际、国内标准。实验</w:t>
      </w:r>
      <w:r>
        <w:rPr>
          <w:rFonts w:hint="eastAsia"/>
          <w:szCs w:val="21"/>
        </w:rPr>
        <w:t>室</w:t>
      </w:r>
      <w:r>
        <w:rPr>
          <w:szCs w:val="21"/>
        </w:rPr>
        <w:t>环境各项指标，在不同版本有冲突时，以高标准为准。</w:t>
      </w:r>
    </w:p>
    <w:p w:rsidR="007900F6">
      <w:pPr>
        <w:snapToGrid w:val="0"/>
        <w:spacing w:line="360" w:lineRule="auto"/>
        <w:ind w:left="1080" w:hanging="360" w:leftChars="300" w:hangingChars="150"/>
        <w:contextualSpacing/>
        <w:rPr>
          <w:rFonts w:ascii="宋体" w:hAnsi="宋体"/>
          <w:color w:val="000000"/>
          <w:kern w:val="0"/>
          <w:szCs w:val="21"/>
        </w:rPr>
      </w:pPr>
      <w:r>
        <w:rPr>
          <w:rFonts w:ascii="宋体" w:hAnsi="宋体" w:hint="eastAsia"/>
          <w:color w:val="000000"/>
          <w:kern w:val="0"/>
          <w:szCs w:val="21"/>
        </w:rPr>
        <w:t>3、</w:t>
      </w:r>
      <w:r>
        <w:rPr>
          <w:szCs w:val="21"/>
        </w:rPr>
        <w:t>施工应安全坚固、使用方便、美观、便于清洁，净化设计施工应性价比高、节能环保、坚固耐用、维护方便。</w:t>
      </w:r>
    </w:p>
    <w:p w:rsidR="007900F6">
      <w:pPr>
        <w:snapToGrid w:val="0"/>
        <w:spacing w:line="360" w:lineRule="auto"/>
        <w:ind w:firstLine="720" w:firstLineChars="300"/>
        <w:contextualSpacing/>
        <w:rPr>
          <w:rFonts w:ascii="宋体" w:hAnsi="宋体"/>
          <w:color w:val="000000"/>
          <w:kern w:val="0"/>
          <w:szCs w:val="21"/>
        </w:rPr>
      </w:pPr>
      <w:r>
        <w:rPr>
          <w:rFonts w:ascii="宋体" w:hAnsi="宋体" w:hint="eastAsia"/>
          <w:color w:val="000000"/>
          <w:kern w:val="0"/>
          <w:szCs w:val="21"/>
        </w:rPr>
        <w:t>4、</w:t>
      </w:r>
      <w:r>
        <w:rPr>
          <w:szCs w:val="21"/>
        </w:rPr>
        <w:t>工程应用料扎实，净化工程关键部件采用知名品牌，以保证工程质量。</w:t>
      </w:r>
    </w:p>
    <w:p w:rsidR="007900F6">
      <w:pPr>
        <w:snapToGrid w:val="0"/>
        <w:spacing w:line="360" w:lineRule="auto"/>
        <w:ind w:firstLine="720" w:firstLineChars="300"/>
        <w:contextualSpacing/>
        <w:rPr>
          <w:szCs w:val="21"/>
        </w:rPr>
      </w:pPr>
      <w:r>
        <w:rPr>
          <w:rFonts w:ascii="宋体" w:hAnsi="宋体" w:hint="eastAsia"/>
          <w:color w:val="000000"/>
          <w:kern w:val="0"/>
          <w:szCs w:val="21"/>
        </w:rPr>
        <w:t>5、</w:t>
      </w:r>
      <w:r>
        <w:rPr>
          <w:szCs w:val="21"/>
        </w:rPr>
        <w:t>工程施工要求自动化和智能化程度高，便于管理与操作。</w:t>
      </w:r>
    </w:p>
    <w:p w:rsidR="007900F6">
      <w:pPr>
        <w:snapToGrid w:val="0"/>
        <w:spacing w:before="60" w:beforeLines="25" w:after="60" w:afterLines="25" w:line="360" w:lineRule="auto"/>
        <w:contextualSpacing/>
        <w:rPr>
          <w:rFonts w:ascii="宋体" w:hAnsi="宋体"/>
          <w:b/>
          <w:color w:val="000000"/>
          <w:kern w:val="0"/>
          <w:szCs w:val="21"/>
        </w:rPr>
      </w:pPr>
      <w:r>
        <w:rPr>
          <w:rFonts w:ascii="宋体" w:hAnsi="宋体" w:hint="eastAsia"/>
          <w:b/>
          <w:color w:val="000000"/>
          <w:kern w:val="0"/>
          <w:szCs w:val="21"/>
        </w:rPr>
        <w:t>（二）具体技术要求</w:t>
      </w:r>
    </w:p>
    <w:p w:rsidR="007900F6">
      <w:pPr>
        <w:snapToGrid w:val="0"/>
        <w:spacing w:line="360" w:lineRule="auto"/>
        <w:contextualSpacing/>
        <w:rPr>
          <w:rFonts w:ascii="宋体" w:hAnsi="宋体"/>
          <w:b/>
          <w:bCs/>
          <w:szCs w:val="21"/>
        </w:rPr>
      </w:pPr>
      <w:r>
        <w:rPr>
          <w:rFonts w:ascii="宋体" w:hAnsi="宋体"/>
          <w:b/>
          <w:bCs/>
          <w:szCs w:val="21"/>
        </w:rPr>
        <w:t>（1）材料具体技术要求</w:t>
      </w:r>
    </w:p>
    <w:p w:rsidR="007900F6">
      <w:pPr>
        <w:snapToGrid w:val="0"/>
        <w:spacing w:line="360" w:lineRule="auto"/>
        <w:ind w:firstLine="480" w:firstLineChars="200"/>
        <w:rPr>
          <w:rFonts w:ascii="宋体" w:hAnsi="宋体"/>
          <w:szCs w:val="21"/>
        </w:rPr>
      </w:pPr>
      <w:r>
        <w:rPr>
          <w:rFonts w:ascii="宋体" w:hAnsi="宋体"/>
          <w:szCs w:val="21"/>
        </w:rPr>
        <w:t>注意：</w:t>
      </w:r>
    </w:p>
    <w:p w:rsidR="007900F6">
      <w:pPr>
        <w:snapToGrid w:val="0"/>
        <w:spacing w:line="360" w:lineRule="auto"/>
        <w:ind w:firstLine="720" w:firstLineChars="300"/>
        <w:rPr>
          <w:rFonts w:ascii="宋体" w:hAnsi="宋体"/>
          <w:szCs w:val="21"/>
        </w:rPr>
      </w:pPr>
      <w:r>
        <w:rPr>
          <w:rFonts w:ascii="宋体" w:hAnsi="宋体"/>
          <w:szCs w:val="21"/>
        </w:rPr>
        <w:t>1</w:t>
      </w:r>
      <w:r>
        <w:rPr>
          <w:rFonts w:ascii="宋体" w:hAnsi="宋体" w:hint="eastAsia"/>
          <w:szCs w:val="21"/>
        </w:rPr>
        <w:t>、</w:t>
      </w:r>
      <w:r>
        <w:rPr>
          <w:rFonts w:ascii="宋体" w:hAnsi="宋体"/>
          <w:szCs w:val="21"/>
        </w:rPr>
        <w:t>中标人对工程上使用的所有材料必须经设计、监理、</w:t>
      </w:r>
      <w:r>
        <w:rPr>
          <w:rFonts w:ascii="宋体" w:hAnsi="宋体" w:hint="eastAsia"/>
          <w:szCs w:val="21"/>
        </w:rPr>
        <w:t>采购</w:t>
      </w:r>
      <w:r>
        <w:rPr>
          <w:rFonts w:ascii="宋体" w:hAnsi="宋体"/>
          <w:szCs w:val="21"/>
        </w:rPr>
        <w:t>人及使用单位确认后才能大批量进场。</w:t>
      </w:r>
    </w:p>
    <w:p w:rsidR="007900F6">
      <w:pPr>
        <w:snapToGrid w:val="0"/>
        <w:spacing w:line="360" w:lineRule="auto"/>
        <w:ind w:firstLine="720" w:firstLineChars="300"/>
        <w:rPr>
          <w:rFonts w:ascii="宋体" w:hAnsi="宋体"/>
          <w:szCs w:val="21"/>
        </w:rPr>
      </w:pPr>
      <w:r>
        <w:rPr>
          <w:rFonts w:ascii="宋体" w:hAnsi="宋体"/>
          <w:szCs w:val="21"/>
        </w:rPr>
        <w:t>2</w:t>
      </w:r>
      <w:r>
        <w:rPr>
          <w:rFonts w:ascii="宋体" w:hAnsi="宋体" w:hint="eastAsia"/>
          <w:szCs w:val="21"/>
        </w:rPr>
        <w:t>、</w:t>
      </w:r>
      <w:r>
        <w:rPr>
          <w:rFonts w:ascii="宋体" w:hAnsi="宋体"/>
          <w:szCs w:val="21"/>
        </w:rPr>
        <w:t>该项目所有材料、设备都必须根据设计技术参数及相关规范要求进行采购，按照相关规定进行监督送检，确保为合格的材料；同时，必须提供质量合格证明文件、厂家出厂合格证、检测报告，才能进行竣工验收。</w:t>
      </w:r>
      <w:r>
        <w:rPr>
          <w:rFonts w:ascii="宋体" w:hAnsi="宋体" w:hint="eastAsia"/>
          <w:szCs w:val="21"/>
        </w:rPr>
        <w:t>中标</w:t>
      </w:r>
      <w:r>
        <w:rPr>
          <w:rFonts w:ascii="宋体" w:hAnsi="宋体"/>
          <w:szCs w:val="21"/>
        </w:rPr>
        <w:t>人在报价时应充分考虑此风险。</w:t>
      </w:r>
    </w:p>
    <w:p w:rsidR="007900F6">
      <w:pPr>
        <w:snapToGrid w:val="0"/>
        <w:spacing w:line="360" w:lineRule="auto"/>
        <w:ind w:firstLine="720" w:firstLineChars="300"/>
      </w:pPr>
      <w:r>
        <w:rPr>
          <w:rFonts w:ascii="宋体" w:hAnsi="宋体"/>
          <w:szCs w:val="21"/>
        </w:rPr>
        <w:t>3.</w:t>
      </w:r>
      <w:r>
        <w:rPr>
          <w:rFonts w:ascii="宋体" w:hAnsi="宋体" w:hint="eastAsia"/>
          <w:szCs w:val="22"/>
        </w:rPr>
        <w:t>、</w:t>
      </w:r>
      <w:r>
        <w:rPr>
          <w:rFonts w:ascii="宋体" w:hAnsi="宋体"/>
          <w:szCs w:val="21"/>
        </w:rPr>
        <w:t>请填写技术参数偏离表。带“▲”指标项为重要参数，负偏离时依相关评分准则内容作重点扣分处理。</w:t>
      </w:r>
      <w:r>
        <w:rPr>
          <w:rFonts w:hint="eastAsia"/>
          <w:shd w:val="clear" w:color="auto" w:fill="9BBB59"/>
        </w:rPr>
        <w:t>（如标书与图纸、工程量清单有出入，请与业主确认并以最严格的标准执行</w:t>
      </w:r>
      <w:r>
        <w:rPr>
          <w:shd w:val="clear" w:color="auto" w:fill="9BBB59"/>
        </w:rPr>
        <w:t>）</w:t>
      </w:r>
    </w:p>
    <w:tbl>
      <w:tblPr>
        <w:tblStyle w:val="TableGrid"/>
        <w:tblW w:w="5000" w:type="pct"/>
        <w:jc w:val="center"/>
        <w:tblInd w:w="0" w:type="dxa"/>
        <w:tblLook w:val="0000"/>
      </w:tblPr>
      <w:tblGrid>
        <w:gridCol w:w="1241"/>
        <w:gridCol w:w="1215"/>
        <w:gridCol w:w="6073"/>
      </w:tblGrid>
      <w:tr>
        <w:tblPrEx>
          <w:tblW w:w="5000" w:type="pct"/>
          <w:jc w:val="center"/>
          <w:tblInd w:w="0" w:type="dxa"/>
          <w:tblLook w:val="0000"/>
        </w:tblPrEx>
        <w:trPr>
          <w:jc w:val="center"/>
        </w:trPr>
        <w:tc>
          <w:tcPr>
            <w:tcW w:w="728" w:type="pct"/>
            <w:vAlign w:val="center"/>
          </w:tcPr>
          <w:p w:rsidR="007900F6">
            <w:pPr>
              <w:adjustRightInd w:val="0"/>
              <w:snapToGrid w:val="0"/>
              <w:spacing w:line="360" w:lineRule="auto"/>
              <w:jc w:val="left"/>
              <w:rPr>
                <w:rFonts w:ascii="宋体" w:hAnsi="宋体"/>
                <w:bCs/>
                <w:snapToGrid w:val="0"/>
                <w:kern w:val="0"/>
                <w:szCs w:val="21"/>
              </w:rPr>
            </w:pPr>
            <w:r>
              <w:rPr>
                <w:rFonts w:ascii="宋体" w:hAnsi="宋体"/>
                <w:bCs/>
                <w:snapToGrid w:val="0"/>
                <w:kern w:val="0"/>
                <w:szCs w:val="21"/>
              </w:rPr>
              <w:t>序号</w:t>
            </w:r>
          </w:p>
        </w:tc>
        <w:tc>
          <w:tcPr>
            <w:tcW w:w="712" w:type="pct"/>
            <w:vAlign w:val="center"/>
          </w:tcPr>
          <w:p w:rsidR="007900F6">
            <w:pPr>
              <w:adjustRightInd w:val="0"/>
              <w:snapToGrid w:val="0"/>
              <w:spacing w:line="360" w:lineRule="auto"/>
              <w:jc w:val="left"/>
              <w:rPr>
                <w:rFonts w:ascii="宋体" w:hAnsi="宋体"/>
                <w:bCs/>
                <w:snapToGrid w:val="0"/>
                <w:kern w:val="0"/>
                <w:szCs w:val="21"/>
              </w:rPr>
            </w:pPr>
            <w:r>
              <w:rPr>
                <w:rFonts w:ascii="宋体" w:hAnsi="宋体"/>
                <w:bCs/>
                <w:snapToGrid w:val="0"/>
                <w:kern w:val="0"/>
                <w:szCs w:val="21"/>
              </w:rPr>
              <w:t>货物名称</w:t>
            </w:r>
          </w:p>
        </w:tc>
        <w:tc>
          <w:tcPr>
            <w:tcW w:w="3560" w:type="pct"/>
            <w:vAlign w:val="center"/>
          </w:tcPr>
          <w:p w:rsidR="007900F6">
            <w:pPr>
              <w:adjustRightInd w:val="0"/>
              <w:snapToGrid w:val="0"/>
              <w:spacing w:line="360" w:lineRule="auto"/>
              <w:jc w:val="left"/>
              <w:rPr>
                <w:rFonts w:ascii="宋体" w:hAnsi="宋体"/>
                <w:bCs/>
                <w:snapToGrid w:val="0"/>
                <w:kern w:val="0"/>
                <w:szCs w:val="21"/>
              </w:rPr>
            </w:pPr>
            <w:r>
              <w:rPr>
                <w:rFonts w:ascii="宋体" w:hAnsi="宋体"/>
                <w:bCs/>
                <w:snapToGrid w:val="0"/>
                <w:kern w:val="0"/>
                <w:szCs w:val="21"/>
              </w:rPr>
              <w:t>材料技术要求</w:t>
            </w:r>
          </w:p>
        </w:tc>
      </w:tr>
      <w:tr>
        <w:tblPrEx>
          <w:tblW w:w="5000" w:type="pct"/>
          <w:jc w:val="center"/>
          <w:tblInd w:w="0" w:type="dxa"/>
          <w:tblLook w:val="0000"/>
        </w:tblPrEx>
        <w:trPr>
          <w:jc w:val="center"/>
        </w:trPr>
        <w:tc>
          <w:tcPr>
            <w:tcW w:w="728" w:type="pct"/>
            <w:vMerge w:val="restart"/>
            <w:vAlign w:val="center"/>
          </w:tcPr>
          <w:p w:rsidR="007900F6">
            <w:pPr>
              <w:adjustRightInd w:val="0"/>
              <w:snapToGrid w:val="0"/>
              <w:spacing w:line="360" w:lineRule="auto"/>
              <w:jc w:val="left"/>
              <w:rPr>
                <w:rFonts w:ascii="宋体" w:hAnsi="宋体"/>
                <w:b/>
                <w:bCs/>
                <w:snapToGrid w:val="0"/>
                <w:kern w:val="0"/>
                <w:szCs w:val="21"/>
              </w:rPr>
            </w:pPr>
            <w:r>
              <w:rPr>
                <w:rFonts w:ascii="宋体" w:hAnsi="宋体"/>
                <w:b/>
                <w:bCs/>
                <w:snapToGrid w:val="0"/>
                <w:kern w:val="0"/>
                <w:szCs w:val="21"/>
              </w:rPr>
              <w:t>1</w:t>
            </w:r>
            <w:r>
              <w:rPr>
                <w:rFonts w:ascii="宋体" w:hAnsi="宋体" w:hint="eastAsia"/>
                <w:b/>
                <w:snapToGrid w:val="0"/>
                <w:kern w:val="0"/>
                <w:szCs w:val="21"/>
              </w:rPr>
              <w:t>装饰系统</w:t>
            </w:r>
          </w:p>
        </w:tc>
        <w:tc>
          <w:tcPr>
            <w:tcW w:w="712" w:type="pct"/>
            <w:vMerge w:val="restart"/>
            <w:vAlign w:val="center"/>
          </w:tcPr>
          <w:p w:rsidR="007900F6">
            <w:pPr>
              <w:adjustRightInd w:val="0"/>
              <w:snapToGrid w:val="0"/>
              <w:spacing w:line="360" w:lineRule="auto"/>
              <w:jc w:val="left"/>
              <w:rPr>
                <w:rFonts w:ascii="宋体" w:hAnsi="宋体"/>
                <w:b/>
                <w:bCs/>
                <w:snapToGrid w:val="0"/>
                <w:kern w:val="0"/>
                <w:szCs w:val="21"/>
              </w:rPr>
            </w:pPr>
            <w:r>
              <w:rPr>
                <w:rFonts w:ascii="宋体" w:hAnsi="宋体"/>
                <w:b/>
                <w:bCs/>
                <w:snapToGrid w:val="0"/>
                <w:kern w:val="0"/>
                <w:szCs w:val="21"/>
              </w:rPr>
              <w:t>1.1</w:t>
            </w:r>
            <w:r>
              <w:rPr>
                <w:rFonts w:ascii="宋体" w:hAnsi="宋体" w:hint="eastAsia"/>
                <w:b/>
                <w:bCs/>
                <w:snapToGrid w:val="0"/>
                <w:kern w:val="0"/>
                <w:szCs w:val="21"/>
              </w:rPr>
              <w:t>天花</w:t>
            </w:r>
          </w:p>
        </w:tc>
        <w:tc>
          <w:tcPr>
            <w:tcW w:w="3560" w:type="pct"/>
            <w:vAlign w:val="center"/>
          </w:tcPr>
          <w:p w:rsidR="007900F6">
            <w:pPr>
              <w:numPr>
                <w:ilvl w:val="0"/>
                <w:numId w:val="1"/>
              </w:numPr>
              <w:adjustRightInd w:val="0"/>
              <w:snapToGrid w:val="0"/>
              <w:spacing w:line="360" w:lineRule="auto"/>
              <w:jc w:val="left"/>
              <w:rPr>
                <w:rFonts w:ascii="宋体" w:hAnsi="宋体"/>
                <w:b/>
                <w:snapToGrid w:val="0"/>
                <w:kern w:val="0"/>
                <w:szCs w:val="21"/>
              </w:rPr>
            </w:pPr>
            <w:r>
              <w:rPr>
                <w:rFonts w:ascii="宋体" w:hAnsi="宋体" w:cs="宋体" w:hint="eastAsia"/>
                <w:b/>
                <w:snapToGrid w:val="0"/>
                <w:kern w:val="0"/>
                <w:szCs w:val="21"/>
              </w:rPr>
              <w:t>铝质扣板天花（除细胞室外其余天花）</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铝扣板天花采用600×1200×1.0mm，材质结构：3003H24国际标准铝材，</w:t>
            </w:r>
            <w:r>
              <w:rPr>
                <w:rFonts w:ascii="宋体" w:hAnsi="宋体"/>
                <w:snapToGrid w:val="0"/>
                <w:kern w:val="0"/>
                <w:szCs w:val="21"/>
              </w:rPr>
              <w:t>要求</w:t>
            </w:r>
            <w:r>
              <w:rPr>
                <w:rFonts w:ascii="宋体" w:hAnsi="宋体" w:hint="eastAsia"/>
                <w:snapToGrid w:val="0"/>
                <w:kern w:val="0"/>
                <w:szCs w:val="21"/>
              </w:rPr>
              <w:t>不落灰</w:t>
            </w:r>
            <w:r>
              <w:rPr>
                <w:rFonts w:ascii="宋体" w:hAnsi="宋体"/>
                <w:snapToGrid w:val="0"/>
                <w:kern w:val="0"/>
                <w:szCs w:val="21"/>
              </w:rPr>
              <w:t>，不积灰</w:t>
            </w:r>
            <w:r>
              <w:rPr>
                <w:rFonts w:ascii="宋体" w:hAnsi="宋体" w:cs="Arial Unicode MS" w:hint="eastAsia"/>
                <w:snapToGrid w:val="0"/>
                <w:kern w:val="0"/>
                <w:szCs w:val="21"/>
              </w:rPr>
              <w:t>，</w:t>
            </w:r>
            <w:r>
              <w:rPr>
                <w:rFonts w:ascii="宋体" w:hAnsi="宋体" w:cs="宋体" w:hint="eastAsia"/>
                <w:snapToGrid w:val="0"/>
                <w:kern w:val="0"/>
                <w:szCs w:val="21"/>
              </w:rPr>
              <w:t>高级塑料粉末喷涂，具有表面防腐处理、防火、防潮、耐酸碱、抗污染、易折装和耐擦洗特点。为以后管线维护，空调、排毒系统管道检修等提供方便。</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安装方式：专用配套龙骨，每块板可单独拆装。</w:t>
            </w:r>
            <w:r>
              <w:rPr>
                <w:rFonts w:ascii="宋体" w:hAnsi="宋体" w:cs="Arial Unicode MS" w:hint="eastAsia"/>
                <w:snapToGrid w:val="0"/>
                <w:kern w:val="0"/>
                <w:szCs w:val="21"/>
              </w:rPr>
              <w:t>主龙骨采用符合国家规范要求的轻钢龙骨：覆盖龙骨:50X20X0.6，辅助龙骨:25X20X0.6，采用10mm钢筋吊杆，覆面龙载骨间距600X300。龙骨架构连接必须牢固，拼缝严密无松动，安全可靠。</w:t>
            </w:r>
          </w:p>
        </w:tc>
      </w:tr>
      <w:tr>
        <w:tblPrEx>
          <w:tblW w:w="5000" w:type="pct"/>
          <w:jc w:val="center"/>
          <w:tblInd w:w="0" w:type="dxa"/>
          <w:tblLook w:val="0000"/>
        </w:tblPrEx>
        <w:trPr>
          <w:trHeight w:val="2942"/>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表面处理：辊涂（平均涂膜厚度≥25µM，最小局部膜厚≥23 µM）或静电粉末喷涂。</w:t>
            </w:r>
          </w:p>
          <w:p w:rsidR="007900F6">
            <w:pPr>
              <w:adjustRightInd w:val="0"/>
              <w:snapToGrid w:val="0"/>
              <w:spacing w:line="360" w:lineRule="auto"/>
              <w:ind w:left="420"/>
              <w:jc w:val="left"/>
              <w:rPr>
                <w:rFonts w:ascii="宋体" w:hAnsi="宋体" w:cs="宋体"/>
                <w:snapToGrid w:val="0"/>
                <w:kern w:val="0"/>
                <w:szCs w:val="21"/>
              </w:rPr>
            </w:pPr>
            <w:r>
              <w:rPr>
                <w:rFonts w:ascii="宋体" w:hAnsi="宋体" w:cs="宋体" w:hint="eastAsia"/>
                <w:snapToGrid w:val="0"/>
                <w:kern w:val="0"/>
                <w:szCs w:val="21"/>
              </w:rPr>
              <w:t>耐腐蚀性：符合（GB/T11942）检测标准。</w:t>
            </w:r>
          </w:p>
          <w:p w:rsidR="007900F6">
            <w:pPr>
              <w:adjustRightInd w:val="0"/>
              <w:snapToGrid w:val="0"/>
              <w:spacing w:line="360" w:lineRule="auto"/>
              <w:ind w:left="420"/>
              <w:jc w:val="left"/>
              <w:rPr>
                <w:rFonts w:ascii="宋体" w:hAnsi="宋体" w:cs="宋体"/>
                <w:snapToGrid w:val="0"/>
                <w:kern w:val="0"/>
                <w:szCs w:val="21"/>
              </w:rPr>
            </w:pPr>
            <w:r>
              <w:rPr>
                <w:rFonts w:ascii="宋体" w:hAnsi="宋体" w:cs="宋体" w:hint="eastAsia"/>
                <w:snapToGrid w:val="0"/>
                <w:kern w:val="0"/>
                <w:szCs w:val="21"/>
              </w:rPr>
              <w:t>膜硬度（铅笔硬度）：（ECCA T4）≥ F；或用F级硬度铅笔对干膜刻划，膜层无划断。</w:t>
            </w:r>
          </w:p>
          <w:p w:rsidR="007900F6">
            <w:pPr>
              <w:adjustRightInd w:val="0"/>
              <w:snapToGrid w:val="0"/>
              <w:spacing w:line="360" w:lineRule="auto"/>
              <w:ind w:left="420"/>
              <w:jc w:val="left"/>
              <w:rPr>
                <w:rFonts w:ascii="宋体" w:hAnsi="宋体" w:cs="宋体"/>
                <w:snapToGrid w:val="0"/>
                <w:kern w:val="0"/>
                <w:szCs w:val="21"/>
              </w:rPr>
            </w:pPr>
            <w:r>
              <w:rPr>
                <w:rFonts w:ascii="宋体" w:hAnsi="宋体" w:cs="宋体" w:hint="eastAsia"/>
                <w:snapToGrid w:val="0"/>
                <w:kern w:val="0"/>
                <w:szCs w:val="21"/>
              </w:rPr>
              <w:t>铝合金的力学性能应符合GB/T3880.2的要求。防火性能：能承受高温，防火等级为A 级不燃。</w:t>
            </w:r>
          </w:p>
        </w:tc>
      </w:tr>
      <w:tr>
        <w:tblPrEx>
          <w:tblW w:w="5000" w:type="pct"/>
          <w:jc w:val="center"/>
          <w:tblInd w:w="0" w:type="dxa"/>
          <w:tblLook w:val="0000"/>
        </w:tblPrEx>
        <w:trPr>
          <w:trHeight w:val="77"/>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使用年限：＞15年。</w:t>
            </w:r>
            <w:r>
              <w:rPr>
                <w:rFonts w:ascii="宋体" w:hAnsi="宋体" w:cs="Arial Unicode MS" w:hint="eastAsia"/>
                <w:snapToGrid w:val="0"/>
                <w:kern w:val="0"/>
                <w:szCs w:val="21"/>
              </w:rPr>
              <w:t>个别木结构基底须按防火规范进行防火处理。</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生产企业须通过“ISO9001-2000”和“ ISO14001-2001”认证。</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
              </w:num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手工彩钢板天花（细胞室）</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采用手工彩钢板，手工彩钢板厚度为50mm，表面彩钢厚度不低于0.5mm，四边雌口白灰色，壁板要求平整，双面覆膜，铝合金采用优质专用配套型材，防火性能A级。根据吊顶平面布局单独排版设计，定制。</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顶板之间的连接方式全部采用顶板四周凹槽（四雌）与金属暗吊梁插接的方式，吊杆为镀锌通丝，材质为热轧钢材。板与板之间的缝隙小于4mm, 所有缝隙用密封胶密封。所有的开孔均预埋加强筋，预先开孔。</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
              </w:num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抗菌性能(按JC/T897-2002标准执行 )：对大肠杆菌、金黄色葡萄球菌的平均抗菌率≥90。</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
              </w:num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外观质量(按JC/T799-2007标准执行)：表面无气孔、污痕、裂纹、缺角及图案不完整等缺陷。</w:t>
            </w:r>
          </w:p>
          <w:p w:rsidR="007900F6">
            <w:p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耐腐蚀性：符合（GB/T11942）检测标准。</w:t>
            </w:r>
          </w:p>
          <w:p w:rsidR="007900F6">
            <w:p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膜硬度（铅笔硬度）：（ECCA T4）≥ F；或用F级硬度铅笔对干膜刻划，膜层无划断。</w:t>
            </w:r>
          </w:p>
          <w:p w:rsidR="007900F6">
            <w:p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放射性检测：符合GB 6566-2001标准中的 A类标准要求。防火等级：不低于A1级。</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
              </w:num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尺寸允许偏差、不平度和直角偏离度按JC/T799-2007标准执行：边长偏差：+1.0mm～-2.0 mm；厚度偏差：±1.0mm；不平度偏差：2.0 mm,直角偏离度：2.0 mm。</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
              </w:num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物理力学性能按JC/T799-2007标准执行：①含水率：平均值≤0.5%，最大值：≤1.2 %；②单位面积重量：平均值9.5kg/m2，最大值10kg/m2；③断裂荷载：平均值≥280N，最小值≥230N；④受潮挠度：平均值≤4.O mm，最大值≤5.O mm。</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
                <w:bCs/>
                <w:snapToGrid w:val="0"/>
                <w:kern w:val="0"/>
                <w:szCs w:val="21"/>
              </w:rPr>
            </w:pPr>
            <w:r>
              <w:rPr>
                <w:rFonts w:ascii="宋体" w:hAnsi="宋体"/>
                <w:b/>
                <w:bCs/>
                <w:snapToGrid w:val="0"/>
                <w:kern w:val="0"/>
                <w:szCs w:val="21"/>
              </w:rPr>
              <w:t>1.2</w:t>
            </w:r>
            <w:r>
              <w:rPr>
                <w:rFonts w:ascii="宋体" w:hAnsi="宋体" w:hint="eastAsia"/>
                <w:b/>
                <w:bCs/>
                <w:snapToGrid w:val="0"/>
                <w:kern w:val="0"/>
                <w:szCs w:val="21"/>
              </w:rPr>
              <w:t>地面</w:t>
            </w:r>
          </w:p>
        </w:tc>
        <w:tc>
          <w:tcPr>
            <w:tcW w:w="3560" w:type="pct"/>
            <w:vAlign w:val="center"/>
          </w:tcPr>
          <w:p w:rsidR="007900F6">
            <w:pPr>
              <w:numPr>
                <w:ilvl w:val="0"/>
                <w:numId w:val="4"/>
              </w:numPr>
              <w:adjustRightInd w:val="0"/>
              <w:snapToGrid w:val="0"/>
              <w:spacing w:line="360" w:lineRule="auto"/>
              <w:jc w:val="left"/>
              <w:rPr>
                <w:rFonts w:ascii="宋体" w:hAnsi="宋体" w:cs="宋体"/>
                <w:b/>
                <w:snapToGrid w:val="0"/>
                <w:kern w:val="0"/>
                <w:szCs w:val="21"/>
              </w:rPr>
            </w:pPr>
            <w:r>
              <w:rPr>
                <w:rFonts w:ascii="宋体" w:hAnsi="宋体" w:cs="Arial Unicode MS" w:hint="eastAsia"/>
                <w:b/>
                <w:snapToGrid w:val="0"/>
                <w:kern w:val="0"/>
                <w:szCs w:val="21"/>
              </w:rPr>
              <w:t>PVC</w:t>
            </w:r>
            <w:r>
              <w:rPr>
                <w:rFonts w:ascii="宋体" w:hAnsi="宋体" w:cs="Arial Unicode MS"/>
                <w:b/>
                <w:snapToGrid w:val="0"/>
                <w:kern w:val="0"/>
                <w:szCs w:val="21"/>
              </w:rPr>
              <w:t>灰色防酸</w:t>
            </w:r>
            <w:r>
              <w:rPr>
                <w:rFonts w:ascii="宋体" w:hAnsi="宋体" w:cs="Arial Unicode MS" w:hint="eastAsia"/>
                <w:b/>
                <w:snapToGrid w:val="0"/>
                <w:kern w:val="0"/>
                <w:szCs w:val="21"/>
              </w:rPr>
              <w:t>防碱地板（除数据机房外其余地面）</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实验室除数据机房外其余地面均铺贴</w:t>
            </w:r>
            <w:r>
              <w:rPr>
                <w:rFonts w:ascii="宋体" w:hAnsi="宋体" w:cs="宋体" w:hint="eastAsia"/>
                <w:snapToGrid w:val="0"/>
                <w:kern w:val="0"/>
                <w:szCs w:val="21"/>
              </w:rPr>
              <w:t>优质品牌的</w:t>
            </w:r>
            <w:r>
              <w:rPr>
                <w:rFonts w:ascii="宋体" w:hAnsi="宋体" w:hint="eastAsia"/>
                <w:snapToGrid w:val="0"/>
                <w:kern w:val="0"/>
                <w:szCs w:val="21"/>
              </w:rPr>
              <w:t>防腐蚀2.0mmPVC</w:t>
            </w:r>
            <w:r>
              <w:rPr>
                <w:rFonts w:ascii="宋体" w:hAnsi="宋体"/>
                <w:snapToGrid w:val="0"/>
                <w:kern w:val="0"/>
                <w:szCs w:val="21"/>
              </w:rPr>
              <w:t>灰色防酸</w:t>
            </w:r>
            <w:r>
              <w:rPr>
                <w:rFonts w:ascii="宋体" w:hAnsi="宋体" w:hint="eastAsia"/>
                <w:snapToGrid w:val="0"/>
                <w:kern w:val="0"/>
                <w:szCs w:val="21"/>
              </w:rPr>
              <w:t>防碱地面。（</w:t>
            </w:r>
            <w:r>
              <w:rPr>
                <w:rFonts w:ascii="宋体" w:hAnsi="宋体" w:cs="宋体" w:hint="eastAsia"/>
                <w:snapToGrid w:val="0"/>
                <w:kern w:val="0"/>
                <w:szCs w:val="21"/>
              </w:rPr>
              <w:t>具体颜色、款式需与业主确认</w:t>
            </w:r>
            <w:r>
              <w:rPr>
                <w:rFonts w:ascii="宋体" w:hAnsi="宋体" w:hint="eastAsia"/>
                <w:snapToGrid w:val="0"/>
                <w:kern w:val="0"/>
                <w:szCs w:val="21"/>
              </w:rPr>
              <w:t>）</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PVC地板与墙面连接拐角处设置内部支撑，圆角半径为50mm，连接要求平滑顺直，完成面与隔墙面齐平。PVC地板要求地面平整度高，在水泥砂浆找平的基础上，再用自流平水泥平整地面，</w:t>
            </w:r>
            <w:r>
              <w:rPr>
                <w:rFonts w:ascii="宋体" w:hAnsi="宋体" w:cs="Arial Unicode MS" w:hint="eastAsia"/>
                <w:snapToGrid w:val="0"/>
                <w:kern w:val="0"/>
                <w:szCs w:val="21"/>
              </w:rPr>
              <w:t>水泥收光后表面不得起沙，</w:t>
            </w:r>
            <w:r>
              <w:rPr>
                <w:rFonts w:ascii="宋体" w:hAnsi="宋体" w:cs="宋体" w:hint="eastAsia"/>
                <w:snapToGrid w:val="0"/>
                <w:kern w:val="0"/>
                <w:szCs w:val="21"/>
              </w:rPr>
              <w:t>厚度不宜低于3mm，待地面表层彻底干透后，才可粘贴地板胶。</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技术参数</w:t>
            </w:r>
          </w:p>
          <w:p w:rsidR="007900F6">
            <w:pPr>
              <w:adjustRightInd w:val="0"/>
              <w:snapToGrid w:val="0"/>
              <w:spacing w:line="360" w:lineRule="auto"/>
              <w:ind w:left="427" w:leftChars="178"/>
              <w:jc w:val="left"/>
              <w:rPr>
                <w:rFonts w:ascii="宋体" w:hAnsi="宋体" w:cs="宋体"/>
                <w:snapToGrid w:val="0"/>
                <w:kern w:val="0"/>
                <w:szCs w:val="21"/>
              </w:rPr>
            </w:pPr>
            <w:r>
              <w:rPr>
                <w:rFonts w:ascii="宋体" w:hAnsi="宋体" w:cs="宋体"/>
                <w:snapToGrid w:val="0"/>
                <w:kern w:val="0"/>
                <w:szCs w:val="21"/>
              </w:rPr>
              <w:t>耐磨等级：T级</w:t>
            </w:r>
            <w:r>
              <w:rPr>
                <w:rFonts w:ascii="宋体" w:hAnsi="宋体" w:cs="宋体" w:hint="eastAsia"/>
                <w:snapToGrid w:val="0"/>
                <w:kern w:val="0"/>
                <w:szCs w:val="21"/>
              </w:rPr>
              <w:t>。</w:t>
            </w:r>
          </w:p>
          <w:p w:rsidR="007900F6">
            <w:pPr>
              <w:adjustRightInd w:val="0"/>
              <w:snapToGrid w:val="0"/>
              <w:spacing w:line="360" w:lineRule="auto"/>
              <w:ind w:left="427" w:leftChars="178"/>
              <w:jc w:val="left"/>
              <w:rPr>
                <w:rFonts w:ascii="宋体" w:hAnsi="宋体" w:cs="宋体"/>
                <w:snapToGrid w:val="0"/>
                <w:kern w:val="0"/>
                <w:szCs w:val="21"/>
              </w:rPr>
            </w:pPr>
            <w:r>
              <w:rPr>
                <w:rFonts w:ascii="宋体" w:hAnsi="宋体" w:cs="宋体"/>
                <w:snapToGrid w:val="0"/>
                <w:kern w:val="0"/>
                <w:szCs w:val="21"/>
              </w:rPr>
              <w:t>防火等级：Bfl s1</w:t>
            </w:r>
            <w:r>
              <w:rPr>
                <w:rFonts w:ascii="宋体" w:hAnsi="宋体" w:cs="宋体" w:hint="eastAsia"/>
                <w:snapToGrid w:val="0"/>
                <w:kern w:val="0"/>
                <w:szCs w:val="21"/>
              </w:rPr>
              <w:t>。</w:t>
            </w:r>
          </w:p>
          <w:p w:rsidR="007900F6">
            <w:pPr>
              <w:adjustRightInd w:val="0"/>
              <w:snapToGrid w:val="0"/>
              <w:spacing w:line="360" w:lineRule="auto"/>
              <w:ind w:left="427" w:leftChars="178"/>
              <w:jc w:val="left"/>
              <w:rPr>
                <w:rFonts w:ascii="宋体" w:hAnsi="宋体" w:cs="宋体"/>
                <w:snapToGrid w:val="0"/>
                <w:kern w:val="0"/>
                <w:szCs w:val="21"/>
              </w:rPr>
            </w:pPr>
            <w:r>
              <w:rPr>
                <w:rFonts w:ascii="宋体" w:hAnsi="宋体" w:cs="宋体"/>
                <w:snapToGrid w:val="0"/>
                <w:kern w:val="0"/>
                <w:szCs w:val="21"/>
              </w:rPr>
              <w:t>防滑等级：R 9</w:t>
            </w:r>
            <w:r>
              <w:rPr>
                <w:rFonts w:ascii="宋体" w:hAnsi="宋体" w:cs="宋体" w:hint="eastAsia"/>
                <w:snapToGrid w:val="0"/>
                <w:kern w:val="0"/>
                <w:szCs w:val="21"/>
              </w:rPr>
              <w:t>。</w:t>
            </w:r>
          </w:p>
          <w:p w:rsidR="007900F6">
            <w:pPr>
              <w:adjustRightInd w:val="0"/>
              <w:snapToGrid w:val="0"/>
              <w:spacing w:line="360" w:lineRule="auto"/>
              <w:ind w:left="427" w:leftChars="178"/>
              <w:jc w:val="left"/>
              <w:rPr>
                <w:rFonts w:ascii="宋体" w:hAnsi="宋体" w:cs="宋体"/>
                <w:snapToGrid w:val="0"/>
                <w:kern w:val="0"/>
                <w:szCs w:val="21"/>
              </w:rPr>
            </w:pPr>
            <w:r>
              <w:rPr>
                <w:rFonts w:ascii="宋体" w:hAnsi="宋体" w:cs="宋体"/>
                <w:snapToGrid w:val="0"/>
                <w:kern w:val="0"/>
                <w:szCs w:val="21"/>
              </w:rPr>
              <w:t>耐酸碱性（化学品着色性能测定）：合格。</w:t>
            </w:r>
          </w:p>
          <w:p w:rsidR="007900F6">
            <w:pPr>
              <w:adjustRightInd w:val="0"/>
              <w:snapToGrid w:val="0"/>
              <w:spacing w:line="360" w:lineRule="auto"/>
              <w:ind w:left="427" w:leftChars="178"/>
              <w:jc w:val="left"/>
              <w:rPr>
                <w:rFonts w:ascii="宋体" w:hAnsi="宋体" w:cs="宋体"/>
                <w:snapToGrid w:val="0"/>
                <w:kern w:val="0"/>
                <w:szCs w:val="21"/>
              </w:rPr>
            </w:pPr>
            <w:r>
              <w:rPr>
                <w:rFonts w:ascii="宋体" w:hAnsi="宋体" w:cs="宋体"/>
                <w:snapToGrid w:val="0"/>
                <w:kern w:val="0"/>
                <w:szCs w:val="21"/>
              </w:rPr>
              <w:t>TVOC（28天后）：≤10ug/ m3</w:t>
            </w:r>
            <w:r>
              <w:rPr>
                <w:rFonts w:ascii="宋体" w:hAnsi="宋体" w:cs="宋体" w:hint="eastAsia"/>
                <w:snapToGrid w:val="0"/>
                <w:kern w:val="0"/>
                <w:szCs w:val="21"/>
              </w:rPr>
              <w:t>。</w:t>
            </w:r>
          </w:p>
          <w:p w:rsidR="007900F6">
            <w:pPr>
              <w:adjustRightInd w:val="0"/>
              <w:snapToGrid w:val="0"/>
              <w:spacing w:line="360" w:lineRule="auto"/>
              <w:ind w:left="427" w:leftChars="178"/>
              <w:jc w:val="left"/>
              <w:rPr>
                <w:rFonts w:ascii="宋体" w:hAnsi="宋体" w:cs="宋体"/>
                <w:snapToGrid w:val="0"/>
                <w:kern w:val="0"/>
                <w:szCs w:val="21"/>
              </w:rPr>
            </w:pPr>
            <w:r>
              <w:rPr>
                <w:rFonts w:ascii="宋体" w:hAnsi="宋体" w:cs="宋体"/>
                <w:snapToGrid w:val="0"/>
                <w:kern w:val="0"/>
                <w:szCs w:val="21"/>
              </w:rPr>
              <w:t>Reach有毒有害物质检测 210项</w:t>
            </w:r>
            <w:r>
              <w:rPr>
                <w:rFonts w:ascii="宋体" w:hAnsi="宋体" w:cs="宋体" w:hint="eastAsia"/>
                <w:snapToGrid w:val="0"/>
                <w:kern w:val="0"/>
                <w:szCs w:val="21"/>
              </w:rPr>
              <w:t>。</w:t>
            </w:r>
          </w:p>
          <w:p w:rsidR="007900F6">
            <w:pPr>
              <w:adjustRightInd w:val="0"/>
              <w:snapToGrid w:val="0"/>
              <w:spacing w:line="360" w:lineRule="auto"/>
              <w:ind w:left="427" w:leftChars="178"/>
              <w:jc w:val="left"/>
              <w:rPr>
                <w:rFonts w:ascii="宋体" w:hAnsi="宋体" w:cs="宋体"/>
                <w:snapToGrid w:val="0"/>
                <w:kern w:val="0"/>
                <w:szCs w:val="21"/>
              </w:rPr>
            </w:pPr>
            <w:r>
              <w:rPr>
                <w:rFonts w:ascii="宋体" w:hAnsi="宋体" w:cs="宋体"/>
                <w:snapToGrid w:val="0"/>
                <w:kern w:val="0"/>
                <w:szCs w:val="21"/>
              </w:rPr>
              <w:t>重金属：通过全部19种重金属测试合格。</w:t>
            </w:r>
          </w:p>
          <w:p w:rsidR="007900F6">
            <w:pPr>
              <w:adjustRightInd w:val="0"/>
              <w:snapToGrid w:val="0"/>
              <w:spacing w:line="360" w:lineRule="auto"/>
              <w:ind w:left="427" w:leftChars="178"/>
              <w:jc w:val="left"/>
              <w:rPr>
                <w:rFonts w:ascii="宋体" w:hAnsi="宋体" w:cs="宋体"/>
                <w:snapToGrid w:val="0"/>
                <w:kern w:val="0"/>
                <w:szCs w:val="21"/>
              </w:rPr>
            </w:pPr>
            <w:r>
              <w:rPr>
                <w:rFonts w:ascii="宋体" w:hAnsi="宋体" w:cs="宋体"/>
                <w:snapToGrid w:val="0"/>
                <w:kern w:val="0"/>
                <w:szCs w:val="21"/>
              </w:rPr>
              <w:t>邻笨类增塑剂：通过全部40种测试不含有。</w:t>
            </w:r>
          </w:p>
          <w:p w:rsidR="007900F6">
            <w:pPr>
              <w:adjustRightInd w:val="0"/>
              <w:snapToGrid w:val="0"/>
              <w:spacing w:line="360" w:lineRule="auto"/>
              <w:ind w:left="427" w:leftChars="178"/>
              <w:jc w:val="left"/>
              <w:rPr>
                <w:rFonts w:ascii="宋体" w:hAnsi="宋体" w:cs="宋体"/>
                <w:snapToGrid w:val="0"/>
                <w:kern w:val="0"/>
                <w:szCs w:val="21"/>
              </w:rPr>
            </w:pPr>
            <w:r>
              <w:rPr>
                <w:rFonts w:ascii="宋体" w:hAnsi="宋体" w:cs="宋体"/>
                <w:snapToGrid w:val="0"/>
                <w:kern w:val="0"/>
                <w:szCs w:val="21"/>
              </w:rPr>
              <w:t>原厂焊线：不含邻苯类增塑剂</w:t>
            </w:r>
            <w:r>
              <w:rPr>
                <w:rFonts w:ascii="宋体" w:hAnsi="宋体" w:cs="宋体" w:hint="eastAsia"/>
                <w:snapToGrid w:val="0"/>
                <w:kern w:val="0"/>
                <w:szCs w:val="21"/>
              </w:rPr>
              <w:t>。</w:t>
            </w:r>
          </w:p>
          <w:p w:rsidR="007900F6">
            <w:pPr>
              <w:adjustRightInd w:val="0"/>
              <w:snapToGrid w:val="0"/>
              <w:spacing w:line="360" w:lineRule="auto"/>
              <w:ind w:left="427" w:leftChars="178"/>
              <w:jc w:val="left"/>
              <w:rPr>
                <w:rFonts w:ascii="宋体" w:hAnsi="宋体" w:cs="宋体"/>
                <w:snapToGrid w:val="0"/>
                <w:kern w:val="0"/>
                <w:szCs w:val="21"/>
              </w:rPr>
            </w:pPr>
            <w:r>
              <w:rPr>
                <w:rFonts w:ascii="宋体" w:hAnsi="宋体" w:cs="宋体"/>
                <w:snapToGrid w:val="0"/>
                <w:kern w:val="0"/>
                <w:szCs w:val="21"/>
              </w:rPr>
              <w:t>原厂焊线：邻苯类增塑剂不含</w:t>
            </w:r>
            <w:r>
              <w:rPr>
                <w:rFonts w:ascii="宋体" w:hAnsi="宋体" w:cs="宋体" w:hint="eastAsia"/>
                <w:snapToGrid w:val="0"/>
                <w:kern w:val="0"/>
                <w:szCs w:val="21"/>
              </w:rPr>
              <w:t>。</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
              </w:numPr>
              <w:adjustRightInd w:val="0"/>
              <w:snapToGrid w:val="0"/>
              <w:spacing w:line="360" w:lineRule="auto"/>
              <w:jc w:val="left"/>
              <w:rPr>
                <w:rFonts w:ascii="宋体" w:hAnsi="宋体" w:cs="宋体"/>
                <w:snapToGrid w:val="0"/>
                <w:kern w:val="0"/>
                <w:szCs w:val="21"/>
              </w:rPr>
            </w:pPr>
            <w:r>
              <w:rPr>
                <w:rFonts w:ascii="宋体" w:hAnsi="宋体" w:cs="宋体" w:hint="eastAsia"/>
                <w:b/>
                <w:snapToGrid w:val="0"/>
                <w:kern w:val="0"/>
                <w:szCs w:val="21"/>
              </w:rPr>
              <w:t>防静电地板（数据机房）</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材质及要求：全钢防静电活动地板采用的优质冷轧钢板（上钢板厚度≥下钢板厚度≥），底板采用深级拉伸钢板（SPCC-1D），上表面板采用硬质钢板（ST14），经拉伸后点焊成形外表磷化后进E材|行喷塑处理，内腔填充425#优质发泡水泥。基层要求绝对环保，基层内绝不允许含任何石棉、纤维或其他有毒副作用材料。</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6"/>
              </w:numPr>
              <w:adjustRightInd w:val="0"/>
              <w:snapToGrid w:val="0"/>
              <w:spacing w:line="360" w:lineRule="auto"/>
              <w:ind w:left="517" w:hanging="517"/>
              <w:jc w:val="left"/>
              <w:rPr>
                <w:rFonts w:ascii="宋体" w:hAnsi="宋体" w:cs="宋体"/>
                <w:snapToGrid w:val="0"/>
                <w:kern w:val="0"/>
                <w:szCs w:val="21"/>
              </w:rPr>
            </w:pPr>
            <w:r>
              <w:rPr>
                <w:rFonts w:ascii="宋体" w:hAnsi="宋体" w:cs="宋体" w:hint="eastAsia"/>
                <w:snapToGrid w:val="0"/>
                <w:kern w:val="0"/>
                <w:szCs w:val="21"/>
              </w:rPr>
              <w:t>导电胶:地板表面与基材粘贴采用环保导静电胶水。</w:t>
            </w:r>
          </w:p>
          <w:p w:rsidR="007900F6">
            <w:p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防静电贴面：材质及要求：高耐磨防火高压层板（HPL三聚氯胺），</w:t>
            </w:r>
            <w:r>
              <w:rPr>
                <w:rFonts w:ascii="宋体" w:hAnsi="宋体" w:cs="Arial Unicode MS"/>
                <w:snapToGrid w:val="0"/>
                <w:kern w:val="0"/>
                <w:szCs w:val="21"/>
                <w:lang w:val="zh-CN"/>
              </w:rPr>
              <w:t>贴面尺寸：≥1.5mlm（厚）</w:t>
            </w:r>
          </w:p>
          <w:p w:rsidR="007900F6">
            <w:p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支撑：地板支撑：荷载20KN保持1分钟支撑完好如初。上托板厚度要≥3.0mm，下托板厚度要≥2.0mm，表面采用镀锌防锈，金属体表面无明显疵点。罗杆上下可调在士25mm范围之间。</w:t>
            </w:r>
          </w:p>
          <w:p w:rsidR="007900F6">
            <w:p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横梁：壁厚需达到1.0mm，表面采用热镀锌钢制方管，便锌表面无明显疵点。</w:t>
            </w:r>
          </w:p>
          <w:p w:rsidR="007900F6">
            <w:p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四边：印刷黑边或F型导静电PVC边条镶嵌（窄边）。</w:t>
            </w:r>
          </w:p>
          <w:p w:rsidR="007900F6">
            <w:pPr>
              <w:adjustRightInd w:val="0"/>
              <w:snapToGrid w:val="0"/>
              <w:spacing w:line="360" w:lineRule="auto"/>
              <w:ind w:left="375"/>
              <w:jc w:val="left"/>
              <w:rPr>
                <w:rFonts w:ascii="宋体" w:hAnsi="宋体" w:cs="Arial Unicode MS"/>
                <w:snapToGrid w:val="0"/>
                <w:kern w:val="0"/>
                <w:szCs w:val="21"/>
                <w:lang w:val="zh-CN"/>
              </w:rPr>
            </w:pPr>
            <w:r>
              <w:rPr>
                <w:rFonts w:ascii="宋体" w:hAnsi="宋体" w:cs="Arial Unicode MS"/>
                <w:snapToGrid w:val="0"/>
                <w:kern w:val="0"/>
                <w:szCs w:val="21"/>
                <w:lang w:val="zh-CN"/>
              </w:rPr>
              <w:t>吸盘</w:t>
            </w:r>
            <w:r>
              <w:rPr>
                <w:rFonts w:ascii="宋体" w:hAnsi="宋体" w:cs="Arial Unicode MS" w:hint="eastAsia"/>
                <w:snapToGrid w:val="0"/>
                <w:kern w:val="0"/>
                <w:szCs w:val="21"/>
                <w:lang w:val="zh-CN"/>
              </w:rPr>
              <w:t>：</w:t>
            </w:r>
            <w:r>
              <w:rPr>
                <w:rFonts w:ascii="宋体" w:hAnsi="宋体" w:cs="Arial Unicode MS"/>
                <w:snapToGrid w:val="0"/>
                <w:kern w:val="0"/>
                <w:szCs w:val="21"/>
                <w:lang w:val="zh-CN"/>
              </w:rPr>
              <w:t>单杯或者双杯，坚固耐用、操作方便。</w:t>
            </w:r>
          </w:p>
          <w:p w:rsidR="007900F6">
            <w:pPr>
              <w:adjustRightInd w:val="0"/>
              <w:snapToGrid w:val="0"/>
              <w:spacing w:line="360" w:lineRule="auto"/>
              <w:ind w:left="375"/>
              <w:jc w:val="left"/>
              <w:rPr>
                <w:rFonts w:ascii="宋体" w:hAnsi="宋体" w:cs="宋体"/>
                <w:snapToGrid w:val="0"/>
                <w:kern w:val="0"/>
                <w:szCs w:val="21"/>
              </w:rPr>
            </w:pPr>
            <w:r>
              <w:rPr>
                <w:rFonts w:ascii="宋体" w:hAnsi="宋体" w:cs="宋体" w:hint="eastAsia"/>
                <w:snapToGrid w:val="0"/>
                <w:kern w:val="0"/>
                <w:szCs w:val="21"/>
              </w:rPr>
              <w:t>外观:贴装表面应牢固，不起皮，不起泡，不起皱。架空活动地板表面应不反光、不打滑、耐腐蚀、不起尘、不吸尘。基脚要牢固。</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bCs/>
                <w:snapToGrid w:val="0"/>
                <w:kern w:val="0"/>
                <w:szCs w:val="21"/>
              </w:rPr>
              <w:t>1.3</w:t>
            </w:r>
            <w:r>
              <w:rPr>
                <w:rFonts w:ascii="宋体" w:hAnsi="宋体" w:hint="eastAsia"/>
                <w:bCs/>
                <w:snapToGrid w:val="0"/>
                <w:kern w:val="0"/>
                <w:szCs w:val="21"/>
              </w:rPr>
              <w:t>墙体</w:t>
            </w:r>
          </w:p>
        </w:tc>
        <w:tc>
          <w:tcPr>
            <w:tcW w:w="3560" w:type="pct"/>
            <w:vAlign w:val="center"/>
          </w:tcPr>
          <w:p w:rsidR="007900F6">
            <w:pPr>
              <w:numPr>
                <w:ilvl w:val="0"/>
                <w:numId w:val="7"/>
              </w:numPr>
              <w:adjustRightInd w:val="0"/>
              <w:snapToGrid w:val="0"/>
              <w:spacing w:line="360" w:lineRule="auto"/>
              <w:jc w:val="left"/>
              <w:rPr>
                <w:rFonts w:ascii="宋体" w:hAnsi="宋体" w:cs="宋体"/>
                <w:snapToGrid w:val="0"/>
                <w:kern w:val="0"/>
                <w:szCs w:val="21"/>
              </w:rPr>
            </w:pPr>
            <w:r>
              <w:rPr>
                <w:rFonts w:ascii="宋体" w:hAnsi="宋体" w:cs="Arial Unicode MS"/>
                <w:b/>
                <w:snapToGrid w:val="0"/>
                <w:kern w:val="0"/>
                <w:szCs w:val="21"/>
              </w:rPr>
              <w:t>轻钢龙骨</w:t>
            </w:r>
            <w:r>
              <w:rPr>
                <w:rFonts w:ascii="宋体" w:hAnsi="宋体" w:cs="Arial Unicode MS" w:hint="eastAsia"/>
                <w:b/>
                <w:snapToGrid w:val="0"/>
                <w:kern w:val="0"/>
                <w:szCs w:val="21"/>
              </w:rPr>
              <w:t>石膏板</w:t>
            </w:r>
            <w:r>
              <w:rPr>
                <w:rFonts w:ascii="宋体" w:hAnsi="宋体" w:cs="Arial Unicode MS"/>
                <w:b/>
                <w:snapToGrid w:val="0"/>
                <w:kern w:val="0"/>
                <w:szCs w:val="21"/>
              </w:rPr>
              <w:t>隔墙</w:t>
            </w:r>
            <w:r>
              <w:rPr>
                <w:rFonts w:ascii="宋体" w:hAnsi="宋体" w:cs="Arial Unicode MS" w:hint="eastAsia"/>
                <w:b/>
                <w:snapToGrid w:val="0"/>
                <w:kern w:val="0"/>
                <w:szCs w:val="21"/>
              </w:rPr>
              <w:t>基本要求（除细胞室外的墙体）</w:t>
            </w:r>
            <w:r>
              <w:rPr>
                <w:rFonts w:ascii="宋体" w:hAnsi="宋体" w:cs="Arial Unicode MS" w:hint="eastAsia"/>
                <w:snapToGrid w:val="0"/>
                <w:kern w:val="0"/>
                <w:szCs w:val="21"/>
              </w:rPr>
              <w:t>：</w:t>
            </w:r>
          </w:p>
        </w:tc>
      </w:tr>
      <w:tr>
        <w:tblPrEx>
          <w:tblW w:w="5000" w:type="pct"/>
          <w:jc w:val="center"/>
          <w:tblInd w:w="0" w:type="dxa"/>
          <w:tblLook w:val="0000"/>
        </w:tblPrEx>
        <w:trPr>
          <w:trHeight w:val="1850"/>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8"/>
              </w:numPr>
              <w:adjustRightInd w:val="0"/>
              <w:snapToGrid w:val="0"/>
              <w:spacing w:line="360" w:lineRule="auto"/>
              <w:jc w:val="left"/>
              <w:rPr>
                <w:rFonts w:ascii="宋体" w:hAnsi="宋体"/>
                <w:snapToGrid w:val="0"/>
                <w:kern w:val="0"/>
                <w:szCs w:val="21"/>
              </w:rPr>
            </w:pPr>
            <w:r>
              <w:rPr>
                <w:rFonts w:ascii="宋体" w:hAnsi="宋体"/>
                <w:snapToGrid w:val="0"/>
                <w:kern w:val="0"/>
                <w:szCs w:val="21"/>
              </w:rPr>
              <w:t>实验室与其它实验室</w:t>
            </w:r>
            <w:r>
              <w:rPr>
                <w:rFonts w:ascii="宋体" w:hAnsi="宋体" w:hint="eastAsia"/>
                <w:snapToGrid w:val="0"/>
                <w:kern w:val="0"/>
                <w:szCs w:val="21"/>
              </w:rPr>
              <w:t>、实验室设备间</w:t>
            </w:r>
            <w:r>
              <w:rPr>
                <w:rFonts w:ascii="宋体" w:hAnsi="宋体"/>
                <w:snapToGrid w:val="0"/>
                <w:kern w:val="0"/>
                <w:szCs w:val="21"/>
              </w:rPr>
              <w:t>墙体：材质为钢架龙骨加隔音棉，外加石膏板隔离</w:t>
            </w:r>
            <w:r>
              <w:rPr>
                <w:rFonts w:ascii="宋体" w:hAnsi="宋体" w:hint="eastAsia"/>
                <w:snapToGrid w:val="0"/>
                <w:kern w:val="0"/>
                <w:szCs w:val="21"/>
              </w:rPr>
              <w:t>，</w:t>
            </w:r>
            <w:r>
              <w:rPr>
                <w:rFonts w:ascii="宋体" w:hAnsi="宋体" w:cs="Calibri"/>
                <w:snapToGrid w:val="0"/>
                <w:kern w:val="0"/>
                <w:szCs w:val="21"/>
              </w:rPr>
              <w:t>厚度为</w:t>
            </w:r>
            <w:r>
              <w:rPr>
                <w:rFonts w:ascii="宋体" w:hAnsi="宋体" w:cs="Calibri" w:hint="eastAsia"/>
                <w:snapToGrid w:val="0"/>
                <w:kern w:val="0"/>
                <w:szCs w:val="21"/>
              </w:rPr>
              <w:t>1</w:t>
            </w:r>
            <w:r>
              <w:rPr>
                <w:rFonts w:ascii="宋体" w:hAnsi="宋体" w:cs="Calibri"/>
                <w:snapToGrid w:val="0"/>
                <w:kern w:val="0"/>
                <w:szCs w:val="21"/>
              </w:rPr>
              <w:t>0</w:t>
            </w:r>
            <w:r>
              <w:rPr>
                <w:rFonts w:ascii="宋体" w:hAnsi="宋体" w:cs="Calibri" w:hint="eastAsia"/>
                <w:snapToGrid w:val="0"/>
                <w:kern w:val="0"/>
                <w:szCs w:val="21"/>
              </w:rPr>
              <w:t>cm。</w:t>
            </w:r>
            <w:r>
              <w:rPr>
                <w:rFonts w:ascii="宋体" w:hAnsi="宋体" w:hint="eastAsia"/>
                <w:snapToGrid w:val="0"/>
                <w:kern w:val="0"/>
                <w:szCs w:val="21"/>
              </w:rPr>
              <w:t>隔断连接要密封，连接缝打透明白色玻璃胶进行密封。（为确保隔墙强度应约定石膏板类型，建议采用高级耐水耐火纸面石膏板</w:t>
            </w:r>
            <w:r>
              <w:rPr>
                <w:rFonts w:ascii="宋体" w:hAnsi="宋体"/>
                <w:snapToGrid w:val="0"/>
                <w:kern w:val="0"/>
                <w:szCs w:val="21"/>
              </w:rPr>
              <w:t>(代号GSH</w:t>
            </w:r>
            <w:r>
              <w:rPr>
                <w:rFonts w:ascii="宋体" w:hAnsi="宋体" w:hint="eastAsia"/>
                <w:snapToGrid w:val="0"/>
                <w:kern w:val="0"/>
                <w:szCs w:val="21"/>
              </w:rPr>
              <w:t>）</w:t>
            </w:r>
          </w:p>
        </w:tc>
      </w:tr>
      <w:tr>
        <w:tblPrEx>
          <w:tblW w:w="5000" w:type="pct"/>
          <w:jc w:val="center"/>
          <w:tblInd w:w="0" w:type="dxa"/>
          <w:tblLook w:val="0000"/>
        </w:tblPrEx>
        <w:trPr>
          <w:trHeight w:val="660"/>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8"/>
              </w:numPr>
              <w:adjustRightInd w:val="0"/>
              <w:snapToGrid w:val="0"/>
              <w:spacing w:line="360" w:lineRule="auto"/>
              <w:jc w:val="left"/>
              <w:rPr>
                <w:rFonts w:ascii="宋体" w:hAnsi="宋体"/>
                <w:snapToGrid w:val="0"/>
                <w:kern w:val="0"/>
                <w:szCs w:val="21"/>
              </w:rPr>
            </w:pPr>
            <w:r>
              <w:rPr>
                <w:rFonts w:ascii="宋体" w:hAnsi="宋体" w:cs="Arial Unicode MS" w:hint="eastAsia"/>
                <w:snapToGrid w:val="0"/>
                <w:kern w:val="0"/>
                <w:szCs w:val="21"/>
              </w:rPr>
              <w:t>实验室设备室外墙墙体：材质为钢化玻璃，</w:t>
            </w:r>
            <w:r>
              <w:rPr>
                <w:rFonts w:ascii="宋体" w:hAnsi="宋体" w:cs="Arial Unicode MS"/>
                <w:snapToGrid w:val="0"/>
                <w:kern w:val="0"/>
                <w:szCs w:val="21"/>
              </w:rPr>
              <w:t>10mm</w:t>
            </w:r>
            <w:r>
              <w:rPr>
                <w:rFonts w:ascii="宋体" w:hAnsi="宋体" w:cs="Arial Unicode MS" w:hint="eastAsia"/>
                <w:snapToGrid w:val="0"/>
                <w:kern w:val="0"/>
                <w:szCs w:val="21"/>
              </w:rPr>
              <w:t>超白钢化玻璃，</w:t>
            </w:r>
            <w:r>
              <w:rPr>
                <w:rFonts w:ascii="宋体" w:hAnsi="宋体" w:cs="Arial Unicode MS"/>
                <w:snapToGrid w:val="0"/>
                <w:kern w:val="0"/>
                <w:szCs w:val="21"/>
              </w:rPr>
              <w:t>80mm</w:t>
            </w:r>
            <w:r>
              <w:rPr>
                <w:rFonts w:ascii="宋体" w:hAnsi="宋体" w:cs="Arial Unicode MS" w:hint="eastAsia"/>
                <w:snapToGrid w:val="0"/>
                <w:kern w:val="0"/>
                <w:szCs w:val="21"/>
              </w:rPr>
              <w:t>黑色铝框架。</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7"/>
              </w:numPr>
              <w:adjustRightInd w:val="0"/>
              <w:snapToGrid w:val="0"/>
              <w:spacing w:line="360" w:lineRule="auto"/>
              <w:jc w:val="left"/>
              <w:rPr>
                <w:rFonts w:ascii="宋体" w:hAnsi="宋体" w:cs="宋体"/>
                <w:snapToGrid w:val="0"/>
                <w:kern w:val="0"/>
                <w:szCs w:val="21"/>
              </w:rPr>
            </w:pPr>
            <w:r>
              <w:rPr>
                <w:rFonts w:ascii="宋体" w:hAnsi="宋体" w:cs="Arial Unicode MS"/>
                <w:b/>
                <w:snapToGrid w:val="0"/>
                <w:kern w:val="0"/>
                <w:szCs w:val="21"/>
              </w:rPr>
              <w:t>轻钢龙骨</w:t>
            </w:r>
            <w:r>
              <w:rPr>
                <w:rFonts w:ascii="宋体" w:hAnsi="宋体" w:cs="Arial Unicode MS" w:hint="eastAsia"/>
                <w:b/>
                <w:snapToGrid w:val="0"/>
                <w:kern w:val="0"/>
                <w:szCs w:val="21"/>
              </w:rPr>
              <w:t>石膏板</w:t>
            </w:r>
            <w:r>
              <w:rPr>
                <w:rFonts w:ascii="宋体" w:hAnsi="宋体" w:cs="Arial Unicode MS"/>
                <w:b/>
                <w:snapToGrid w:val="0"/>
                <w:kern w:val="0"/>
                <w:szCs w:val="21"/>
              </w:rPr>
              <w:t>隔墙</w:t>
            </w:r>
            <w:r>
              <w:rPr>
                <w:rFonts w:ascii="宋体" w:hAnsi="宋体" w:cs="宋体" w:hint="eastAsia"/>
                <w:b/>
                <w:snapToGrid w:val="0"/>
                <w:kern w:val="0"/>
                <w:szCs w:val="21"/>
              </w:rPr>
              <w:t>主要材料及配件要求：</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轻钢龙骨主件：沿顶龙骨、沿地龙骨、加强龙骨、竖向龙骨、横向龙骨应符合设计要求。</w:t>
            </w:r>
          </w:p>
          <w:p w:rsidR="007900F6">
            <w:pPr>
              <w:numPr>
                <w:ilvl w:val="0"/>
                <w:numId w:val="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轻钢骨架配件：支撑卡、卡托、角托、连接件、固定件、附墙龙骨、压条等附件应符合设计要求。</w:t>
            </w:r>
          </w:p>
          <w:p w:rsidR="007900F6">
            <w:pPr>
              <w:numPr>
                <w:ilvl w:val="0"/>
                <w:numId w:val="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紧固材料：射钉、膨胀螺栓、镀锌自攻螺丝、木螺丝和粘结嵌缝料符合设计要求。</w:t>
            </w:r>
          </w:p>
        </w:tc>
      </w:tr>
      <w:tr>
        <w:tblPrEx>
          <w:tblW w:w="5000" w:type="pct"/>
          <w:jc w:val="center"/>
          <w:tblInd w:w="0" w:type="dxa"/>
          <w:tblLook w:val="0000"/>
        </w:tblPrEx>
        <w:trPr>
          <w:trHeight w:val="73"/>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7"/>
              </w:numPr>
              <w:adjustRightInd w:val="0"/>
              <w:snapToGrid w:val="0"/>
              <w:spacing w:line="360" w:lineRule="auto"/>
              <w:rPr>
                <w:rFonts w:ascii="宋体" w:hAnsi="宋体" w:cs="宋体"/>
                <w:snapToGrid w:val="0"/>
                <w:kern w:val="0"/>
                <w:szCs w:val="21"/>
              </w:rPr>
            </w:pPr>
            <w:r>
              <w:rPr>
                <w:rFonts w:ascii="宋体" w:hAnsi="宋体" w:cs="Arial Unicode MS"/>
                <w:b/>
                <w:snapToGrid w:val="0"/>
                <w:kern w:val="0"/>
                <w:szCs w:val="21"/>
              </w:rPr>
              <w:t>轻钢龙骨</w:t>
            </w:r>
            <w:r>
              <w:rPr>
                <w:rFonts w:ascii="宋体" w:hAnsi="宋体" w:cs="Arial Unicode MS" w:hint="eastAsia"/>
                <w:b/>
                <w:snapToGrid w:val="0"/>
                <w:kern w:val="0"/>
                <w:szCs w:val="21"/>
              </w:rPr>
              <w:t>石膏板</w:t>
            </w:r>
            <w:r>
              <w:rPr>
                <w:rFonts w:ascii="宋体" w:hAnsi="宋体" w:cs="Arial Unicode MS"/>
                <w:b/>
                <w:snapToGrid w:val="0"/>
                <w:kern w:val="0"/>
                <w:szCs w:val="21"/>
              </w:rPr>
              <w:t>隔墙</w:t>
            </w:r>
            <w:r>
              <w:rPr>
                <w:rFonts w:ascii="宋体" w:hAnsi="宋体" w:cs="Arial Unicode MS" w:hint="eastAsia"/>
                <w:b/>
                <w:snapToGrid w:val="0"/>
                <w:kern w:val="0"/>
                <w:szCs w:val="21"/>
              </w:rPr>
              <w:t>操作工艺：</w:t>
            </w:r>
          </w:p>
        </w:tc>
      </w:tr>
      <w:tr>
        <w:tblPrEx>
          <w:tblW w:w="5000" w:type="pct"/>
          <w:jc w:val="center"/>
          <w:tblInd w:w="0" w:type="dxa"/>
          <w:tblLook w:val="0000"/>
        </w:tblPrEx>
        <w:trPr>
          <w:trHeight w:val="55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0"/>
              </w:numPr>
              <w:autoSpaceDE w:val="0"/>
              <w:autoSpaceDN w:val="0"/>
              <w:adjustRightInd w:val="0"/>
              <w:snapToGrid w:val="0"/>
              <w:spacing w:line="360" w:lineRule="auto"/>
              <w:ind w:left="360" w:hanging="360"/>
              <w:jc w:val="left"/>
              <w:rPr>
                <w:rFonts w:ascii="宋体" w:hAnsi="宋体" w:cs="宋体"/>
                <w:snapToGrid w:val="0"/>
                <w:kern w:val="0"/>
                <w:szCs w:val="21"/>
              </w:rPr>
            </w:pPr>
            <w:r>
              <w:rPr>
                <w:rFonts w:ascii="宋体" w:hAnsi="宋体" w:cs="宋体" w:hint="eastAsia"/>
                <w:snapToGrid w:val="0"/>
                <w:kern w:val="0"/>
                <w:szCs w:val="21"/>
              </w:rPr>
              <w:t>放线：根据设计施工图，在已做好的地面或地枕带上，放出隔墙位置线、门窗洞口边框线，并放好顶龙骨位置边线。</w:t>
            </w:r>
          </w:p>
          <w:p w:rsidR="007900F6">
            <w:pPr>
              <w:numPr>
                <w:ilvl w:val="0"/>
                <w:numId w:val="10"/>
              </w:numPr>
              <w:autoSpaceDE w:val="0"/>
              <w:autoSpaceDN w:val="0"/>
              <w:adjustRightInd w:val="0"/>
              <w:snapToGrid w:val="0"/>
              <w:spacing w:line="360" w:lineRule="auto"/>
              <w:ind w:left="360" w:hanging="360"/>
              <w:jc w:val="left"/>
              <w:rPr>
                <w:rFonts w:ascii="宋体" w:hAnsi="宋体" w:cs="宋体"/>
                <w:snapToGrid w:val="0"/>
                <w:kern w:val="0"/>
                <w:szCs w:val="21"/>
              </w:rPr>
            </w:pPr>
            <w:r>
              <w:rPr>
                <w:rFonts w:ascii="宋体" w:hAnsi="宋体" w:cs="宋体" w:hint="eastAsia"/>
                <w:snapToGrid w:val="0"/>
                <w:kern w:val="0"/>
                <w:szCs w:val="21"/>
              </w:rPr>
              <w:t>安装门洞口框：放线后按设计，先将隔墙的门洞口框安装完毕。</w:t>
            </w:r>
          </w:p>
          <w:p w:rsidR="007900F6">
            <w:pPr>
              <w:numPr>
                <w:ilvl w:val="0"/>
                <w:numId w:val="10"/>
              </w:numPr>
              <w:autoSpaceDE w:val="0"/>
              <w:autoSpaceDN w:val="0"/>
              <w:adjustRightInd w:val="0"/>
              <w:snapToGrid w:val="0"/>
              <w:spacing w:line="360" w:lineRule="auto"/>
              <w:ind w:left="360" w:hanging="360"/>
              <w:jc w:val="left"/>
              <w:rPr>
                <w:rFonts w:ascii="宋体" w:hAnsi="宋体" w:cs="宋体"/>
                <w:snapToGrid w:val="0"/>
                <w:kern w:val="0"/>
                <w:szCs w:val="21"/>
              </w:rPr>
            </w:pPr>
            <w:r>
              <w:rPr>
                <w:rFonts w:ascii="宋体" w:hAnsi="宋体" w:cs="宋体" w:hint="eastAsia"/>
                <w:snapToGrid w:val="0"/>
                <w:kern w:val="0"/>
                <w:szCs w:val="21"/>
              </w:rPr>
              <w:t>安装沿顶龙骨和沿地龙骨：按已放好的隔墙位置线，按线安装顶龙骨和地龙骨，用射钉固定于主体上，其射钉钉距为600mm。</w:t>
            </w:r>
          </w:p>
          <w:p w:rsidR="007900F6">
            <w:pPr>
              <w:numPr>
                <w:ilvl w:val="0"/>
                <w:numId w:val="10"/>
              </w:numPr>
              <w:autoSpaceDE w:val="0"/>
              <w:autoSpaceDN w:val="0"/>
              <w:adjustRightInd w:val="0"/>
              <w:snapToGrid w:val="0"/>
              <w:spacing w:line="360" w:lineRule="auto"/>
              <w:ind w:left="360" w:hanging="360"/>
              <w:jc w:val="left"/>
              <w:rPr>
                <w:rFonts w:ascii="宋体" w:hAnsi="宋体" w:cs="宋体"/>
                <w:snapToGrid w:val="0"/>
                <w:kern w:val="0"/>
                <w:szCs w:val="21"/>
              </w:rPr>
            </w:pPr>
            <w:r>
              <w:rPr>
                <w:rFonts w:ascii="宋体" w:hAnsi="宋体" w:cs="宋体" w:hint="eastAsia"/>
                <w:snapToGrid w:val="0"/>
                <w:kern w:val="0"/>
                <w:szCs w:val="21"/>
              </w:rPr>
              <w:t>竖龙骨分档：根据隔墙放线门洞口位置，在安装顶地龙骨后，按罩面板的规格900mm或1200mm板宽，分档规格尺寸为450mm，不足模数的分档应避开门洞框边第一块罩面板位置，使破边石膏罩面板不在靠洞框处。</w:t>
            </w:r>
          </w:p>
          <w:p w:rsidR="007900F6">
            <w:pPr>
              <w:numPr>
                <w:ilvl w:val="0"/>
                <w:numId w:val="10"/>
              </w:numPr>
              <w:autoSpaceDE w:val="0"/>
              <w:autoSpaceDN w:val="0"/>
              <w:adjustRightInd w:val="0"/>
              <w:snapToGrid w:val="0"/>
              <w:spacing w:line="360" w:lineRule="auto"/>
              <w:ind w:left="360" w:hanging="360"/>
              <w:jc w:val="left"/>
              <w:rPr>
                <w:rFonts w:ascii="宋体" w:hAnsi="宋体" w:cs="宋体"/>
                <w:snapToGrid w:val="0"/>
                <w:kern w:val="0"/>
                <w:szCs w:val="21"/>
              </w:rPr>
            </w:pPr>
            <w:r>
              <w:rPr>
                <w:rFonts w:ascii="宋体" w:hAnsi="宋体" w:cs="宋体" w:hint="eastAsia"/>
                <w:snapToGrid w:val="0"/>
                <w:kern w:val="0"/>
                <w:szCs w:val="21"/>
              </w:rPr>
              <w:t>安装龙骨：按分档位置安装竖龙骨，竖龙骨上下两端插入沿顶龙骨及沿地龙骨，调整垂直及定位准确后，用抽心铆钉固定；靠墙、柱边龙骨用射钉或木螺丝与墙、柱固定，钉距为1000mm。</w:t>
            </w:r>
          </w:p>
          <w:p w:rsidR="007900F6">
            <w:pPr>
              <w:numPr>
                <w:ilvl w:val="0"/>
                <w:numId w:val="10"/>
              </w:numPr>
              <w:autoSpaceDE w:val="0"/>
              <w:autoSpaceDN w:val="0"/>
              <w:adjustRightInd w:val="0"/>
              <w:snapToGrid w:val="0"/>
              <w:spacing w:line="360" w:lineRule="auto"/>
              <w:ind w:left="360" w:hanging="360"/>
              <w:jc w:val="left"/>
              <w:rPr>
                <w:rFonts w:ascii="宋体" w:hAnsi="宋体" w:cs="宋体"/>
                <w:snapToGrid w:val="0"/>
                <w:kern w:val="0"/>
                <w:szCs w:val="21"/>
              </w:rPr>
            </w:pPr>
            <w:r>
              <w:rPr>
                <w:rFonts w:ascii="宋体" w:hAnsi="宋体" w:cs="宋体" w:hint="eastAsia"/>
                <w:snapToGrid w:val="0"/>
                <w:kern w:val="0"/>
                <w:szCs w:val="21"/>
              </w:rPr>
              <w:t>安装横向卡挡龙骨：根据设计要求，隔墙高度大于3m时应加横向卡档龙骨，采向抽心铆钉或螺栓固定。</w:t>
            </w:r>
          </w:p>
          <w:p w:rsidR="007900F6">
            <w:pPr>
              <w:numPr>
                <w:ilvl w:val="0"/>
                <w:numId w:val="10"/>
              </w:numPr>
              <w:autoSpaceDE w:val="0"/>
              <w:autoSpaceDN w:val="0"/>
              <w:adjustRightInd w:val="0"/>
              <w:snapToGrid w:val="0"/>
              <w:spacing w:line="360" w:lineRule="auto"/>
              <w:ind w:left="360" w:hanging="360"/>
              <w:jc w:val="left"/>
              <w:rPr>
                <w:rFonts w:ascii="宋体" w:hAnsi="宋体" w:cs="宋体"/>
                <w:snapToGrid w:val="0"/>
                <w:kern w:val="0"/>
                <w:szCs w:val="21"/>
              </w:rPr>
            </w:pPr>
            <w:r>
              <w:rPr>
                <w:rFonts w:ascii="宋体" w:hAnsi="宋体" w:cs="宋体" w:hint="eastAsia"/>
                <w:snapToGrid w:val="0"/>
                <w:kern w:val="0"/>
                <w:szCs w:val="21"/>
              </w:rPr>
              <w:t>安装石膏罩面板。</w:t>
            </w:r>
          </w:p>
          <w:p w:rsidR="007900F6">
            <w:pPr>
              <w:numPr>
                <w:ilvl w:val="0"/>
                <w:numId w:val="10"/>
              </w:numPr>
              <w:autoSpaceDE w:val="0"/>
              <w:autoSpaceDN w:val="0"/>
              <w:adjustRightInd w:val="0"/>
              <w:snapToGrid w:val="0"/>
              <w:spacing w:line="360" w:lineRule="auto"/>
              <w:ind w:left="360" w:hanging="360"/>
              <w:jc w:val="left"/>
              <w:rPr>
                <w:rFonts w:ascii="宋体" w:hAnsi="宋体" w:cs="宋体"/>
                <w:snapToGrid w:val="0"/>
                <w:kern w:val="0"/>
                <w:szCs w:val="21"/>
              </w:rPr>
            </w:pPr>
            <w:r>
              <w:rPr>
                <w:rFonts w:ascii="宋体" w:hAnsi="宋体" w:cs="宋体" w:hint="eastAsia"/>
                <w:snapToGrid w:val="0"/>
                <w:kern w:val="0"/>
                <w:szCs w:val="21"/>
              </w:rPr>
              <w:t>接缝做法：纸面石膏板接缝做法有三种形式，即平缝、凹缝和压条缝。</w:t>
            </w:r>
          </w:p>
          <w:p w:rsidR="007900F6">
            <w:pPr>
              <w:numPr>
                <w:ilvl w:val="0"/>
                <w:numId w:val="10"/>
              </w:numPr>
              <w:autoSpaceDE w:val="0"/>
              <w:autoSpaceDN w:val="0"/>
              <w:adjustRightInd w:val="0"/>
              <w:snapToGrid w:val="0"/>
              <w:spacing w:line="360" w:lineRule="auto"/>
              <w:ind w:left="360" w:hanging="360"/>
              <w:jc w:val="left"/>
              <w:rPr>
                <w:rFonts w:ascii="宋体" w:hAnsi="宋体" w:cs="宋体"/>
                <w:snapToGrid w:val="0"/>
                <w:kern w:val="0"/>
                <w:szCs w:val="21"/>
              </w:rPr>
            </w:pPr>
            <w:r>
              <w:rPr>
                <w:rFonts w:ascii="宋体" w:hAnsi="宋体" w:cs="宋体" w:hint="eastAsia"/>
                <w:snapToGrid w:val="0"/>
                <w:kern w:val="0"/>
                <w:szCs w:val="21"/>
              </w:rPr>
              <w:t>墙面装饰、石膏板墙面，根据设计要求，可做各种饰面。</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7"/>
              </w:numPr>
              <w:adjustRightInd w:val="0"/>
              <w:snapToGrid w:val="0"/>
              <w:spacing w:line="360" w:lineRule="auto"/>
              <w:jc w:val="left"/>
              <w:rPr>
                <w:rFonts w:ascii="宋体" w:hAnsi="宋体"/>
                <w:b/>
                <w:snapToGrid w:val="0"/>
                <w:kern w:val="0"/>
                <w:szCs w:val="21"/>
              </w:rPr>
            </w:pPr>
            <w:r>
              <w:rPr>
                <w:rFonts w:ascii="宋体" w:hAnsi="宋体"/>
                <w:b/>
                <w:snapToGrid w:val="0"/>
                <w:kern w:val="0"/>
                <w:szCs w:val="21"/>
              </w:rPr>
              <w:t>轻钢龙骨</w:t>
            </w:r>
            <w:r>
              <w:rPr>
                <w:rFonts w:ascii="宋体" w:hAnsi="宋体" w:hint="eastAsia"/>
                <w:b/>
                <w:snapToGrid w:val="0"/>
                <w:kern w:val="0"/>
                <w:szCs w:val="21"/>
              </w:rPr>
              <w:t>石膏板</w:t>
            </w:r>
            <w:r>
              <w:rPr>
                <w:rFonts w:ascii="宋体" w:hAnsi="宋体"/>
                <w:b/>
                <w:snapToGrid w:val="0"/>
                <w:kern w:val="0"/>
                <w:szCs w:val="21"/>
              </w:rPr>
              <w:t>隔墙</w:t>
            </w:r>
            <w:r>
              <w:rPr>
                <w:rFonts w:ascii="宋体" w:hAnsi="宋体" w:hint="eastAsia"/>
                <w:b/>
                <w:snapToGrid w:val="0"/>
                <w:kern w:val="0"/>
                <w:szCs w:val="21"/>
              </w:rPr>
              <w:t>质量标准：</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1"/>
              </w:numPr>
              <w:adjustRightInd w:val="0"/>
              <w:snapToGrid w:val="0"/>
              <w:spacing w:line="360" w:lineRule="auto"/>
              <w:jc w:val="left"/>
              <w:rPr>
                <w:rFonts w:ascii="宋体" w:hAnsi="宋体" w:cs="宋体"/>
                <w:snapToGrid w:val="0"/>
                <w:kern w:val="0"/>
                <w:szCs w:val="21"/>
              </w:rPr>
            </w:pPr>
            <w:r>
              <w:rPr>
                <w:rFonts w:ascii="宋体" w:hAnsi="宋体" w:cs="宋体"/>
                <w:snapToGrid w:val="0"/>
                <w:kern w:val="0"/>
                <w:szCs w:val="21"/>
              </w:rPr>
              <w:t>面板与龙骨应连接紧密，表面应平整，不得有污染、折裂、缺棱掉角、锤伤等缺陷</w:t>
            </w:r>
            <w:r>
              <w:rPr>
                <w:rFonts w:ascii="宋体" w:hAnsi="宋体" w:cs="宋体" w:hint="eastAsia"/>
                <w:snapToGrid w:val="0"/>
                <w:kern w:val="0"/>
                <w:szCs w:val="21"/>
              </w:rPr>
              <w:t>。</w:t>
            </w:r>
          </w:p>
          <w:p w:rsidR="007900F6">
            <w:pPr>
              <w:numPr>
                <w:ilvl w:val="0"/>
                <w:numId w:val="11"/>
              </w:numPr>
              <w:adjustRightInd w:val="0"/>
              <w:snapToGrid w:val="0"/>
              <w:spacing w:line="360" w:lineRule="auto"/>
              <w:jc w:val="left"/>
              <w:rPr>
                <w:rFonts w:ascii="宋体" w:hAnsi="宋体" w:cs="宋体"/>
                <w:snapToGrid w:val="0"/>
                <w:kern w:val="0"/>
                <w:szCs w:val="21"/>
              </w:rPr>
            </w:pPr>
            <w:r>
              <w:rPr>
                <w:rFonts w:ascii="宋体" w:hAnsi="宋体" w:cs="宋体"/>
                <w:snapToGrid w:val="0"/>
                <w:kern w:val="0"/>
                <w:szCs w:val="21"/>
              </w:rPr>
              <w:t>接缝应均匀一致，粘贴的罩面板不得有脱层。</w:t>
            </w:r>
          </w:p>
          <w:p w:rsidR="007900F6">
            <w:pPr>
              <w:numPr>
                <w:ilvl w:val="0"/>
                <w:numId w:val="11"/>
              </w:numPr>
              <w:adjustRightInd w:val="0"/>
              <w:snapToGrid w:val="0"/>
              <w:spacing w:line="360" w:lineRule="auto"/>
              <w:jc w:val="left"/>
              <w:rPr>
                <w:rFonts w:ascii="宋体" w:hAnsi="宋体" w:cs="宋体"/>
                <w:snapToGrid w:val="0"/>
                <w:kern w:val="0"/>
                <w:szCs w:val="21"/>
              </w:rPr>
            </w:pPr>
            <w:r>
              <w:rPr>
                <w:rFonts w:ascii="宋体" w:hAnsi="宋体" w:cs="宋体"/>
                <w:snapToGrid w:val="0"/>
                <w:kern w:val="0"/>
                <w:szCs w:val="21"/>
              </w:rPr>
              <w:t>板材平整度，表面检查，不得有鼓包，凹陷等，板边应平直，不得翘曲。</w:t>
            </w:r>
          </w:p>
          <w:p w:rsidR="007900F6">
            <w:pPr>
              <w:numPr>
                <w:ilvl w:val="0"/>
                <w:numId w:val="11"/>
              </w:numPr>
              <w:adjustRightInd w:val="0"/>
              <w:snapToGrid w:val="0"/>
              <w:spacing w:line="360" w:lineRule="auto"/>
              <w:jc w:val="left"/>
              <w:rPr>
                <w:rFonts w:ascii="宋体" w:hAnsi="宋体" w:cs="宋体"/>
                <w:snapToGrid w:val="0"/>
                <w:kern w:val="0"/>
                <w:szCs w:val="21"/>
              </w:rPr>
            </w:pPr>
            <w:r>
              <w:rPr>
                <w:rFonts w:ascii="宋体" w:hAnsi="宋体" w:cs="宋体"/>
                <w:snapToGrid w:val="0"/>
                <w:kern w:val="0"/>
                <w:szCs w:val="21"/>
              </w:rPr>
              <w:t>墙面板工程质量的允许偏差应符合平整度W2mm（2m靠尺下）。</w:t>
            </w:r>
          </w:p>
          <w:p w:rsidR="007900F6">
            <w:pPr>
              <w:numPr>
                <w:ilvl w:val="0"/>
                <w:numId w:val="11"/>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石膏</w:t>
            </w:r>
            <w:r>
              <w:rPr>
                <w:rFonts w:ascii="宋体" w:hAnsi="宋体" w:cs="宋体"/>
                <w:snapToGrid w:val="0"/>
                <w:kern w:val="0"/>
                <w:szCs w:val="21"/>
              </w:rPr>
              <w:t>板表面光洁、平整，色泽均匀，无色差。</w:t>
            </w:r>
          </w:p>
          <w:p w:rsidR="007900F6">
            <w:pPr>
              <w:numPr>
                <w:ilvl w:val="0"/>
                <w:numId w:val="11"/>
              </w:numPr>
              <w:adjustRightInd w:val="0"/>
              <w:snapToGrid w:val="0"/>
              <w:spacing w:line="360" w:lineRule="auto"/>
              <w:jc w:val="left"/>
              <w:rPr>
                <w:rFonts w:ascii="宋体" w:hAnsi="宋体" w:cs="宋体"/>
                <w:snapToGrid w:val="0"/>
                <w:kern w:val="0"/>
                <w:szCs w:val="21"/>
              </w:rPr>
            </w:pPr>
            <w:r>
              <w:rPr>
                <w:rFonts w:ascii="宋体" w:hAnsi="宋体" w:cs="宋体"/>
                <w:snapToGrid w:val="0"/>
                <w:kern w:val="0"/>
                <w:szCs w:val="21"/>
              </w:rPr>
              <w:t>胶缝宽度统一均匀，为8-10之间，注胶饱满，无脱落，保证密封度。</w:t>
            </w:r>
          </w:p>
          <w:p w:rsidR="007900F6">
            <w:pPr>
              <w:numPr>
                <w:ilvl w:val="0"/>
                <w:numId w:val="11"/>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应采用专业内墙漆，哑光效果；具有良好的耐洗擦性，安全环保。</w:t>
            </w:r>
          </w:p>
          <w:p w:rsidR="007900F6">
            <w:pPr>
              <w:numPr>
                <w:ilvl w:val="0"/>
                <w:numId w:val="11"/>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耐洗刷性，1000次不露底。</w:t>
            </w:r>
          </w:p>
          <w:p w:rsidR="007900F6">
            <w:pPr>
              <w:numPr>
                <w:ilvl w:val="0"/>
                <w:numId w:val="11"/>
              </w:numPr>
              <w:adjustRightInd w:val="0"/>
              <w:snapToGrid w:val="0"/>
              <w:spacing w:line="360" w:lineRule="auto"/>
              <w:jc w:val="left"/>
              <w:rPr>
                <w:rFonts w:ascii="宋体" w:hAnsi="宋体" w:cs="宋体"/>
                <w:b/>
                <w:snapToGrid w:val="0"/>
                <w:kern w:val="0"/>
                <w:szCs w:val="21"/>
              </w:rPr>
            </w:pPr>
            <w:r>
              <w:rPr>
                <w:rFonts w:ascii="宋体" w:hAnsi="宋体" w:cs="宋体" w:hint="eastAsia"/>
                <w:snapToGrid w:val="0"/>
                <w:kern w:val="0"/>
                <w:szCs w:val="21"/>
              </w:rPr>
              <w:t>有害物质限量应符合国家标准《室内装饰装修材料 内墙涂料中有害物质限量》GB 18582-2001规定的限量指标；挥发性有机化合物的含量应符合国家标准《环境标志产品技术要求 水性涂料》HJ/T 201-2005规定的限量指标</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7"/>
              </w:num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手工玻镁岩棉彩钢隔墙主要材料及配件要求（细胞室）</w:t>
            </w:r>
          </w:p>
        </w:tc>
      </w:tr>
      <w:tr>
        <w:tblPrEx>
          <w:tblW w:w="5000" w:type="pct"/>
          <w:jc w:val="center"/>
          <w:tblInd w:w="0" w:type="dxa"/>
          <w:tblLook w:val="0000"/>
        </w:tblPrEx>
        <w:trPr>
          <w:trHeight w:val="985"/>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2"/>
              </w:numPr>
              <w:adjustRightInd w:val="0"/>
              <w:snapToGrid w:val="0"/>
              <w:spacing w:line="360" w:lineRule="auto"/>
              <w:jc w:val="left"/>
              <w:rPr>
                <w:rFonts w:ascii="宋体" w:hAnsi="宋体" w:cs="宋体"/>
                <w:bCs/>
                <w:snapToGrid w:val="0"/>
                <w:kern w:val="0"/>
                <w:szCs w:val="21"/>
              </w:rPr>
            </w:pPr>
            <w:r>
              <w:rPr>
                <w:rFonts w:ascii="宋体" w:hAnsi="宋体" w:cs="宋体" w:hint="eastAsia"/>
                <w:bCs/>
                <w:snapToGrid w:val="0"/>
                <w:kern w:val="0"/>
                <w:szCs w:val="21"/>
              </w:rPr>
              <w:t>细胞室彩钢板需预留检修口。有</w:t>
            </w:r>
            <w:r>
              <w:rPr>
                <w:rFonts w:ascii="宋体" w:hAnsi="宋体" w:cs="宋体" w:hint="eastAsia"/>
                <w:snapToGrid w:val="0"/>
                <w:kern w:val="0"/>
                <w:szCs w:val="21"/>
              </w:rPr>
              <w:t>定期紫光外灭菌系统。</w:t>
            </w:r>
          </w:p>
          <w:p w:rsidR="007900F6">
            <w:pPr>
              <w:numPr>
                <w:ilvl w:val="0"/>
                <w:numId w:val="12"/>
              </w:numPr>
              <w:adjustRightInd w:val="0"/>
              <w:snapToGrid w:val="0"/>
              <w:spacing w:line="360" w:lineRule="auto"/>
              <w:jc w:val="left"/>
              <w:rPr>
                <w:rFonts w:ascii="宋体" w:hAnsi="宋体" w:cs="宋体"/>
                <w:snapToGrid w:val="0"/>
                <w:kern w:val="0"/>
                <w:szCs w:val="21"/>
              </w:rPr>
            </w:pPr>
            <w:r>
              <w:rPr>
                <w:rFonts w:ascii="宋体" w:hAnsi="宋体" w:cs="宋体" w:hint="eastAsia"/>
                <w:bCs/>
                <w:snapToGrid w:val="0"/>
                <w:kern w:val="0"/>
                <w:szCs w:val="21"/>
              </w:rPr>
              <w:t>壁板具体要求：彩钢板墙板规格尺寸：墙体厚度50mm，采用0.5mm厚钢板环氧树脂喷涂。</w:t>
            </w:r>
          </w:p>
          <w:p w:rsidR="007900F6">
            <w:pPr>
              <w:numPr>
                <w:ilvl w:val="0"/>
                <w:numId w:val="12"/>
              </w:numPr>
              <w:adjustRightInd w:val="0"/>
              <w:snapToGrid w:val="0"/>
              <w:spacing w:line="360" w:lineRule="auto"/>
              <w:jc w:val="left"/>
              <w:rPr>
                <w:rFonts w:ascii="宋体" w:hAnsi="宋体" w:cs="宋体"/>
                <w:snapToGrid w:val="0"/>
                <w:kern w:val="0"/>
                <w:szCs w:val="21"/>
              </w:rPr>
            </w:pPr>
            <w:r>
              <w:rPr>
                <w:rFonts w:ascii="宋体" w:hAnsi="宋体" w:cs="宋体" w:hint="eastAsia"/>
                <w:bCs/>
                <w:snapToGrid w:val="0"/>
                <w:kern w:val="0"/>
                <w:szCs w:val="21"/>
              </w:rPr>
              <w:t>各类龙骨型材要求:铝合金圆弧装饰条(带安装基座)规格尺寸：圆弧半径为50，表面无缺陷，颜色与彩钢板一致。</w:t>
            </w:r>
          </w:p>
          <w:p w:rsidR="007900F6">
            <w:pPr>
              <w:numPr>
                <w:ilvl w:val="0"/>
                <w:numId w:val="12"/>
              </w:numPr>
              <w:adjustRightInd w:val="0"/>
              <w:snapToGrid w:val="0"/>
              <w:spacing w:line="360" w:lineRule="auto"/>
              <w:jc w:val="left"/>
              <w:rPr>
                <w:rFonts w:ascii="宋体" w:hAnsi="宋体" w:cs="宋体"/>
                <w:snapToGrid w:val="0"/>
                <w:kern w:val="0"/>
                <w:szCs w:val="21"/>
              </w:rPr>
            </w:pPr>
            <w:r>
              <w:rPr>
                <w:rFonts w:ascii="宋体" w:hAnsi="宋体" w:cs="宋体" w:hint="eastAsia"/>
                <w:bCs/>
                <w:snapToGrid w:val="0"/>
                <w:kern w:val="0"/>
                <w:szCs w:val="21"/>
              </w:rPr>
              <w:t>整体偏差标准：高度≤1.5 mm/块、宽度≤0.5 mm/块、厚度≤1.0 mm/块。</w:t>
            </w:r>
          </w:p>
          <w:p w:rsidR="007900F6">
            <w:pPr>
              <w:numPr>
                <w:ilvl w:val="0"/>
                <w:numId w:val="12"/>
              </w:numPr>
              <w:adjustRightInd w:val="0"/>
              <w:snapToGrid w:val="0"/>
              <w:spacing w:line="360" w:lineRule="auto"/>
              <w:jc w:val="left"/>
              <w:rPr>
                <w:rFonts w:ascii="宋体" w:hAnsi="宋体" w:cs="宋体"/>
                <w:snapToGrid w:val="0"/>
                <w:kern w:val="0"/>
                <w:szCs w:val="21"/>
              </w:rPr>
            </w:pPr>
            <w:r>
              <w:rPr>
                <w:rFonts w:ascii="宋体" w:hAnsi="宋体" w:cs="宋体" w:hint="eastAsia"/>
                <w:bCs/>
                <w:snapToGrid w:val="0"/>
                <w:kern w:val="0"/>
                <w:szCs w:val="21"/>
              </w:rPr>
              <w:t>整体弯曲性能：墙板高度3米、两侧压差为70 Pa时，弯曲程度小于0.3 mm/米。</w:t>
            </w:r>
          </w:p>
          <w:p w:rsidR="007900F6">
            <w:pPr>
              <w:numPr>
                <w:ilvl w:val="0"/>
                <w:numId w:val="1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双面5C膜,保护钢板。</w:t>
            </w:r>
          </w:p>
          <w:p w:rsidR="007900F6">
            <w:pPr>
              <w:numPr>
                <w:ilvl w:val="0"/>
                <w:numId w:val="12"/>
              </w:numPr>
              <w:adjustRightInd w:val="0"/>
              <w:snapToGrid w:val="0"/>
              <w:spacing w:line="360" w:lineRule="auto"/>
              <w:jc w:val="left"/>
              <w:rPr>
                <w:rFonts w:ascii="宋体" w:hAnsi="宋体" w:cs="宋体"/>
                <w:snapToGrid w:val="0"/>
                <w:kern w:val="0"/>
                <w:szCs w:val="21"/>
              </w:rPr>
            </w:pPr>
            <w:r>
              <w:rPr>
                <w:rFonts w:ascii="宋体" w:hAnsi="宋体" w:cs="宋体" w:hint="eastAsia"/>
                <w:bCs/>
                <w:snapToGrid w:val="0"/>
                <w:kern w:val="0"/>
                <w:szCs w:val="21"/>
              </w:rPr>
              <w:t>采用特殊生产工艺加工而成，具有防火、防水、无味、</w:t>
            </w:r>
            <w:r>
              <w:rPr>
                <w:rFonts w:ascii="宋体" w:hAnsi="宋体" w:cs="宋体" w:hint="eastAsia"/>
                <w:snapToGrid w:val="0"/>
                <w:kern w:val="0"/>
                <w:szCs w:val="21"/>
              </w:rPr>
              <w:t>无毒、不冻、不腐、不裂、不变、不燃、高强质轻、安装方便、使用寿命长等特点，要求厚度 50mm，钢板厚度不低于0.5mm。</w:t>
            </w:r>
          </w:p>
          <w:p w:rsidR="007900F6">
            <w:pPr>
              <w:numPr>
                <w:ilvl w:val="0"/>
                <w:numId w:val="12"/>
              </w:numPr>
              <w:adjustRightInd w:val="0"/>
              <w:snapToGrid w:val="0"/>
              <w:spacing w:line="360" w:lineRule="auto"/>
              <w:jc w:val="left"/>
              <w:rPr>
                <w:rFonts w:ascii="宋体" w:hAnsi="宋体" w:cs="宋体"/>
                <w:b/>
                <w:snapToGrid w:val="0"/>
                <w:kern w:val="0"/>
                <w:szCs w:val="21"/>
              </w:rPr>
            </w:pPr>
            <w:r>
              <w:rPr>
                <w:rFonts w:ascii="宋体" w:hAnsi="宋体" w:cs="宋体" w:hint="eastAsia"/>
                <w:snapToGrid w:val="0"/>
                <w:kern w:val="0"/>
                <w:szCs w:val="21"/>
              </w:rPr>
              <w:t>镁岩棉彩钢板：上下两面净化、灰白（避免眩光），覆膜钢板，上下两面各 5mm 玻镁面板，芯材由 11 条 12mm 玻镁龙骨框架，手工板四周 0.68-0.70MM 龙骨架封边。</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7"/>
              </w:numPr>
              <w:adjustRightInd w:val="0"/>
              <w:snapToGrid w:val="0"/>
              <w:spacing w:line="360" w:lineRule="auto"/>
              <w:jc w:val="left"/>
              <w:rPr>
                <w:rFonts w:ascii="宋体" w:hAnsi="宋体" w:cs="宋体"/>
                <w:snapToGrid w:val="0"/>
                <w:kern w:val="0"/>
                <w:szCs w:val="21"/>
              </w:rPr>
            </w:pPr>
            <w:r>
              <w:rPr>
                <w:rFonts w:ascii="宋体" w:hAnsi="宋体" w:cs="宋体" w:hint="eastAsia"/>
                <w:b/>
                <w:snapToGrid w:val="0"/>
                <w:kern w:val="0"/>
                <w:szCs w:val="21"/>
              </w:rPr>
              <w:t>手工玻镁岩棉彩钢隔墙操作工艺</w:t>
            </w:r>
          </w:p>
        </w:tc>
      </w:tr>
      <w:tr>
        <w:tblPrEx>
          <w:tblW w:w="5000" w:type="pct"/>
          <w:jc w:val="center"/>
          <w:tblInd w:w="0" w:type="dxa"/>
          <w:tblLook w:val="0000"/>
        </w:tblPrEx>
        <w:trPr>
          <w:trHeight w:val="21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3"/>
              </w:numPr>
              <w:adjustRightInd w:val="0"/>
              <w:snapToGrid w:val="0"/>
              <w:spacing w:line="360" w:lineRule="auto"/>
              <w:ind w:left="462"/>
              <w:jc w:val="left"/>
              <w:rPr>
                <w:rFonts w:ascii="宋体" w:hAnsi="宋体" w:cs="宋体"/>
                <w:snapToGrid w:val="0"/>
                <w:kern w:val="0"/>
                <w:szCs w:val="21"/>
              </w:rPr>
            </w:pPr>
            <w:r>
              <w:rPr>
                <w:rFonts w:ascii="宋体" w:hAnsi="宋体" w:cs="宋体" w:hint="eastAsia"/>
                <w:snapToGrid w:val="0"/>
                <w:kern w:val="0"/>
                <w:szCs w:val="21"/>
              </w:rPr>
              <w:t>放线：根据施工图，在已做好的地面或地枕带上放出隔墙位置线，门窗洞边框线，并放好顶龙骨位置边线。</w:t>
            </w:r>
          </w:p>
          <w:p w:rsidR="007900F6">
            <w:pPr>
              <w:numPr>
                <w:ilvl w:val="0"/>
                <w:numId w:val="13"/>
              </w:numPr>
              <w:adjustRightInd w:val="0"/>
              <w:snapToGrid w:val="0"/>
              <w:spacing w:line="360" w:lineRule="auto"/>
              <w:ind w:left="462"/>
              <w:jc w:val="left"/>
              <w:rPr>
                <w:rFonts w:ascii="宋体" w:hAnsi="宋体" w:cs="宋体"/>
                <w:snapToGrid w:val="0"/>
                <w:kern w:val="0"/>
                <w:szCs w:val="21"/>
              </w:rPr>
            </w:pPr>
            <w:r>
              <w:rPr>
                <w:rFonts w:ascii="宋体" w:hAnsi="宋体" w:cs="宋体" w:hint="eastAsia"/>
                <w:snapToGrid w:val="0"/>
                <w:kern w:val="0"/>
                <w:szCs w:val="21"/>
              </w:rPr>
              <w:t>安装门洞口框：放线后按图纸规格，先将隔墙的门洞口框安装完毕。</w:t>
            </w:r>
          </w:p>
          <w:p w:rsidR="007900F6">
            <w:pPr>
              <w:numPr>
                <w:ilvl w:val="0"/>
                <w:numId w:val="13"/>
              </w:numPr>
              <w:adjustRightInd w:val="0"/>
              <w:snapToGrid w:val="0"/>
              <w:spacing w:line="360" w:lineRule="auto"/>
              <w:ind w:left="462"/>
              <w:jc w:val="left"/>
              <w:rPr>
                <w:rFonts w:ascii="宋体" w:hAnsi="宋体" w:cs="宋体"/>
                <w:snapToGrid w:val="0"/>
                <w:kern w:val="0"/>
                <w:szCs w:val="21"/>
              </w:rPr>
            </w:pPr>
            <w:r>
              <w:rPr>
                <w:rFonts w:ascii="宋体" w:hAnsi="宋体" w:cs="宋体" w:hint="eastAsia"/>
                <w:snapToGrid w:val="0"/>
                <w:kern w:val="0"/>
                <w:szCs w:val="21"/>
              </w:rPr>
              <w:t>安装和沿顶龙骨和沿地龙骨：按已放好的隔墙位置线，按线安装顶龙骨和地龙骨，用射钉固定于主体上。</w:t>
            </w:r>
          </w:p>
          <w:p w:rsidR="007900F6">
            <w:pPr>
              <w:numPr>
                <w:ilvl w:val="0"/>
                <w:numId w:val="13"/>
              </w:numPr>
              <w:adjustRightInd w:val="0"/>
              <w:snapToGrid w:val="0"/>
              <w:spacing w:line="360" w:lineRule="auto"/>
              <w:ind w:left="462"/>
              <w:jc w:val="left"/>
              <w:rPr>
                <w:rFonts w:ascii="宋体" w:hAnsi="宋体" w:cs="宋体"/>
                <w:snapToGrid w:val="0"/>
                <w:kern w:val="0"/>
                <w:szCs w:val="21"/>
              </w:rPr>
            </w:pPr>
            <w:r>
              <w:rPr>
                <w:rFonts w:ascii="宋体" w:hAnsi="宋体" w:cs="宋体" w:hint="eastAsia"/>
                <w:snapToGrid w:val="0"/>
                <w:kern w:val="0"/>
                <w:szCs w:val="21"/>
              </w:rPr>
              <w:t>安装彩钢板：</w:t>
            </w:r>
          </w:p>
          <w:p w:rsidR="007900F6">
            <w:pPr>
              <w:numPr>
                <w:ilvl w:val="0"/>
                <w:numId w:val="13"/>
              </w:numPr>
              <w:adjustRightInd w:val="0"/>
              <w:snapToGrid w:val="0"/>
              <w:spacing w:line="360" w:lineRule="auto"/>
              <w:ind w:left="462"/>
              <w:jc w:val="left"/>
              <w:rPr>
                <w:rFonts w:ascii="宋体" w:hAnsi="宋体" w:cs="宋体"/>
                <w:snapToGrid w:val="0"/>
                <w:kern w:val="0"/>
                <w:szCs w:val="21"/>
              </w:rPr>
            </w:pPr>
            <w:r>
              <w:rPr>
                <w:rFonts w:ascii="宋体" w:hAnsi="宋体" w:cs="宋体" w:hint="eastAsia"/>
                <w:snapToGrid w:val="0"/>
                <w:kern w:val="0"/>
                <w:szCs w:val="21"/>
              </w:rPr>
              <w:t>隔墙手工彩钢板，</w:t>
            </w:r>
            <w:r>
              <w:rPr>
                <w:rFonts w:ascii="宋体" w:hAnsi="宋体" w:cs="宋体" w:hint="eastAsia"/>
                <w:bCs/>
                <w:snapToGrid w:val="0"/>
                <w:kern w:val="0"/>
                <w:szCs w:val="21"/>
              </w:rPr>
              <w:t>壁板具体要求：彩钢板墙板规格尺寸：墙体厚度50mm，采用0.5mm厚钢板，玻镁岩棉彩钢板紧贴面板</w:t>
            </w:r>
            <w:r>
              <w:rPr>
                <w:rFonts w:ascii="宋体" w:hAnsi="宋体" w:cs="宋体" w:hint="eastAsia"/>
                <w:snapToGrid w:val="0"/>
                <w:kern w:val="0"/>
                <w:szCs w:val="21"/>
              </w:rPr>
              <w:t>可用于安装水管和电线管，墙板的宽度模数为1200mm，龙骨采用镀锌龙骨（或进口龙骨），墙板固定在四周龙骨上，每张墙板均可单独拆卸。</w:t>
            </w:r>
          </w:p>
          <w:p w:rsidR="007900F6">
            <w:pPr>
              <w:numPr>
                <w:ilvl w:val="0"/>
                <w:numId w:val="13"/>
              </w:numPr>
              <w:adjustRightInd w:val="0"/>
              <w:snapToGrid w:val="0"/>
              <w:spacing w:line="360" w:lineRule="auto"/>
              <w:ind w:left="462"/>
              <w:jc w:val="left"/>
              <w:rPr>
                <w:rFonts w:ascii="宋体" w:hAnsi="宋体" w:cs="宋体"/>
                <w:snapToGrid w:val="0"/>
                <w:kern w:val="0"/>
                <w:szCs w:val="21"/>
              </w:rPr>
            </w:pPr>
            <w:r>
              <w:rPr>
                <w:rFonts w:ascii="宋体" w:hAnsi="宋体" w:cs="宋体" w:hint="eastAsia"/>
                <w:snapToGrid w:val="0"/>
                <w:kern w:val="0"/>
                <w:szCs w:val="21"/>
              </w:rPr>
              <w:t>墙面与地面交接处的阴角宜为圆角，其圆角半径R=50，且踢脚不应突出墙面。</w:t>
            </w:r>
          </w:p>
          <w:p w:rsidR="007900F6">
            <w:pPr>
              <w:numPr>
                <w:ilvl w:val="0"/>
                <w:numId w:val="13"/>
              </w:numPr>
              <w:adjustRightInd w:val="0"/>
              <w:snapToGrid w:val="0"/>
              <w:spacing w:line="360" w:lineRule="auto"/>
              <w:ind w:left="462"/>
              <w:jc w:val="left"/>
              <w:rPr>
                <w:rFonts w:ascii="宋体" w:hAnsi="宋体" w:cs="宋体"/>
                <w:snapToGrid w:val="0"/>
                <w:kern w:val="0"/>
                <w:szCs w:val="21"/>
              </w:rPr>
            </w:pPr>
            <w:r>
              <w:rPr>
                <w:rFonts w:ascii="宋体" w:hAnsi="宋体" w:cs="宋体" w:hint="eastAsia"/>
                <w:snapToGrid w:val="0"/>
                <w:kern w:val="0"/>
                <w:szCs w:val="21"/>
              </w:rPr>
              <w:t>洁净区域内的各类立管、消火栓箱、电箱等,待安装完毕后用彩钢板封包至吊顶。</w:t>
            </w:r>
          </w:p>
          <w:p w:rsidR="007900F6">
            <w:pPr>
              <w:numPr>
                <w:ilvl w:val="0"/>
                <w:numId w:val="13"/>
              </w:numPr>
              <w:adjustRightInd w:val="0"/>
              <w:snapToGrid w:val="0"/>
              <w:spacing w:line="360" w:lineRule="auto"/>
              <w:ind w:left="462"/>
              <w:jc w:val="left"/>
              <w:rPr>
                <w:rFonts w:ascii="宋体" w:hAnsi="宋体" w:cs="宋体"/>
                <w:snapToGrid w:val="0"/>
                <w:kern w:val="0"/>
                <w:szCs w:val="21"/>
              </w:rPr>
            </w:pPr>
            <w:r>
              <w:rPr>
                <w:rFonts w:ascii="宋体" w:hAnsi="宋体" w:cs="宋体" w:hint="eastAsia"/>
                <w:snapToGrid w:val="0"/>
                <w:kern w:val="0"/>
                <w:szCs w:val="21"/>
              </w:rPr>
              <w:t>接缝均匀，打胶饱满，密封胶采用硅胶。</w:t>
            </w:r>
          </w:p>
          <w:p w:rsidR="007900F6">
            <w:pPr>
              <w:numPr>
                <w:ilvl w:val="0"/>
                <w:numId w:val="13"/>
              </w:numPr>
              <w:adjustRightInd w:val="0"/>
              <w:snapToGrid w:val="0"/>
              <w:spacing w:line="360" w:lineRule="auto"/>
              <w:ind w:left="462"/>
              <w:jc w:val="left"/>
              <w:rPr>
                <w:rFonts w:ascii="宋体" w:hAnsi="宋体" w:cs="宋体"/>
                <w:snapToGrid w:val="0"/>
                <w:kern w:val="0"/>
                <w:szCs w:val="21"/>
              </w:rPr>
            </w:pPr>
            <w:r>
              <w:rPr>
                <w:rFonts w:ascii="宋体" w:hAnsi="宋体" w:cs="宋体" w:hint="eastAsia"/>
                <w:snapToGrid w:val="0"/>
                <w:kern w:val="0"/>
                <w:szCs w:val="21"/>
              </w:rPr>
              <w:t>视窗采用5毫米中空钢化玻璃视窗，窗框选特制金属龙骨，该龙骨采用与墙体相同颜色的材料静电喷涂，用胶带将玻璃与窗框固定，不存在窗角和窗台。厚度与墙体相同，使窗和墙面成为一个平面。</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7"/>
              </w:numPr>
              <w:adjustRightInd w:val="0"/>
              <w:snapToGrid w:val="0"/>
              <w:spacing w:line="360" w:lineRule="auto"/>
              <w:jc w:val="left"/>
              <w:rPr>
                <w:rFonts w:ascii="宋体" w:hAnsi="宋体" w:cs="宋体"/>
                <w:snapToGrid w:val="0"/>
                <w:kern w:val="0"/>
                <w:szCs w:val="21"/>
              </w:rPr>
            </w:pPr>
            <w:r>
              <w:rPr>
                <w:rFonts w:ascii="宋体" w:hAnsi="宋体" w:cs="宋体" w:hint="eastAsia"/>
                <w:b/>
                <w:snapToGrid w:val="0"/>
                <w:kern w:val="0"/>
                <w:szCs w:val="21"/>
              </w:rPr>
              <w:t>手工玻镁岩棉彩钢隔墙质量标准</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彩钢板表面平整光滑，无划痕、无损坏、颜色一致。</w:t>
            </w:r>
          </w:p>
          <w:p w:rsidR="007900F6">
            <w:pPr>
              <w:numPr>
                <w:ilvl w:val="0"/>
                <w:numId w:val="1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彩钢板安装壁板应垂直，立缝要靠紧、均匀，转角板转角处的连接应整齐一致。水平、垂直方向均应成直线，无明显错位。连接处不得出现明显凹陷，室内包角边连接后不得出现波浪形翘曲，组立壁板的同时配合好电气暗敷管线及箱盒安装。</w:t>
            </w:r>
          </w:p>
          <w:p w:rsidR="007900F6">
            <w:pPr>
              <w:numPr>
                <w:ilvl w:val="0"/>
                <w:numId w:val="1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在净化区内，凡是有可能影响洁净度，如彩钢板之间的拼接缝、R角与壁板、顶板的所有缝隙、空调风管、风口、高效过滤器与壁顶板间的缝隙、电气穿过壁板顶板的保护管槽与洞口边缘间的缝隙、所有开关插座灯具与彩钢板顶板面间的缝隙、所有给排水工艺、保护管与洞口及玻璃与框间的缝隙，均要密封处理。密封硅胶应在彩钢板安装基本就绪，卫生条件较好，经过彻底清扫除尘后，统一进行。</w:t>
            </w:r>
          </w:p>
          <w:p w:rsidR="007900F6">
            <w:pPr>
              <w:numPr>
                <w:ilvl w:val="0"/>
                <w:numId w:val="1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根据平面布局彩钢板间隔全部为定制尺寸，要求做墙体排版设计。</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其它</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在做隔墙时，实验室与其他实验室原有的玻璃隔墙需要贴一面磨砂膜。</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b/>
                <w:bCs/>
                <w:snapToGrid w:val="0"/>
                <w:kern w:val="0"/>
                <w:szCs w:val="21"/>
              </w:rPr>
            </w:pPr>
            <w:r>
              <w:rPr>
                <w:rFonts w:ascii="宋体" w:hAnsi="宋体" w:hint="eastAsia"/>
                <w:b/>
                <w:bCs/>
                <w:snapToGrid w:val="0"/>
                <w:kern w:val="0"/>
                <w:szCs w:val="21"/>
              </w:rPr>
              <w:t>1.4踢脚线</w:t>
            </w:r>
          </w:p>
        </w:tc>
        <w:tc>
          <w:tcPr>
            <w:tcW w:w="3560" w:type="pct"/>
            <w:vAlign w:val="center"/>
          </w:tcPr>
          <w:p w:rsidR="007900F6">
            <w:p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1</w:t>
            </w:r>
            <w:r>
              <w:rPr>
                <w:rFonts w:ascii="宋体" w:hAnsi="宋体"/>
                <w:snapToGrid w:val="0"/>
                <w:kern w:val="0"/>
                <w:szCs w:val="21"/>
              </w:rPr>
              <w:t xml:space="preserve">.4.1 </w:t>
            </w:r>
            <w:r>
              <w:rPr>
                <w:rFonts w:ascii="宋体" w:hAnsi="宋体" w:hint="eastAsia"/>
                <w:snapToGrid w:val="0"/>
                <w:kern w:val="0"/>
                <w:szCs w:val="21"/>
              </w:rPr>
              <w:t>墙体下方安装黑色踢脚线，高度10cm。</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
                <w:bCs/>
                <w:snapToGrid w:val="0"/>
                <w:kern w:val="0"/>
                <w:szCs w:val="21"/>
              </w:rPr>
            </w:pPr>
            <w:r>
              <w:rPr>
                <w:rFonts w:ascii="宋体" w:hAnsi="宋体" w:hint="eastAsia"/>
                <w:b/>
                <w:bCs/>
                <w:snapToGrid w:val="0"/>
                <w:kern w:val="0"/>
                <w:szCs w:val="21"/>
              </w:rPr>
              <w:t>1.</w:t>
            </w:r>
            <w:r>
              <w:rPr>
                <w:rFonts w:ascii="宋体" w:hAnsi="宋体"/>
                <w:b/>
                <w:bCs/>
                <w:snapToGrid w:val="0"/>
                <w:kern w:val="0"/>
                <w:szCs w:val="21"/>
              </w:rPr>
              <w:t>5</w:t>
            </w:r>
            <w:r>
              <w:rPr>
                <w:rFonts w:ascii="宋体" w:hAnsi="宋体" w:hint="eastAsia"/>
                <w:b/>
                <w:bCs/>
                <w:snapToGrid w:val="0"/>
                <w:kern w:val="0"/>
                <w:szCs w:val="21"/>
              </w:rPr>
              <w:t>门窗</w:t>
            </w:r>
          </w:p>
        </w:tc>
        <w:tc>
          <w:tcPr>
            <w:tcW w:w="3560" w:type="pct"/>
            <w:vAlign w:val="center"/>
          </w:tcPr>
          <w:p w:rsidR="007900F6">
            <w:pPr>
              <w:numPr>
                <w:ilvl w:val="0"/>
                <w:numId w:val="15"/>
              </w:numPr>
              <w:adjustRightInd w:val="0"/>
              <w:snapToGrid w:val="0"/>
              <w:spacing w:line="360" w:lineRule="auto"/>
              <w:jc w:val="left"/>
              <w:rPr>
                <w:rFonts w:ascii="宋体" w:hAnsi="宋体"/>
                <w:b/>
                <w:snapToGrid w:val="0"/>
                <w:kern w:val="0"/>
                <w:szCs w:val="21"/>
              </w:rPr>
            </w:pPr>
            <w:r>
              <w:rPr>
                <w:rFonts w:ascii="宋体" w:hAnsi="宋体" w:cs="宋体" w:hint="eastAsia"/>
                <w:b/>
                <w:snapToGrid w:val="0"/>
                <w:kern w:val="0"/>
                <w:szCs w:val="21"/>
              </w:rPr>
              <w:t>成品钢制密闭门（除细胞室大门外的其余门）</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6"/>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实验室大门及设备间门采用绿色防火门加黑色边框带视窗（甲级防火门，防火等级</w:t>
            </w:r>
            <w:r>
              <w:rPr>
                <w:rFonts w:ascii="宋体" w:hAnsi="宋体"/>
                <w:snapToGrid w:val="0"/>
                <w:kern w:val="0"/>
                <w:szCs w:val="21"/>
              </w:rPr>
              <w:t>A</w:t>
            </w:r>
            <w:r>
              <w:rPr>
                <w:rFonts w:ascii="宋体" w:hAnsi="宋体" w:hint="eastAsia"/>
                <w:snapToGrid w:val="0"/>
                <w:kern w:val="0"/>
                <w:szCs w:val="21"/>
              </w:rPr>
              <w:t>，</w:t>
            </w:r>
            <w:r>
              <w:rPr>
                <w:rFonts w:ascii="宋体" w:hAnsi="宋体" w:hint="eastAsia"/>
                <w:snapToGrid w:val="0"/>
                <w:kern w:val="0"/>
                <w:szCs w:val="21"/>
                <w:shd w:val="clear" w:color="auto" w:fill="9BBB59"/>
              </w:rPr>
              <w:t>视窗尺寸60</w:t>
            </w:r>
            <w:r>
              <w:rPr>
                <w:rFonts w:ascii="宋体" w:hAnsi="宋体"/>
                <w:snapToGrid w:val="0"/>
                <w:kern w:val="0"/>
                <w:szCs w:val="21"/>
                <w:shd w:val="clear" w:color="auto" w:fill="9BBB59"/>
              </w:rPr>
              <w:t>*10</w:t>
            </w:r>
            <w:r>
              <w:rPr>
                <w:rFonts w:ascii="宋体" w:hAnsi="宋体" w:hint="eastAsia"/>
                <w:snapToGrid w:val="0"/>
                <w:kern w:val="0"/>
                <w:szCs w:val="21"/>
                <w:shd w:val="clear" w:color="auto" w:fill="9BBB59"/>
              </w:rPr>
              <w:t>cm</w:t>
            </w:r>
            <w:r>
              <w:rPr>
                <w:rFonts w:ascii="宋体" w:hAnsi="宋体" w:hint="eastAsia"/>
                <w:snapToGrid w:val="0"/>
                <w:kern w:val="0"/>
                <w:szCs w:val="21"/>
              </w:rPr>
              <w:t>），需安装闭门器。每个房间都需要门牌（共</w:t>
            </w:r>
            <w:r>
              <w:rPr>
                <w:rFonts w:ascii="宋体" w:hAnsi="宋体"/>
                <w:snapToGrid w:val="0"/>
                <w:kern w:val="0"/>
                <w:szCs w:val="21"/>
              </w:rPr>
              <w:t>11</w:t>
            </w:r>
            <w:r>
              <w:rPr>
                <w:rFonts w:ascii="宋体" w:hAnsi="宋体" w:hint="eastAsia"/>
                <w:snapToGrid w:val="0"/>
                <w:kern w:val="0"/>
                <w:szCs w:val="21"/>
              </w:rPr>
              <w:t>个，</w:t>
            </w:r>
            <w:r>
              <w:rPr>
                <w:rFonts w:ascii="宋体" w:hAnsi="宋体" w:hint="eastAsia"/>
                <w:snapToGrid w:val="0"/>
                <w:kern w:val="0"/>
                <w:szCs w:val="21"/>
                <w:shd w:val="clear" w:color="auto" w:fill="9BBB59"/>
              </w:rPr>
              <w:t>门牌尺寸2</w:t>
            </w:r>
            <w:r>
              <w:rPr>
                <w:rFonts w:ascii="宋体" w:hAnsi="宋体"/>
                <w:snapToGrid w:val="0"/>
                <w:kern w:val="0"/>
                <w:szCs w:val="21"/>
                <w:shd w:val="clear" w:color="auto" w:fill="9BBB59"/>
              </w:rPr>
              <w:t>5*6</w:t>
            </w:r>
            <w:r>
              <w:rPr>
                <w:rFonts w:ascii="宋体" w:hAnsi="宋体" w:hint="eastAsia"/>
                <w:snapToGrid w:val="0"/>
                <w:kern w:val="0"/>
                <w:szCs w:val="21"/>
                <w:shd w:val="clear" w:color="auto" w:fill="9BBB59"/>
              </w:rPr>
              <w:t>cm</w:t>
            </w:r>
            <w:r>
              <w:rPr>
                <w:rFonts w:ascii="宋体" w:hAnsi="宋体" w:hint="eastAsia"/>
                <w:snapToGrid w:val="0"/>
                <w:kern w:val="0"/>
                <w:szCs w:val="21"/>
              </w:rPr>
              <w:t>）。（</w:t>
            </w:r>
            <w:r>
              <w:rPr>
                <w:rFonts w:ascii="宋体" w:hAnsi="宋体" w:cs="宋体" w:hint="eastAsia"/>
                <w:snapToGrid w:val="0"/>
                <w:kern w:val="0"/>
                <w:szCs w:val="21"/>
              </w:rPr>
              <w:t>具体颜色、款式按招标人要求进行调配，需送样本确认</w:t>
            </w:r>
            <w:r>
              <w:rPr>
                <w:rFonts w:ascii="宋体" w:hAnsi="宋体" w:hint="eastAsia"/>
                <w:snapToGrid w:val="0"/>
                <w:kern w:val="0"/>
                <w:szCs w:val="21"/>
              </w:rPr>
              <w:t>）。所有门窗尺寸均应按现场尺寸量度为准，同一墙面门顶线应保持同一水平线。平开密闭门框应带密封胶条</w:t>
            </w:r>
            <w:r>
              <w:rPr>
                <w:rFonts w:ascii="宋体" w:hAnsi="宋体"/>
                <w:snapToGrid w:val="0"/>
                <w:kern w:val="0"/>
                <w:szCs w:val="21"/>
              </w:rPr>
              <w:t>,</w:t>
            </w:r>
            <w:r>
              <w:rPr>
                <w:rFonts w:ascii="宋体" w:hAnsi="宋体" w:hint="eastAsia"/>
                <w:snapToGrid w:val="0"/>
                <w:kern w:val="0"/>
                <w:szCs w:val="21"/>
              </w:rPr>
              <w:t>采用把手式门锁。</w:t>
            </w:r>
            <w:r>
              <w:rPr>
                <w:rFonts w:ascii="宋体" w:hAnsi="宋体" w:hint="eastAsia"/>
                <w:snapToGrid w:val="0"/>
                <w:color w:val="FF0000"/>
                <w:kern w:val="0"/>
                <w:szCs w:val="21"/>
                <w:shd w:val="clear" w:color="auto" w:fill="9BBB59"/>
              </w:rPr>
              <w:t>仪器室2的检修门需要加装密封条。</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材质要求：钢板采用国家知名企业生产的优质电镀锌板，门扇钢板厚≥</w:t>
            </w:r>
            <w:r>
              <w:rPr>
                <w:rFonts w:ascii="宋体" w:hAnsi="宋体" w:hint="eastAsia"/>
                <w:snapToGrid w:val="0"/>
                <w:szCs w:val="21"/>
              </w:rPr>
              <w:t>1</w:t>
            </w:r>
            <w:r>
              <w:rPr>
                <w:rFonts w:ascii="宋体" w:hAnsi="宋体" w:hint="eastAsia"/>
                <w:snapToGrid w:val="0"/>
                <w:szCs w:val="21"/>
              </w:rPr>
              <w:t>.0mm</w:t>
            </w:r>
            <w:r>
              <w:rPr>
                <w:rFonts w:ascii="宋体" w:hAnsi="宋体" w:cs="宋体" w:hint="eastAsia"/>
                <w:snapToGrid w:val="0"/>
                <w:kern w:val="0"/>
                <w:szCs w:val="21"/>
              </w:rPr>
              <w:t>，门框钢板厚≥1.5mm，门扇内填充物采用高密度铝蜂窝，与钢板充分粘结，保证门扇强度在手指压力下坚挺无凹陷。</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要求采用静电氟碳（或溶剂型）喷涂，喷涂材料要求采用国际知名品牌，并要求涂层均匀、平整、光滑、无堆漆、麻点、气泡、漏涂、划痕和脱落现象，应对涂装工艺、厚度、材料及其特点进行说明，并提供相关证明资料。表面采用特殊防菌处理，有效控制细菌二次感染，并提供国家相应的检测报告。表面采用特殊技术加入防酸防碱材料，在使用中保证具有便于擦洗和清洁功能。</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6"/>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门框：采用矩框，内置连接角，45度拼接，现场螺栓组装。所有门框压制R型密封槽，内嵌EPDM多胫密封条；门扇上制作视窗，视窗玻璃要求采用钢化玻璃并采用橡胶框压条，整个门扇无钉头外露。</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所有五金配件采用优质品牌，门锁采用高强PVC静音锁舌，锁体采用暗插式两极锁体，子母门采用暗置式插销。</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尺寸公差：①门扇高度（㎜）：+2～-1；②门扇宽度（㎜）：+1～-3；③门扇厚度（㎜）：+2～-1；④门框槽口高度（㎜）：±3；⑤门框侧壁高度（㎜）：±2；⑥门框槽口宽度（㎜）：±1。</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形位公差：①门框（㎜）：槽口两对角线长度差≤3；②门扇（㎜）：两对角线长度差≤3，扭曲度≤5，高度方向弯曲度≤2；③门框、门扇（㎜）：门框与门扇（前表面）高底差≤3。门框槽口对角线尺寸之差（㎜）：对角线尺寸&lt;2000时，极限偏差≤2；对角线尺寸2000～3500时，极限偏差≤3；对角线尺寸&gt;3500时，极限偏差≤4。</w:t>
            </w:r>
          </w:p>
        </w:tc>
      </w:tr>
      <w:tr>
        <w:tblPrEx>
          <w:tblW w:w="5000" w:type="pct"/>
          <w:jc w:val="center"/>
          <w:tblInd w:w="0" w:type="dxa"/>
          <w:tblLook w:val="0000"/>
        </w:tblPrEx>
        <w:trPr>
          <w:trHeight w:val="1271"/>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5"/>
              </w:numPr>
              <w:adjustRightInd w:val="0"/>
              <w:snapToGrid w:val="0"/>
              <w:spacing w:line="360" w:lineRule="auto"/>
              <w:jc w:val="left"/>
              <w:rPr>
                <w:rFonts w:ascii="宋体" w:hAnsi="宋体" w:cs="宋体"/>
                <w:b/>
                <w:snapToGrid w:val="0"/>
                <w:kern w:val="0"/>
                <w:szCs w:val="21"/>
              </w:rPr>
            </w:pPr>
            <w:r>
              <w:rPr>
                <w:rFonts w:ascii="宋体" w:hAnsi="宋体" w:cs="宋体" w:hint="eastAsia"/>
                <w:b/>
                <w:bCs/>
                <w:snapToGrid w:val="0"/>
                <w:kern w:val="0"/>
                <w:szCs w:val="21"/>
              </w:rPr>
              <w:t>安全逃生门（细胞室大门，不含缓冲室）</w:t>
            </w:r>
          </w:p>
          <w:p w:rsidR="007900F6">
            <w:pPr>
              <w:numPr>
                <w:ilvl w:val="0"/>
                <w:numId w:val="1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门体：门框及门板均采用钢质双开门，门洞宽*高为1600*2100mm，45厚门板，颜色采用绿色加黑色边框带视窗，具体颜色</w:t>
            </w:r>
            <w:r>
              <w:rPr>
                <w:rFonts w:ascii="宋体" w:hAnsi="宋体" w:cs="宋体" w:hint="eastAsia"/>
                <w:snapToGrid w:val="0"/>
                <w:kern w:val="0"/>
                <w:szCs w:val="21"/>
                <w:shd w:val="clear" w:color="auto" w:fill="9BBB59"/>
              </w:rPr>
              <w:t>、款式</w:t>
            </w:r>
            <w:r>
              <w:rPr>
                <w:rFonts w:ascii="宋体" w:hAnsi="宋体" w:cs="宋体" w:hint="eastAsia"/>
                <w:snapToGrid w:val="0"/>
                <w:kern w:val="0"/>
                <w:szCs w:val="21"/>
              </w:rPr>
              <w:t>按业主要求进行调配，需送样本确认。</w:t>
            </w:r>
          </w:p>
        </w:tc>
      </w:tr>
      <w:tr>
        <w:tblPrEx>
          <w:tblW w:w="5000" w:type="pct"/>
          <w:jc w:val="center"/>
          <w:tblInd w:w="0" w:type="dxa"/>
          <w:tblLook w:val="0000"/>
        </w:tblPrEx>
        <w:trPr>
          <w:trHeight w:val="367"/>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5"/>
              </w:numPr>
              <w:adjustRightInd w:val="0"/>
              <w:snapToGrid w:val="0"/>
              <w:spacing w:line="360" w:lineRule="auto"/>
              <w:ind w:hanging="384"/>
              <w:jc w:val="left"/>
              <w:rPr>
                <w:rFonts w:ascii="宋体" w:hAnsi="宋体" w:cs="宋体"/>
                <w:b/>
                <w:snapToGrid w:val="0"/>
                <w:kern w:val="0"/>
                <w:szCs w:val="21"/>
              </w:rPr>
            </w:pPr>
            <w:r>
              <w:rPr>
                <w:rFonts w:ascii="宋体" w:hAnsi="宋体" w:cs="宋体" w:hint="eastAsia"/>
                <w:b/>
                <w:snapToGrid w:val="0"/>
                <w:kern w:val="0"/>
                <w:szCs w:val="21"/>
              </w:rPr>
              <w:t>闭门器</w:t>
            </w:r>
          </w:p>
          <w:p w:rsidR="007900F6">
            <w:pPr>
              <w:numPr>
                <w:ilvl w:val="0"/>
                <w:numId w:val="1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通过GB9305-88要求优等品；通过国内防火检测</w:t>
            </w:r>
          </w:p>
          <w:p w:rsidR="007900F6">
            <w:pPr>
              <w:numPr>
                <w:ilvl w:val="0"/>
                <w:numId w:val="1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闭门速度液压无级可调；</w:t>
            </w:r>
          </w:p>
          <w:p w:rsidR="007900F6">
            <w:pPr>
              <w:numPr>
                <w:ilvl w:val="0"/>
                <w:numId w:val="1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关门力度按EN标准2/3/4级分档可调；</w:t>
            </w:r>
          </w:p>
          <w:p w:rsidR="007900F6">
            <w:pPr>
              <w:numPr>
                <w:ilvl w:val="0"/>
                <w:numId w:val="1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提供连续开启40万次以上的检测报告；</w:t>
            </w:r>
          </w:p>
          <w:p w:rsidR="007900F6">
            <w:pPr>
              <w:numPr>
                <w:ilvl w:val="0"/>
                <w:numId w:val="18"/>
              </w:numPr>
              <w:adjustRightInd w:val="0"/>
              <w:snapToGrid w:val="0"/>
              <w:spacing w:line="360" w:lineRule="auto"/>
              <w:ind w:left="-105" w:firstLine="120" w:firstLineChars="50"/>
              <w:jc w:val="left"/>
              <w:rPr>
                <w:rFonts w:ascii="宋体" w:hAnsi="宋体" w:cs="宋体"/>
                <w:b/>
                <w:snapToGrid w:val="0"/>
                <w:kern w:val="0"/>
                <w:szCs w:val="21"/>
              </w:rPr>
            </w:pPr>
            <w:r>
              <w:rPr>
                <w:rFonts w:ascii="宋体" w:hAnsi="宋体" w:cs="宋体" w:hint="eastAsia"/>
                <w:snapToGrid w:val="0"/>
                <w:kern w:val="0"/>
                <w:szCs w:val="21"/>
              </w:rPr>
              <w:t>末端撞门可调。</w:t>
            </w:r>
          </w:p>
        </w:tc>
      </w:tr>
      <w:tr>
        <w:tblPrEx>
          <w:tblW w:w="5000" w:type="pct"/>
          <w:jc w:val="center"/>
          <w:tblInd w:w="0" w:type="dxa"/>
          <w:tblLook w:val="0000"/>
        </w:tblPrEx>
        <w:trPr>
          <w:trHeight w:val="418"/>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5"/>
              </w:numPr>
              <w:adjustRightInd w:val="0"/>
              <w:snapToGrid w:val="0"/>
              <w:spacing w:line="360" w:lineRule="auto"/>
              <w:ind w:left="361" w:hanging="361"/>
              <w:jc w:val="left"/>
              <w:rPr>
                <w:rFonts w:ascii="宋体" w:hAnsi="宋体" w:cs="宋体"/>
                <w:b/>
                <w:snapToGrid w:val="0"/>
                <w:kern w:val="0"/>
                <w:szCs w:val="21"/>
              </w:rPr>
            </w:pPr>
            <w:r>
              <w:rPr>
                <w:rFonts w:ascii="宋体" w:hAnsi="宋体" w:cs="宋体" w:hint="eastAsia"/>
                <w:b/>
                <w:snapToGrid w:val="0"/>
                <w:kern w:val="0"/>
                <w:szCs w:val="21"/>
              </w:rPr>
              <w:t>锁具</w:t>
            </w:r>
          </w:p>
          <w:p w:rsidR="007900F6">
            <w:pPr>
              <w:numPr>
                <w:ilvl w:val="0"/>
                <w:numId w:val="1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通过国内防火检测；</w:t>
            </w:r>
          </w:p>
          <w:p w:rsidR="007900F6">
            <w:pPr>
              <w:numPr>
                <w:ilvl w:val="0"/>
                <w:numId w:val="1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疏散门把手采用不锈钢联体式把手，颜色可选，在双面100N拉力作用下，20万次开启测试把手偏角不大于1O；双锁舌；</w:t>
            </w:r>
          </w:p>
          <w:p w:rsidR="007900F6">
            <w:pPr>
              <w:numPr>
                <w:ilvl w:val="0"/>
                <w:numId w:val="1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锁芯具备钥匙通开性能。</w:t>
            </w:r>
          </w:p>
          <w:p w:rsidR="007900F6">
            <w:pPr>
              <w:numPr>
                <w:ilvl w:val="0"/>
                <w:numId w:val="1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合页：采用DTC外盖大合页，结实耐用；</w:t>
            </w:r>
          </w:p>
          <w:p w:rsidR="007900F6">
            <w:pPr>
              <w:numPr>
                <w:ilvl w:val="0"/>
                <w:numId w:val="19"/>
              </w:numPr>
              <w:adjustRightInd w:val="0"/>
              <w:snapToGrid w:val="0"/>
              <w:spacing w:line="360" w:lineRule="auto"/>
              <w:jc w:val="left"/>
              <w:rPr>
                <w:rFonts w:ascii="宋体" w:hAnsi="宋体" w:cs="宋体"/>
                <w:b/>
                <w:snapToGrid w:val="0"/>
                <w:kern w:val="0"/>
                <w:szCs w:val="21"/>
              </w:rPr>
            </w:pPr>
            <w:r>
              <w:rPr>
                <w:rFonts w:ascii="宋体" w:hAnsi="宋体" w:cs="宋体" w:hint="eastAsia"/>
                <w:snapToGrid w:val="0"/>
                <w:kern w:val="0"/>
                <w:szCs w:val="21"/>
              </w:rPr>
              <w:t>所有螺丝/螺钉均采用不锈钢材质。</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15"/>
              </w:num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真空玻璃洁净视窗</w:t>
            </w:r>
          </w:p>
          <w:p w:rsidR="007900F6">
            <w:pPr>
              <w:numPr>
                <w:ilvl w:val="0"/>
                <w:numId w:val="2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真空玻璃洁净视窗：5+40A+5毫米玻璃</w:t>
            </w:r>
          </w:p>
          <w:p w:rsidR="007900F6">
            <w:pPr>
              <w:numPr>
                <w:ilvl w:val="0"/>
                <w:numId w:val="2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所有门玻璃、落地窗玻璃及大于0.5平方米的窗玻璃均采用安全玻璃。</w:t>
            </w:r>
          </w:p>
          <w:p w:rsidR="007900F6">
            <w:pPr>
              <w:numPr>
                <w:ilvl w:val="0"/>
                <w:numId w:val="2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安全玻璃的选用满足《建筑安全玻璃管理规定》发改运行2003-2116号文、《建筑玻璃应用技术规程》JGJ113-2009、《建筑设计防火规范》等国家相关规定、规范、规程的要求。由专业厂家进行设计、加工及安装。使用较大面积的窗玻璃应按照《建筑玻璃应用技术规程》的有关规定计算其所需厚度。安全玻璃最大许用面积应符合JGJ113-2009的规定；有框平板玻璃、真空玻璃和夹丝玻璃的最大许用面积应符合JGJ113-2009的规定。</w:t>
            </w:r>
          </w:p>
          <w:p w:rsidR="007900F6">
            <w:pPr>
              <w:numPr>
                <w:ilvl w:val="0"/>
                <w:numId w:val="20"/>
              </w:numPr>
              <w:adjustRightInd w:val="0"/>
              <w:snapToGrid w:val="0"/>
              <w:spacing w:line="360" w:lineRule="auto"/>
              <w:ind w:left="528" w:hanging="600" w:leftChars="-30" w:hangingChars="250"/>
              <w:jc w:val="left"/>
              <w:rPr>
                <w:rFonts w:ascii="宋体" w:hAnsi="宋体" w:cs="宋体"/>
                <w:b/>
                <w:snapToGrid w:val="0"/>
                <w:kern w:val="0"/>
                <w:szCs w:val="21"/>
              </w:rPr>
            </w:pPr>
            <w:r>
              <w:rPr>
                <w:rFonts w:ascii="宋体" w:hAnsi="宋体" w:cs="宋体" w:hint="eastAsia"/>
                <w:snapToGrid w:val="0"/>
                <w:kern w:val="0"/>
                <w:szCs w:val="21"/>
              </w:rPr>
              <w:t>图纸所标尺寸均为洞口尺寸，门窗框料制作时，应按墙体饰面材质留出门窗框与洞口间隙。</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bCs/>
                <w:snapToGrid w:val="0"/>
                <w:kern w:val="0"/>
                <w:szCs w:val="21"/>
              </w:rPr>
            </w:pPr>
            <w:r>
              <w:rPr>
                <w:rFonts w:ascii="宋体" w:hAnsi="宋体" w:hint="eastAsia"/>
                <w:snapToGrid w:val="0"/>
                <w:kern w:val="0"/>
                <w:szCs w:val="21"/>
              </w:rPr>
              <w:t>1.6实验室大门LOGO及射灯</w:t>
            </w:r>
          </w:p>
        </w:tc>
        <w:tc>
          <w:tcPr>
            <w:tcW w:w="3560" w:type="pct"/>
            <w:vAlign w:val="center"/>
          </w:tcPr>
          <w:p w:rsidR="007900F6">
            <w:p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1.6.1 射灯颜色为暖色调。LOGO颜色必须符合香港科技大学要求，LOGO材质为PVC+亚克力面板字。</w:t>
            </w:r>
            <w:r>
              <w:rPr>
                <w:rFonts w:ascii="宋体" w:hAnsi="宋体" w:hint="eastAsia"/>
                <w:snapToGrid w:val="0"/>
                <w:kern w:val="0"/>
                <w:szCs w:val="21"/>
                <w:shd w:val="clear" w:color="auto" w:fill="9BBB59"/>
              </w:rPr>
              <w:t>LOGO字样：“香港科技大学分子神经科学实验室 生物标志物分析平台”及其对应英文。</w:t>
            </w:r>
            <w:r>
              <w:rPr>
                <w:rFonts w:ascii="宋体" w:hAnsi="宋体" w:hint="eastAsia"/>
                <w:snapToGrid w:val="0"/>
                <w:kern w:val="0"/>
                <w:szCs w:val="21"/>
              </w:rPr>
              <w:t>（LOGO</w:t>
            </w:r>
            <w:r>
              <w:rPr>
                <w:rFonts w:ascii="宋体" w:hAnsi="宋体" w:cs="宋体" w:hint="eastAsia"/>
                <w:snapToGrid w:val="0"/>
                <w:kern w:val="0"/>
                <w:szCs w:val="21"/>
              </w:rPr>
              <w:t>具体颜色</w:t>
            </w:r>
            <w:r>
              <w:rPr>
                <w:rFonts w:ascii="宋体" w:hAnsi="宋体" w:cs="宋体" w:hint="eastAsia"/>
                <w:snapToGrid w:val="0"/>
                <w:kern w:val="0"/>
                <w:szCs w:val="21"/>
                <w:shd w:val="clear" w:color="auto" w:fill="9BBB59"/>
              </w:rPr>
              <w:t>、字样、款式</w:t>
            </w:r>
            <w:r>
              <w:rPr>
                <w:rFonts w:ascii="宋体" w:hAnsi="宋体" w:cs="宋体" w:hint="eastAsia"/>
                <w:snapToGrid w:val="0"/>
                <w:kern w:val="0"/>
                <w:szCs w:val="21"/>
              </w:rPr>
              <w:t>按业主要求进行调配，需送样本确认。</w:t>
            </w:r>
            <w:r>
              <w:rPr>
                <w:rFonts w:ascii="宋体" w:hAnsi="宋体" w:hint="eastAsia"/>
                <w:snapToGrid w:val="0"/>
                <w:kern w:val="0"/>
                <w:szCs w:val="21"/>
              </w:rPr>
              <w:t>射灯选大光束角射灯，尽量避免交替亮斑、暗斑）</w:t>
            </w:r>
          </w:p>
        </w:tc>
      </w:tr>
      <w:tr>
        <w:tblPrEx>
          <w:tblW w:w="5000" w:type="pct"/>
          <w:jc w:val="center"/>
          <w:tblInd w:w="0" w:type="dxa"/>
          <w:tblLook w:val="0000"/>
        </w:tblPrEx>
        <w:trPr>
          <w:jc w:val="center"/>
        </w:trPr>
        <w:tc>
          <w:tcPr>
            <w:tcW w:w="728"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hint="eastAsia"/>
                <w:bCs/>
                <w:snapToGrid w:val="0"/>
                <w:kern w:val="0"/>
                <w:szCs w:val="21"/>
              </w:rPr>
              <w:t>2家具系统</w:t>
            </w: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hint="eastAsia"/>
                <w:bCs/>
                <w:snapToGrid w:val="0"/>
                <w:kern w:val="0"/>
                <w:szCs w:val="21"/>
              </w:rPr>
              <w:t>2.1中央台、边台、角柜</w:t>
            </w:r>
          </w:p>
        </w:tc>
        <w:tc>
          <w:tcPr>
            <w:tcW w:w="3560" w:type="pct"/>
            <w:vAlign w:val="center"/>
          </w:tcPr>
          <w:p w:rsidR="007900F6">
            <w:pPr>
              <w:numPr>
                <w:ilvl w:val="0"/>
                <w:numId w:val="21"/>
              </w:numPr>
              <w:adjustRightInd w:val="0"/>
              <w:snapToGrid w:val="0"/>
              <w:spacing w:line="360" w:lineRule="auto"/>
              <w:jc w:val="left"/>
              <w:rPr>
                <w:rFonts w:ascii="宋体" w:hAnsi="宋体"/>
                <w:b/>
                <w:snapToGrid w:val="0"/>
                <w:kern w:val="0"/>
                <w:szCs w:val="21"/>
              </w:rPr>
            </w:pPr>
            <w:r>
              <w:rPr>
                <w:rFonts w:ascii="宋体" w:hAnsi="宋体" w:cs="宋体" w:hint="eastAsia"/>
                <w:b/>
                <w:snapToGrid w:val="0"/>
                <w:kern w:val="0"/>
                <w:szCs w:val="21"/>
              </w:rPr>
              <w:t>桌身结构规格说明：</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2"/>
              </w:numPr>
              <w:adjustRightInd w:val="0"/>
              <w:snapToGrid w:val="0"/>
              <w:spacing w:line="360" w:lineRule="auto"/>
              <w:jc w:val="left"/>
              <w:rPr>
                <w:rFonts w:ascii="宋体" w:hAnsi="宋体" w:cs="Arial Unicode MS"/>
                <w:snapToGrid w:val="0"/>
                <w:kern w:val="0"/>
                <w:szCs w:val="21"/>
              </w:rPr>
            </w:pPr>
            <w:r>
              <w:rPr>
                <w:rFonts w:ascii="宋体" w:hAnsi="宋体" w:cs="Arial Unicode MS" w:hint="eastAsia"/>
                <w:snapToGrid w:val="0"/>
                <w:kern w:val="0"/>
                <w:szCs w:val="21"/>
              </w:rPr>
              <w:t>主要</w:t>
            </w:r>
            <w:r>
              <w:rPr>
                <w:rFonts w:ascii="宋体" w:hAnsi="宋体" w:cs="Arial Unicode MS"/>
                <w:snapToGrid w:val="0"/>
                <w:kern w:val="0"/>
                <w:szCs w:val="21"/>
              </w:rPr>
              <w:t>用途：</w:t>
            </w:r>
            <w:r>
              <w:rPr>
                <w:rFonts w:ascii="宋体" w:hAnsi="宋体" w:cs="Arial Unicode MS" w:hint="eastAsia"/>
                <w:snapToGrid w:val="0"/>
                <w:kern w:val="0"/>
                <w:szCs w:val="21"/>
              </w:rPr>
              <w:t>用于</w:t>
            </w:r>
            <w:r>
              <w:rPr>
                <w:rFonts w:ascii="宋体" w:hAnsi="宋体" w:cs="Arial Unicode MS"/>
                <w:snapToGrid w:val="0"/>
                <w:kern w:val="0"/>
                <w:szCs w:val="21"/>
              </w:rPr>
              <w:t>摆放</w:t>
            </w:r>
            <w:r>
              <w:rPr>
                <w:rFonts w:ascii="宋体" w:hAnsi="宋体" w:cs="Arial Unicode MS" w:hint="eastAsia"/>
                <w:snapToGrid w:val="0"/>
                <w:kern w:val="0"/>
                <w:szCs w:val="21"/>
              </w:rPr>
              <w:t>仪器及其</w:t>
            </w:r>
            <w:r>
              <w:rPr>
                <w:rFonts w:ascii="宋体" w:hAnsi="宋体" w:cs="Arial Unicode MS"/>
                <w:snapToGrid w:val="0"/>
                <w:kern w:val="0"/>
                <w:szCs w:val="21"/>
              </w:rPr>
              <w:t>辅助设备，</w:t>
            </w:r>
            <w:r>
              <w:rPr>
                <w:rFonts w:ascii="宋体" w:hAnsi="宋体" w:cs="Arial Unicode MS" w:hint="eastAsia"/>
                <w:snapToGrid w:val="0"/>
                <w:kern w:val="0"/>
                <w:szCs w:val="21"/>
              </w:rPr>
              <w:t>进行</w:t>
            </w:r>
            <w:r>
              <w:rPr>
                <w:rFonts w:ascii="宋体" w:hAnsi="宋体" w:cs="Arial Unicode MS"/>
                <w:snapToGrid w:val="0"/>
                <w:kern w:val="0"/>
                <w:szCs w:val="21"/>
              </w:rPr>
              <w:t>仪器</w:t>
            </w:r>
            <w:r>
              <w:rPr>
                <w:rFonts w:ascii="宋体" w:hAnsi="宋体" w:cs="Arial Unicode MS" w:hint="eastAsia"/>
                <w:snapToGrid w:val="0"/>
                <w:kern w:val="0"/>
                <w:szCs w:val="21"/>
              </w:rPr>
              <w:t>、</w:t>
            </w:r>
            <w:r>
              <w:rPr>
                <w:rFonts w:ascii="宋体" w:hAnsi="宋体" w:cs="Arial Unicode MS"/>
                <w:snapToGrid w:val="0"/>
                <w:kern w:val="0"/>
                <w:szCs w:val="21"/>
              </w:rPr>
              <w:t>实验操作。</w:t>
            </w:r>
            <w:r>
              <w:rPr>
                <w:rFonts w:ascii="宋体" w:hAnsi="宋体" w:cs="Arial Unicode MS" w:hint="eastAsia"/>
                <w:snapToGrid w:val="0"/>
                <w:kern w:val="0"/>
                <w:szCs w:val="21"/>
              </w:rPr>
              <w:t>除有吊柜的实验桌的柱子外，其余桌子上不放置插座。台面距地高度约</w:t>
            </w:r>
            <w:r>
              <w:rPr>
                <w:rFonts w:ascii="宋体" w:hAnsi="宋体" w:cs="Arial Unicode MS"/>
                <w:snapToGrid w:val="0"/>
                <w:kern w:val="0"/>
                <w:szCs w:val="21"/>
              </w:rPr>
              <w:t>95</w:t>
            </w:r>
            <w:r>
              <w:rPr>
                <w:rFonts w:ascii="宋体" w:hAnsi="宋体" w:cs="Arial Unicode MS" w:hint="eastAsia"/>
                <w:snapToGrid w:val="0"/>
                <w:kern w:val="0"/>
                <w:szCs w:val="21"/>
              </w:rPr>
              <w:t>c</w:t>
            </w:r>
            <w:r>
              <w:rPr>
                <w:rFonts w:ascii="宋体" w:hAnsi="宋体" w:cs="Arial Unicode MS"/>
                <w:snapToGrid w:val="0"/>
                <w:kern w:val="0"/>
                <w:szCs w:val="21"/>
              </w:rPr>
              <w:t>m</w:t>
            </w:r>
            <w:r>
              <w:rPr>
                <w:rFonts w:ascii="宋体" w:hAnsi="宋体" w:cs="Arial Unicode MS" w:hint="eastAsia"/>
                <w:snapToGrid w:val="0"/>
                <w:kern w:val="0"/>
                <w:szCs w:val="21"/>
              </w:rPr>
              <w:t>。</w:t>
            </w:r>
          </w:p>
          <w:p w:rsidR="007900F6">
            <w:p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结构：全钢结构。</w:t>
            </w:r>
            <w:r>
              <w:rPr>
                <w:rFonts w:ascii="宋体" w:hAnsi="宋体" w:hint="eastAsia"/>
                <w:snapToGrid w:val="0"/>
                <w:szCs w:val="21"/>
              </w:rPr>
              <w:t>（注：</w:t>
            </w:r>
            <w:r>
              <w:rPr>
                <w:rFonts w:ascii="宋体" w:hAnsi="宋体" w:hint="eastAsia"/>
                <w:snapToGrid w:val="0"/>
                <w:color w:val="FF0000"/>
                <w:szCs w:val="21"/>
              </w:rPr>
              <w:t>仪器房3放置基因芯片自动化处理系统设备的桌子承重需保证≥400kg</w:t>
            </w:r>
            <w:r>
              <w:rPr>
                <w:rFonts w:ascii="宋体" w:hAnsi="宋体" w:hint="eastAsia"/>
                <w:snapToGrid w:val="0"/>
                <w:szCs w:val="21"/>
              </w:rPr>
              <w:t>）。</w:t>
            </w:r>
          </w:p>
        </w:tc>
      </w:tr>
      <w:tr>
        <w:tblPrEx>
          <w:tblW w:w="5000" w:type="pct"/>
          <w:jc w:val="center"/>
          <w:tblInd w:w="0" w:type="dxa"/>
          <w:tblLook w:val="0000"/>
        </w:tblPrEx>
        <w:trPr>
          <w:trHeight w:val="2481"/>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2"/>
              </w:numPr>
              <w:adjustRightInd w:val="0"/>
              <w:snapToGrid w:val="0"/>
              <w:spacing w:line="360" w:lineRule="auto"/>
              <w:jc w:val="left"/>
              <w:rPr>
                <w:rFonts w:ascii="宋体" w:hAnsi="宋体" w:cs="Arial Unicode MS"/>
                <w:snapToGrid w:val="0"/>
                <w:kern w:val="0"/>
                <w:szCs w:val="21"/>
              </w:rPr>
            </w:pPr>
            <w:r>
              <w:rPr>
                <w:rFonts w:ascii="宋体" w:hAnsi="宋体" w:cs="宋体" w:hint="eastAsia"/>
                <w:snapToGrid w:val="0"/>
                <w:kern w:val="0"/>
                <w:szCs w:val="21"/>
              </w:rPr>
              <w:t>柜体：采用厚1.0mm优质冷轧钢板，经过磷化处理，再经乳白色EPOXY涂层厚度为90微米，最后经高温烘烤制作而成。</w:t>
            </w:r>
          </w:p>
          <w:p w:rsidR="007900F6">
            <w:pPr>
              <w:adjustRightInd w:val="0"/>
              <w:snapToGrid w:val="0"/>
              <w:spacing w:line="360" w:lineRule="auto"/>
              <w:ind w:left="370" w:leftChars="154"/>
              <w:jc w:val="left"/>
              <w:rPr>
                <w:rFonts w:ascii="宋体" w:hAnsi="宋体" w:cs="Arial Unicode MS"/>
                <w:snapToGrid w:val="0"/>
                <w:kern w:val="0"/>
                <w:szCs w:val="21"/>
              </w:rPr>
            </w:pPr>
            <w:r>
              <w:rPr>
                <w:rFonts w:ascii="宋体" w:hAnsi="宋体"/>
                <w:snapToGrid w:val="0"/>
                <w:kern w:val="0"/>
                <w:szCs w:val="21"/>
              </w:rPr>
              <w:t>背板：采用厚1.0mm优质冷轧钢板，经过磷化处理，再经乳白色EPOXY涂层厚度为90微米，最后经高温烘烤制作而成。采用活动结构，易装拆，便于水管、电气的维修</w:t>
            </w:r>
            <w:r>
              <w:rPr>
                <w:rFonts w:ascii="宋体" w:hAnsi="宋体" w:hint="eastAsia"/>
                <w:snapToGrid w:val="0"/>
                <w:kern w:val="0"/>
                <w:szCs w:val="21"/>
              </w:rPr>
              <w:t>。</w:t>
            </w:r>
          </w:p>
          <w:p w:rsidR="007900F6">
            <w:pPr>
              <w:adjustRightInd w:val="0"/>
              <w:snapToGrid w:val="0"/>
              <w:spacing w:line="360" w:lineRule="auto"/>
              <w:ind w:left="367" w:firstLine="1" w:leftChars="153"/>
              <w:jc w:val="left"/>
              <w:rPr>
                <w:rFonts w:ascii="宋体" w:hAnsi="宋体"/>
                <w:snapToGrid w:val="0"/>
                <w:kern w:val="0"/>
                <w:szCs w:val="21"/>
              </w:rPr>
            </w:pPr>
            <w:r>
              <w:rPr>
                <w:rFonts w:ascii="宋体" w:hAnsi="宋体" w:cs="宋体" w:hint="eastAsia"/>
                <w:snapToGrid w:val="0"/>
                <w:kern w:val="0"/>
                <w:szCs w:val="21"/>
              </w:rPr>
              <w:t>活动柜体门板及抽头：采用双层结构夹心结构，中间为隔音材料。</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1"/>
              </w:numPr>
              <w:adjustRightInd w:val="0"/>
              <w:snapToGrid w:val="0"/>
              <w:spacing w:line="360" w:lineRule="auto"/>
              <w:jc w:val="left"/>
              <w:rPr>
                <w:rFonts w:ascii="宋体" w:hAnsi="宋体"/>
                <w:b/>
                <w:snapToGrid w:val="0"/>
                <w:kern w:val="0"/>
                <w:szCs w:val="21"/>
              </w:rPr>
            </w:pPr>
            <w:r>
              <w:rPr>
                <w:rFonts w:ascii="宋体" w:hAnsi="宋体" w:cs="宋体" w:hint="eastAsia"/>
                <w:b/>
                <w:snapToGrid w:val="0"/>
                <w:kern w:val="0"/>
                <w:szCs w:val="21"/>
              </w:rPr>
              <w:t>台面板技术要求：</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w:t>
            </w:r>
            <w:r>
              <w:rPr>
                <w:rFonts w:ascii="宋体" w:hAnsi="宋体" w:hint="eastAsia"/>
                <w:snapToGrid w:val="0"/>
                <w:szCs w:val="21"/>
              </w:rPr>
              <w:t>实验桌台面采用25mm实心理化板耐腐蚀性能优越，通过“国家化学建筑材料测试中心” 抽样检验（非委托送检），按照GB/T17657-2013标准检验，其中65%硝酸、98%硫酸、37%盐酸、40%氢氟酸、88%甲酸、99%乙酸、10%氯化铁、1%硝酸银、20%磷酸、无水甲醇、铬酸洗液等不少于75种溶液或试剂检验结果达到5级并无明显变化。</w:t>
            </w:r>
            <w:r>
              <w:rPr>
                <w:rFonts w:ascii="宋体" w:hAnsi="宋体"/>
                <w:snapToGrid w:val="0"/>
                <w:color w:val="FF0000"/>
                <w:kern w:val="0"/>
                <w:szCs w:val="21"/>
              </w:rPr>
              <w:t>参与投标的厂家需提供满足以上要求的</w:t>
            </w:r>
            <w:r>
              <w:rPr>
                <w:rFonts w:ascii="宋体" w:hAnsi="宋体" w:hint="eastAsia"/>
                <w:snapToGrid w:val="0"/>
                <w:color w:val="FF0000"/>
                <w:kern w:val="0"/>
                <w:szCs w:val="21"/>
              </w:rPr>
              <w:t>有效期内</w:t>
            </w:r>
            <w:r>
              <w:rPr>
                <w:rFonts w:ascii="宋体" w:hAnsi="宋体"/>
                <w:snapToGrid w:val="0"/>
                <w:color w:val="FF0000"/>
                <w:kern w:val="0"/>
                <w:szCs w:val="21"/>
              </w:rPr>
              <w:t>相应</w:t>
            </w:r>
            <w:r>
              <w:rPr>
                <w:rFonts w:ascii="宋体" w:hAnsi="宋体" w:hint="eastAsia"/>
                <w:snapToGrid w:val="0"/>
                <w:color w:val="FF0000"/>
                <w:kern w:val="0"/>
                <w:szCs w:val="21"/>
              </w:rPr>
              <w:t>报告</w:t>
            </w:r>
            <w:r>
              <w:rPr>
                <w:rFonts w:ascii="宋体" w:hAnsi="宋体"/>
                <w:snapToGrid w:val="0"/>
                <w:color w:val="FF0000"/>
                <w:kern w:val="0"/>
                <w:szCs w:val="21"/>
              </w:rPr>
              <w:t>证书复印件用于佐证</w:t>
            </w:r>
            <w:r>
              <w:rPr>
                <w:rFonts w:ascii="宋体" w:hAnsi="宋体" w:hint="eastAsia"/>
                <w:snapToGrid w:val="0"/>
                <w:color w:val="FF0000"/>
                <w:kern w:val="0"/>
                <w:szCs w:val="21"/>
              </w:rPr>
              <w:t>，原件备查</w:t>
            </w:r>
            <w:r>
              <w:rPr>
                <w:rFonts w:ascii="宋体" w:hAnsi="宋体" w:cs="宋体" w:hint="eastAsia"/>
                <w:snapToGrid w:val="0"/>
                <w:color w:val="FF0000"/>
                <w:kern w:val="0"/>
                <w:szCs w:val="21"/>
              </w:rPr>
              <w:t>。</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w:t>
            </w:r>
            <w:r>
              <w:rPr>
                <w:rFonts w:ascii="宋体" w:hAnsi="宋体" w:hint="eastAsia"/>
                <w:szCs w:val="21"/>
              </w:rPr>
              <w:t>通过“国家化学建筑材料测试中心”检测，按ASTM标准和NEMA标准检测达到或优于以下要求：拉伸断裂强度横向达到125Mpa；弯曲强度纵向134Mpa；压缩强度314Mpa；吸水率（23℃，24h）0.4%；弯曲弹性模量横向 1.12x104Mpa；洛氏硬度（R）123；耐高温性能表面状况无变化；表面耐磨性（500g）达到900转；抗落球冲击性（224g）2.0m无破坏。</w:t>
            </w:r>
            <w:r>
              <w:rPr>
                <w:rFonts w:ascii="宋体" w:hAnsi="宋体"/>
                <w:snapToGrid w:val="0"/>
                <w:color w:val="FF0000"/>
                <w:kern w:val="0"/>
                <w:szCs w:val="21"/>
              </w:rPr>
              <w:t>参与投标的厂家需提供满足以上要求的</w:t>
            </w:r>
            <w:r>
              <w:rPr>
                <w:rFonts w:ascii="宋体" w:hAnsi="宋体" w:hint="eastAsia"/>
                <w:snapToGrid w:val="0"/>
                <w:color w:val="FF0000"/>
                <w:kern w:val="0"/>
                <w:szCs w:val="21"/>
              </w:rPr>
              <w:t>有效期内</w:t>
            </w:r>
            <w:r>
              <w:rPr>
                <w:rFonts w:ascii="宋体" w:hAnsi="宋体"/>
                <w:snapToGrid w:val="0"/>
                <w:color w:val="FF0000"/>
                <w:kern w:val="0"/>
                <w:szCs w:val="21"/>
              </w:rPr>
              <w:t>相应</w:t>
            </w:r>
            <w:r>
              <w:rPr>
                <w:rFonts w:ascii="宋体" w:hAnsi="宋体" w:hint="eastAsia"/>
                <w:snapToGrid w:val="0"/>
                <w:color w:val="FF0000"/>
                <w:kern w:val="0"/>
                <w:szCs w:val="21"/>
              </w:rPr>
              <w:t>报告</w:t>
            </w:r>
            <w:r>
              <w:rPr>
                <w:rFonts w:ascii="宋体" w:hAnsi="宋体"/>
                <w:snapToGrid w:val="0"/>
                <w:color w:val="FF0000"/>
                <w:kern w:val="0"/>
                <w:szCs w:val="21"/>
              </w:rPr>
              <w:t>证书复印件用于佐证</w:t>
            </w:r>
            <w:r>
              <w:rPr>
                <w:rFonts w:ascii="宋体" w:hAnsi="宋体" w:hint="eastAsia"/>
                <w:snapToGrid w:val="0"/>
                <w:color w:val="FF0000"/>
                <w:kern w:val="0"/>
                <w:szCs w:val="21"/>
              </w:rPr>
              <w:t>，原件备查</w:t>
            </w:r>
            <w:r>
              <w:rPr>
                <w:rFonts w:ascii="宋体" w:hAnsi="宋体" w:cs="宋体" w:hint="eastAsia"/>
                <w:snapToGrid w:val="0"/>
                <w:color w:val="FF0000"/>
                <w:kern w:val="0"/>
                <w:szCs w:val="21"/>
              </w:rPr>
              <w:t>。</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▲抗菌性能：依据ISO 22196:2011检测标准检测，大肠杆菌测试结果抗菌活性值≥6.0，金黄色葡萄球菌测试结果抗菌活性值≥5.4，肺炎克雷伯氏菌测试结果抗菌活性值≥5.7，粪链球菌测试结果抗菌活性值≥2.6，肠沙门氏菌肠亚种测试结果抗菌活性值≥4.1。</w:t>
            </w:r>
            <w:r>
              <w:rPr>
                <w:rFonts w:ascii="宋体" w:hAnsi="宋体" w:hint="eastAsia"/>
                <w:snapToGrid w:val="0"/>
                <w:szCs w:val="21"/>
              </w:rPr>
              <w:t>甲醛释放量按GB18580-2017检测标准，甲醛释放量检验结果要求0.013mg/m3。</w:t>
            </w:r>
            <w:r>
              <w:rPr>
                <w:rFonts w:ascii="宋体" w:hAnsi="宋体"/>
                <w:snapToGrid w:val="0"/>
                <w:color w:val="FF0000"/>
                <w:kern w:val="0"/>
                <w:szCs w:val="21"/>
              </w:rPr>
              <w:t>参与投标的厂家需提供满足以上要求的</w:t>
            </w:r>
            <w:r>
              <w:rPr>
                <w:rFonts w:ascii="宋体" w:hAnsi="宋体" w:hint="eastAsia"/>
                <w:snapToGrid w:val="0"/>
                <w:color w:val="FF0000"/>
                <w:kern w:val="0"/>
                <w:szCs w:val="21"/>
              </w:rPr>
              <w:t>有效期内</w:t>
            </w:r>
            <w:r>
              <w:rPr>
                <w:rFonts w:ascii="宋体" w:hAnsi="宋体"/>
                <w:snapToGrid w:val="0"/>
                <w:color w:val="FF0000"/>
                <w:kern w:val="0"/>
                <w:szCs w:val="21"/>
              </w:rPr>
              <w:t>相应</w:t>
            </w:r>
            <w:r>
              <w:rPr>
                <w:rFonts w:ascii="宋体" w:hAnsi="宋体" w:hint="eastAsia"/>
                <w:snapToGrid w:val="0"/>
                <w:color w:val="FF0000"/>
                <w:kern w:val="0"/>
                <w:szCs w:val="21"/>
              </w:rPr>
              <w:t>报告</w:t>
            </w:r>
            <w:r>
              <w:rPr>
                <w:rFonts w:ascii="宋体" w:hAnsi="宋体"/>
                <w:snapToGrid w:val="0"/>
                <w:color w:val="FF0000"/>
                <w:kern w:val="0"/>
                <w:szCs w:val="21"/>
              </w:rPr>
              <w:t>证书复印件用于佐证</w:t>
            </w:r>
            <w:r>
              <w:rPr>
                <w:rFonts w:ascii="宋体" w:hAnsi="宋体" w:hint="eastAsia"/>
                <w:snapToGrid w:val="0"/>
                <w:color w:val="FF0000"/>
                <w:kern w:val="0"/>
                <w:szCs w:val="21"/>
              </w:rPr>
              <w:t>，原件备查</w:t>
            </w:r>
            <w:r>
              <w:rPr>
                <w:rFonts w:ascii="宋体" w:hAnsi="宋体" w:cs="宋体" w:hint="eastAsia"/>
                <w:snapToGrid w:val="0"/>
                <w:color w:val="FF0000"/>
                <w:kern w:val="0"/>
                <w:szCs w:val="21"/>
              </w:rPr>
              <w:t>。</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3"/>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▲通过“国家建筑工程材料质量监督检验中心”测试，化学物排ISO16000-9-2006检测标准，TVOC舱内浓度≤0.167mg/m3，苯、甲苯、二甲苯均为未检出。</w:t>
            </w:r>
            <w:r>
              <w:rPr>
                <w:rFonts w:ascii="宋体" w:hAnsi="宋体"/>
                <w:snapToGrid w:val="0"/>
                <w:color w:val="FF0000"/>
                <w:kern w:val="0"/>
                <w:szCs w:val="21"/>
              </w:rPr>
              <w:t>参与投标的厂家需提供满足以上要求的</w:t>
            </w:r>
            <w:r>
              <w:rPr>
                <w:rFonts w:ascii="宋体" w:hAnsi="宋体" w:hint="eastAsia"/>
                <w:snapToGrid w:val="0"/>
                <w:color w:val="FF0000"/>
                <w:kern w:val="0"/>
                <w:szCs w:val="21"/>
              </w:rPr>
              <w:t>有效期内</w:t>
            </w:r>
            <w:r>
              <w:rPr>
                <w:rFonts w:ascii="宋体" w:hAnsi="宋体"/>
                <w:snapToGrid w:val="0"/>
                <w:color w:val="FF0000"/>
                <w:kern w:val="0"/>
                <w:szCs w:val="21"/>
              </w:rPr>
              <w:t>相应</w:t>
            </w:r>
            <w:r>
              <w:rPr>
                <w:rFonts w:ascii="宋体" w:hAnsi="宋体" w:hint="eastAsia"/>
                <w:snapToGrid w:val="0"/>
                <w:color w:val="FF0000"/>
                <w:kern w:val="0"/>
                <w:szCs w:val="21"/>
              </w:rPr>
              <w:t>报告</w:t>
            </w:r>
            <w:r>
              <w:rPr>
                <w:rFonts w:ascii="宋体" w:hAnsi="宋体"/>
                <w:snapToGrid w:val="0"/>
                <w:color w:val="FF0000"/>
                <w:kern w:val="0"/>
                <w:szCs w:val="21"/>
              </w:rPr>
              <w:t>证书复印件用于佐证</w:t>
            </w:r>
            <w:r>
              <w:rPr>
                <w:rFonts w:ascii="宋体" w:hAnsi="宋体" w:hint="eastAsia"/>
                <w:snapToGrid w:val="0"/>
                <w:color w:val="FF0000"/>
                <w:kern w:val="0"/>
                <w:szCs w:val="21"/>
              </w:rPr>
              <w:t>，原件备查</w:t>
            </w:r>
            <w:r>
              <w:rPr>
                <w:rFonts w:ascii="宋体" w:hAnsi="宋体" w:cs="宋体" w:hint="eastAsia"/>
                <w:snapToGrid w:val="0"/>
                <w:color w:val="FF0000"/>
                <w:kern w:val="0"/>
                <w:szCs w:val="21"/>
              </w:rPr>
              <w:t>。</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3"/>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▲台面材料生产厂家获得中国质量检验协会颁发的“中国质量检验协会团体会员单位”证书、ISO14001、ISO9001认证、FSC国际森林管理监管链认证、SEFA认证、PEFC认证。</w:t>
            </w:r>
            <w:r>
              <w:rPr>
                <w:rFonts w:ascii="宋体" w:hAnsi="宋体"/>
                <w:snapToGrid w:val="0"/>
                <w:color w:val="FF0000"/>
                <w:kern w:val="0"/>
                <w:szCs w:val="21"/>
              </w:rPr>
              <w:t>参与投标的厂家需提供满足以上要求的</w:t>
            </w:r>
            <w:r>
              <w:rPr>
                <w:rFonts w:ascii="宋体" w:hAnsi="宋体" w:hint="eastAsia"/>
                <w:snapToGrid w:val="0"/>
                <w:color w:val="FF0000"/>
                <w:kern w:val="0"/>
                <w:szCs w:val="21"/>
              </w:rPr>
              <w:t>有效期内</w:t>
            </w:r>
            <w:r>
              <w:rPr>
                <w:rFonts w:ascii="宋体" w:hAnsi="宋体"/>
                <w:snapToGrid w:val="0"/>
                <w:color w:val="FF0000"/>
                <w:kern w:val="0"/>
                <w:szCs w:val="21"/>
              </w:rPr>
              <w:t>相应</w:t>
            </w:r>
            <w:r>
              <w:rPr>
                <w:rFonts w:ascii="宋体" w:hAnsi="宋体" w:hint="eastAsia"/>
                <w:snapToGrid w:val="0"/>
                <w:color w:val="FF0000"/>
                <w:kern w:val="0"/>
                <w:szCs w:val="21"/>
              </w:rPr>
              <w:t>报告</w:t>
            </w:r>
            <w:r>
              <w:rPr>
                <w:rFonts w:ascii="宋体" w:hAnsi="宋体"/>
                <w:snapToGrid w:val="0"/>
                <w:color w:val="FF0000"/>
                <w:kern w:val="0"/>
                <w:szCs w:val="21"/>
              </w:rPr>
              <w:t>证书复印件用于佐证</w:t>
            </w:r>
            <w:r>
              <w:rPr>
                <w:rFonts w:ascii="宋体" w:hAnsi="宋体" w:hint="eastAsia"/>
                <w:snapToGrid w:val="0"/>
                <w:color w:val="FF0000"/>
                <w:kern w:val="0"/>
                <w:szCs w:val="21"/>
              </w:rPr>
              <w:t>，原件备查</w:t>
            </w:r>
            <w:r>
              <w:rPr>
                <w:rFonts w:ascii="宋体" w:hAnsi="宋体" w:cs="宋体" w:hint="eastAsia"/>
                <w:snapToGrid w:val="0"/>
                <w:color w:val="FF0000"/>
                <w:kern w:val="0"/>
                <w:szCs w:val="21"/>
              </w:rPr>
              <w:t>。</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3"/>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▲台面材料背面必须印有清晰的品牌防伪标志，便于招标人验收和查验真伪。</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水槽台台面材质说明：采用</w:t>
            </w:r>
            <w:r>
              <w:rPr>
                <w:rFonts w:ascii="宋体" w:hAnsi="宋体" w:cs="宋体"/>
                <w:snapToGrid w:val="0"/>
                <w:kern w:val="0"/>
                <w:szCs w:val="21"/>
              </w:rPr>
              <w:t>25mm厚一体实芯烧制实验室专用陶瓷台面，整个台面一体高温烧制成型,防止有害液体外溢，为确保后期使用牢固，不能采用拼接或者后期加厚方式加工。</w:t>
            </w:r>
          </w:p>
        </w:tc>
      </w:tr>
      <w:tr>
        <w:tblPrEx>
          <w:tblW w:w="5000" w:type="pct"/>
          <w:jc w:val="center"/>
          <w:tblInd w:w="0" w:type="dxa"/>
          <w:tblLook w:val="0000"/>
        </w:tblPrEx>
        <w:trPr>
          <w:trHeight w:val="14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23"/>
              </w:numPr>
              <w:autoSpaceDE w:val="0"/>
              <w:autoSpaceDN w:val="0"/>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 xml:space="preserve">▲为保证质量，投标文件正本附上符合以上技术参数及要求的台面板生产厂家针对本项目所出具的以下文件：  </w:t>
            </w:r>
          </w:p>
          <w:p w:rsidR="007900F6">
            <w:pPr>
              <w:autoSpaceDE w:val="0"/>
              <w:autoSpaceDN w:val="0"/>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《投标授权书》原件。</w:t>
            </w:r>
          </w:p>
          <w:p w:rsidR="007900F6">
            <w:p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《售后服务承诺书》原件。</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2.2吊柜</w:t>
            </w:r>
          </w:p>
        </w:tc>
        <w:tc>
          <w:tcPr>
            <w:tcW w:w="3560" w:type="pct"/>
            <w:vAlign w:val="center"/>
          </w:tcPr>
          <w:p w:rsidR="007900F6">
            <w:pPr>
              <w:numPr>
                <w:ilvl w:val="0"/>
                <w:numId w:val="24"/>
              </w:numPr>
              <w:adjustRightInd w:val="0"/>
              <w:snapToGrid w:val="0"/>
              <w:spacing w:line="360" w:lineRule="auto"/>
              <w:ind w:left="603" w:hanging="141"/>
              <w:jc w:val="left"/>
              <w:rPr>
                <w:rFonts w:ascii="宋体" w:hAnsi="宋体"/>
                <w:snapToGrid w:val="0"/>
                <w:kern w:val="0"/>
                <w:szCs w:val="21"/>
              </w:rPr>
            </w:pPr>
            <w:r>
              <w:rPr>
                <w:rFonts w:ascii="宋体" w:hAnsi="宋体" w:hint="eastAsia"/>
                <w:snapToGrid w:val="0"/>
                <w:kern w:val="0"/>
                <w:szCs w:val="21"/>
              </w:rPr>
              <w:t>柜体采用一级冷轧钢，钢板厚度不小于</w:t>
            </w:r>
            <w:r>
              <w:rPr>
                <w:rFonts w:ascii="宋体" w:hAnsi="宋体"/>
                <w:snapToGrid w:val="0"/>
                <w:kern w:val="0"/>
                <w:szCs w:val="21"/>
              </w:rPr>
              <w:t>1.0mm</w:t>
            </w:r>
            <w:r>
              <w:rPr>
                <w:rFonts w:ascii="宋体" w:hAnsi="宋体" w:hint="eastAsia"/>
                <w:snapToGrid w:val="0"/>
                <w:kern w:val="0"/>
                <w:szCs w:val="21"/>
              </w:rPr>
              <w:t>，经数控剪板、冲压、折弯、焊接等一系列程序成型，表面均经酸洗、磷化处理，环保型环氧树脂静电喷涂，厚度≥</w:t>
            </w:r>
            <w:r>
              <w:rPr>
                <w:rFonts w:ascii="宋体" w:hAnsi="宋体"/>
                <w:snapToGrid w:val="0"/>
                <w:kern w:val="0"/>
                <w:szCs w:val="21"/>
              </w:rPr>
              <w:t>75μm</w:t>
            </w:r>
            <w:r>
              <w:rPr>
                <w:rFonts w:ascii="宋体" w:hAnsi="宋体" w:hint="eastAsia"/>
                <w:snapToGrid w:val="0"/>
                <w:kern w:val="0"/>
                <w:szCs w:val="21"/>
              </w:rPr>
              <w:t>。</w:t>
            </w:r>
          </w:p>
        </w:tc>
      </w:tr>
      <w:tr>
        <w:tblPrEx>
          <w:tblW w:w="5000" w:type="pct"/>
          <w:jc w:val="center"/>
          <w:tblInd w:w="0" w:type="dxa"/>
          <w:tblLook w:val="0000"/>
        </w:tblPrEx>
        <w:trPr>
          <w:trHeight w:val="848"/>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snapToGrid w:val="0"/>
                <w:kern w:val="0"/>
                <w:szCs w:val="21"/>
              </w:rPr>
            </w:pPr>
          </w:p>
        </w:tc>
        <w:tc>
          <w:tcPr>
            <w:tcW w:w="3560" w:type="pct"/>
            <w:vAlign w:val="center"/>
          </w:tcPr>
          <w:p w:rsidR="007900F6">
            <w:pPr>
              <w:numPr>
                <w:ilvl w:val="0"/>
                <w:numId w:val="24"/>
              </w:numPr>
              <w:adjustRightInd w:val="0"/>
              <w:snapToGrid w:val="0"/>
              <w:spacing w:line="360" w:lineRule="auto"/>
              <w:ind w:left="887"/>
              <w:jc w:val="left"/>
              <w:rPr>
                <w:rFonts w:ascii="宋体" w:hAnsi="宋体"/>
                <w:snapToGrid w:val="0"/>
                <w:kern w:val="0"/>
                <w:szCs w:val="21"/>
              </w:rPr>
            </w:pPr>
            <w:r>
              <w:rPr>
                <w:rFonts w:ascii="宋体" w:hAnsi="宋体" w:hint="eastAsia"/>
                <w:snapToGrid w:val="0"/>
                <w:kern w:val="0"/>
                <w:szCs w:val="21"/>
              </w:rPr>
              <w:t>活动层板采用厚度不小于</w:t>
            </w:r>
            <w:r>
              <w:rPr>
                <w:rFonts w:ascii="宋体" w:hAnsi="宋体"/>
                <w:snapToGrid w:val="0"/>
                <w:kern w:val="0"/>
                <w:szCs w:val="21"/>
              </w:rPr>
              <w:t>1.0mm</w:t>
            </w:r>
            <w:r>
              <w:rPr>
                <w:rFonts w:ascii="宋体" w:hAnsi="宋体" w:hint="eastAsia"/>
                <w:snapToGrid w:val="0"/>
                <w:kern w:val="0"/>
                <w:szCs w:val="21"/>
              </w:rPr>
              <w:t>冷扎钢板，可上下调节高度。柜门采用钢板厚度不小于</w:t>
            </w:r>
            <w:r>
              <w:rPr>
                <w:rFonts w:ascii="宋体" w:hAnsi="宋体"/>
                <w:snapToGrid w:val="0"/>
                <w:kern w:val="0"/>
                <w:szCs w:val="21"/>
              </w:rPr>
              <w:t>1.0mm</w:t>
            </w:r>
            <w:r>
              <w:rPr>
                <w:rFonts w:ascii="宋体" w:hAnsi="宋体" w:hint="eastAsia"/>
                <w:snapToGrid w:val="0"/>
                <w:kern w:val="0"/>
                <w:szCs w:val="21"/>
              </w:rPr>
              <w:t>的冷轧钢，双层结构，夹层内填充消音材料，柜门内侧装有防撞贴（起缓冲作用）。合页采用不锈钢承重型隐蔽式合页，把手采用一次性双层折弯磨具成型U型把手，表面有光滑防腐涂层。</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snapToGrid w:val="0"/>
                <w:kern w:val="0"/>
                <w:szCs w:val="21"/>
              </w:rPr>
            </w:pPr>
          </w:p>
        </w:tc>
        <w:tc>
          <w:tcPr>
            <w:tcW w:w="3560" w:type="pct"/>
            <w:vAlign w:val="center"/>
          </w:tcPr>
          <w:p w:rsidR="007900F6">
            <w:pPr>
              <w:numPr>
                <w:ilvl w:val="0"/>
                <w:numId w:val="24"/>
              </w:numPr>
              <w:adjustRightInd w:val="0"/>
              <w:snapToGrid w:val="0"/>
              <w:spacing w:line="360" w:lineRule="auto"/>
              <w:ind w:left="887"/>
              <w:jc w:val="left"/>
              <w:rPr>
                <w:rFonts w:ascii="宋体" w:hAnsi="宋体"/>
                <w:snapToGrid w:val="0"/>
                <w:kern w:val="0"/>
                <w:szCs w:val="21"/>
              </w:rPr>
            </w:pPr>
            <w:r>
              <w:rPr>
                <w:rFonts w:ascii="宋体" w:hAnsi="宋体" w:hint="eastAsia"/>
                <w:snapToGrid w:val="0"/>
                <w:kern w:val="0"/>
                <w:szCs w:val="21"/>
              </w:rPr>
              <w:t>产品符合国家实验室家具标准GB24820-2009。</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2.3功能柱</w:t>
            </w:r>
          </w:p>
        </w:tc>
        <w:tc>
          <w:tcPr>
            <w:tcW w:w="3560" w:type="pct"/>
            <w:vAlign w:val="center"/>
          </w:tcPr>
          <w:p w:rsidR="007900F6">
            <w:pPr>
              <w:widowControl/>
              <w:tabs>
                <w:tab w:val="left" w:pos="360"/>
              </w:tabs>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 xml:space="preserve">2.3.1 </w:t>
            </w:r>
            <w:r>
              <w:rPr>
                <w:rFonts w:ascii="宋体" w:hAnsi="宋体" w:cs="宋体"/>
                <w:snapToGrid w:val="0"/>
                <w:kern w:val="0"/>
                <w:szCs w:val="21"/>
              </w:rPr>
              <w:t>采用全钢矩形柱体，功能柱高度为</w:t>
            </w:r>
            <w:r>
              <w:rPr>
                <w:rFonts w:ascii="宋体" w:hAnsi="宋体" w:cs="宋体" w:hint="eastAsia"/>
                <w:snapToGrid w:val="0"/>
                <w:kern w:val="0"/>
                <w:szCs w:val="21"/>
              </w:rPr>
              <w:t>1700</w:t>
            </w:r>
            <w:r>
              <w:rPr>
                <w:rFonts w:ascii="宋体" w:hAnsi="宋体" w:cs="宋体"/>
                <w:snapToGrid w:val="0"/>
                <w:kern w:val="0"/>
                <w:szCs w:val="21"/>
              </w:rPr>
              <w:t>mm；设置维修窗口,内部设置钢板密封隔断,以便通过及容纳操作台所需的公用系统管线及相关配件，管线内的强电、弱电、水、气须各自独立分区布设，功能立柱应有足够的内部空间及必要的开孔，以便容纳实验台管线及相关配件，线槽内的强电电/水/气等应具备各自独立的区隔；高度结合现场情况从天花接至实验台面。内部用螺丝固定于台面，螺丝不得裸露在外部</w:t>
            </w:r>
            <w:r>
              <w:rPr>
                <w:rFonts w:ascii="宋体" w:hAnsi="宋体" w:cs="宋体" w:hint="eastAsia"/>
                <w:snapToGrid w:val="0"/>
                <w:kern w:val="0"/>
                <w:szCs w:val="21"/>
              </w:rPr>
              <w:t>。</w:t>
            </w:r>
          </w:p>
        </w:tc>
      </w:tr>
      <w:tr>
        <w:tblPrEx>
          <w:tblW w:w="5000" w:type="pct"/>
          <w:jc w:val="center"/>
          <w:tblInd w:w="0" w:type="dxa"/>
          <w:tblLook w:val="0000"/>
        </w:tblPrEx>
        <w:trPr>
          <w:trHeight w:val="2416"/>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2</w:t>
            </w:r>
            <w:r>
              <w:rPr>
                <w:rFonts w:ascii="宋体" w:hAnsi="宋体" w:cs="宋体"/>
                <w:snapToGrid w:val="0"/>
                <w:kern w:val="0"/>
                <w:szCs w:val="21"/>
              </w:rPr>
              <w:t>.</w:t>
            </w:r>
            <w:r>
              <w:rPr>
                <w:rFonts w:ascii="宋体" w:hAnsi="宋体" w:cs="宋体" w:hint="eastAsia"/>
                <w:snapToGrid w:val="0"/>
                <w:kern w:val="0"/>
                <w:szCs w:val="21"/>
              </w:rPr>
              <w:t>4实验台柜抽屉</w:t>
            </w:r>
          </w:p>
        </w:tc>
        <w:tc>
          <w:tcPr>
            <w:tcW w:w="3560" w:type="pct"/>
            <w:vAlign w:val="center"/>
          </w:tcPr>
          <w:p w:rsidR="007900F6">
            <w:pPr>
              <w:numPr>
                <w:ilvl w:val="0"/>
                <w:numId w:val="25"/>
              </w:numPr>
              <w:adjustRightInd w:val="0"/>
              <w:snapToGrid w:val="0"/>
              <w:spacing w:line="360" w:lineRule="auto"/>
              <w:jc w:val="left"/>
              <w:rPr>
                <w:rFonts w:ascii="宋体" w:hAnsi="宋体"/>
                <w:snapToGrid w:val="0"/>
                <w:kern w:val="0"/>
                <w:szCs w:val="21"/>
              </w:rPr>
            </w:pPr>
          </w:p>
          <w:p w:rsidR="007900F6">
            <w:pPr>
              <w:numPr>
                <w:ilvl w:val="0"/>
                <w:numId w:val="26"/>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合页：采用DTC外盖大合页，结实耐用。</w:t>
            </w:r>
          </w:p>
          <w:p w:rsidR="007900F6">
            <w:pPr>
              <w:numPr>
                <w:ilvl w:val="0"/>
                <w:numId w:val="26"/>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滑轨：采用三节式钢制滑轨，表面经烤漆处理，为双片组合式并有止滑装置，运动负重：≥25kg（≥100000次）。</w:t>
            </w:r>
          </w:p>
          <w:p w:rsidR="007900F6">
            <w:pPr>
              <w:numPr>
                <w:ilvl w:val="0"/>
                <w:numId w:val="26"/>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门板和抽面采用双层结构，夹层内填充消音材料。</w:t>
            </w:r>
          </w:p>
          <w:p w:rsidR="007900F6">
            <w:pPr>
              <w:numPr>
                <w:ilvl w:val="0"/>
                <w:numId w:val="26"/>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把手：为一次性双层折弯磨具成型的U型把手，表面有光滑防腐涂层。</w:t>
            </w:r>
          </w:p>
          <w:p w:rsidR="007900F6">
            <w:pPr>
              <w:numPr>
                <w:ilvl w:val="0"/>
                <w:numId w:val="26"/>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柜体</w:t>
            </w:r>
            <w:r>
              <w:rPr>
                <w:rFonts w:ascii="宋体" w:hAnsi="宋体"/>
                <w:snapToGrid w:val="0"/>
                <w:kern w:val="0"/>
                <w:szCs w:val="21"/>
              </w:rPr>
              <w:t>下方</w:t>
            </w:r>
            <w:r>
              <w:rPr>
                <w:rFonts w:ascii="宋体" w:hAnsi="宋体" w:hint="eastAsia"/>
                <w:snapToGrid w:val="0"/>
                <w:kern w:val="0"/>
                <w:szCs w:val="21"/>
              </w:rPr>
              <w:t>带</w:t>
            </w:r>
            <w:r>
              <w:rPr>
                <w:rFonts w:ascii="宋体" w:hAnsi="宋体"/>
                <w:snapToGrid w:val="0"/>
                <w:kern w:val="0"/>
                <w:szCs w:val="21"/>
              </w:rPr>
              <w:t>4</w:t>
            </w:r>
            <w:r>
              <w:rPr>
                <w:rFonts w:ascii="宋体" w:hAnsi="宋体" w:hint="eastAsia"/>
                <w:snapToGrid w:val="0"/>
                <w:kern w:val="0"/>
                <w:szCs w:val="21"/>
              </w:rPr>
              <w:t>个万向轮，其中</w:t>
            </w:r>
            <w:r>
              <w:rPr>
                <w:rFonts w:ascii="宋体" w:hAnsi="宋体"/>
                <w:snapToGrid w:val="0"/>
                <w:kern w:val="0"/>
                <w:szCs w:val="21"/>
              </w:rPr>
              <w:t>2</w:t>
            </w:r>
            <w:r>
              <w:rPr>
                <w:rFonts w:ascii="宋体" w:hAnsi="宋体" w:hint="eastAsia"/>
                <w:snapToGrid w:val="0"/>
                <w:kern w:val="0"/>
                <w:szCs w:val="21"/>
              </w:rPr>
              <w:t>个万向轮带刹车。</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snapToGrid w:val="0"/>
                <w:kern w:val="0"/>
                <w:szCs w:val="21"/>
              </w:rPr>
            </w:pPr>
          </w:p>
        </w:tc>
        <w:tc>
          <w:tcPr>
            <w:tcW w:w="3560" w:type="pct"/>
            <w:vAlign w:val="center"/>
          </w:tcPr>
          <w:p w:rsidR="007900F6">
            <w:pPr>
              <w:numPr>
                <w:ilvl w:val="0"/>
                <w:numId w:val="25"/>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产品符合国家实验室家具标准GB24820-2009。</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2.5插座</w:t>
            </w:r>
          </w:p>
        </w:tc>
        <w:tc>
          <w:tcPr>
            <w:tcW w:w="3560" w:type="pct"/>
            <w:vAlign w:val="center"/>
          </w:tcPr>
          <w:p w:rsidR="007900F6">
            <w:pPr>
              <w:numPr>
                <w:ilvl w:val="2"/>
                <w:numId w:val="27"/>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插座为带开关五孔万用插口。</w:t>
            </w:r>
            <w:r>
              <w:rPr>
                <w:rFonts w:ascii="宋体" w:hAnsi="宋体"/>
                <w:snapToGrid w:val="0"/>
                <w:kern w:val="0"/>
                <w:szCs w:val="21"/>
              </w:rPr>
              <w:t>插座需通过3C认证，包含10A,16A两种规格，带4平方电线</w:t>
            </w:r>
            <w:r>
              <w:rPr>
                <w:rFonts w:ascii="宋体" w:hAnsi="宋体" w:hint="eastAsia"/>
                <w:snapToGrid w:val="0"/>
                <w:kern w:val="0"/>
                <w:szCs w:val="21"/>
              </w:rPr>
              <w:t>。</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2.6实验凳</w:t>
            </w:r>
          </w:p>
        </w:tc>
        <w:tc>
          <w:tcPr>
            <w:tcW w:w="3560" w:type="pct"/>
            <w:vAlign w:val="center"/>
          </w:tcPr>
          <w:p w:rsidR="007900F6">
            <w:pPr>
              <w:tabs>
                <w:tab w:val="left" w:pos="256"/>
              </w:tabs>
              <w:autoSpaceDE w:val="0"/>
              <w:autoSpaceDN w:val="0"/>
              <w:adjustRightInd w:val="0"/>
              <w:snapToGrid w:val="0"/>
              <w:spacing w:line="360" w:lineRule="auto"/>
              <w:jc w:val="left"/>
              <w:rPr>
                <w:rFonts w:ascii="宋体" w:hAnsi="宋体" w:cs="宋体"/>
                <w:snapToGrid w:val="0"/>
                <w:kern w:val="0"/>
                <w:szCs w:val="21"/>
              </w:rPr>
            </w:pPr>
            <w:r>
              <w:rPr>
                <w:rFonts w:ascii="宋体" w:hAnsi="宋体" w:cs="宋体"/>
                <w:snapToGrid w:val="0"/>
                <w:kern w:val="0"/>
                <w:szCs w:val="21"/>
                <w:lang w:bidi="kok-IN"/>
              </w:rPr>
              <w:t xml:space="preserve">2.6.1  </w:t>
            </w:r>
            <w:r>
              <w:rPr>
                <w:rFonts w:ascii="宋体" w:hAnsi="宋体" w:cs="宋体" w:hint="eastAsia"/>
                <w:snapToGrid w:val="0"/>
                <w:kern w:val="0"/>
                <w:szCs w:val="21"/>
                <w:lang w:bidi="kok-IN"/>
              </w:rPr>
              <w:t>皮革凳面，双层海绵填充，底部加钢板，确保安全性，气动升降，带脚踏圈，活动轮地脚任选。（款式需与业主确认）</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2.7高柜</w:t>
            </w:r>
          </w:p>
        </w:tc>
        <w:tc>
          <w:tcPr>
            <w:tcW w:w="3560" w:type="pct"/>
            <w:vAlign w:val="center"/>
          </w:tcPr>
          <w:p w:rsidR="007900F6">
            <w:pPr>
              <w:tabs>
                <w:tab w:val="left" w:pos="256"/>
              </w:tabs>
              <w:autoSpaceDE w:val="0"/>
              <w:autoSpaceDN w:val="0"/>
              <w:adjustRightInd w:val="0"/>
              <w:snapToGrid w:val="0"/>
              <w:spacing w:line="360" w:lineRule="auto"/>
              <w:jc w:val="left"/>
              <w:rPr>
                <w:rFonts w:ascii="宋体" w:hAnsi="宋体" w:cs="宋体"/>
                <w:snapToGrid w:val="0"/>
                <w:kern w:val="0"/>
                <w:szCs w:val="21"/>
                <w:lang w:bidi="kok-IN"/>
              </w:rPr>
            </w:pPr>
            <w:r>
              <w:rPr>
                <w:rFonts w:ascii="宋体" w:hAnsi="宋体" w:cs="宋体" w:hint="eastAsia"/>
                <w:snapToGrid w:val="0"/>
                <w:kern w:val="0"/>
                <w:szCs w:val="21"/>
                <w:lang w:bidi="kok-IN"/>
              </w:rPr>
              <w:t>2.7.1</w:t>
            </w:r>
            <w:r>
              <w:rPr>
                <w:rFonts w:ascii="宋体" w:hAnsi="宋体" w:cs="宋体"/>
                <w:snapToGrid w:val="0"/>
                <w:kern w:val="0"/>
                <w:szCs w:val="21"/>
                <w:lang w:bidi="kok-IN"/>
              </w:rPr>
              <w:t xml:space="preserve"> </w:t>
            </w:r>
            <w:r>
              <w:rPr>
                <w:rFonts w:ascii="宋体" w:hAnsi="宋体" w:cs="宋体" w:hint="eastAsia"/>
                <w:snapToGrid w:val="0"/>
                <w:kern w:val="0"/>
                <w:szCs w:val="21"/>
                <w:lang w:bidi="kok-IN"/>
              </w:rPr>
              <w:t>材质：木质。（款式颜色根据业主需求定制）</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2.8防震台（仪器室3）</w:t>
            </w:r>
          </w:p>
        </w:tc>
        <w:tc>
          <w:tcPr>
            <w:tcW w:w="3560" w:type="pct"/>
            <w:vAlign w:val="center"/>
          </w:tcPr>
          <w:p w:rsidR="007900F6">
            <w:pPr>
              <w:tabs>
                <w:tab w:val="left" w:pos="256"/>
              </w:tabs>
              <w:autoSpaceDE w:val="0"/>
              <w:autoSpaceDN w:val="0"/>
              <w:adjustRightInd w:val="0"/>
              <w:snapToGrid w:val="0"/>
              <w:spacing w:line="360" w:lineRule="auto"/>
              <w:jc w:val="left"/>
              <w:rPr>
                <w:rFonts w:ascii="宋体" w:hAnsi="宋体" w:cs="宋体"/>
                <w:snapToGrid w:val="0"/>
                <w:kern w:val="0"/>
                <w:szCs w:val="21"/>
                <w:lang w:bidi="kok-IN"/>
              </w:rPr>
            </w:pPr>
            <w:r>
              <w:rPr>
                <w:rFonts w:ascii="宋体" w:hAnsi="宋体"/>
                <w:snapToGrid w:val="0"/>
                <w:kern w:val="0"/>
                <w:szCs w:val="21"/>
              </w:rPr>
              <w:t xml:space="preserve">2.8.1 </w:t>
            </w:r>
            <w:r>
              <w:rPr>
                <w:rFonts w:ascii="宋体" w:hAnsi="宋体" w:hint="eastAsia"/>
                <w:snapToGrid w:val="0"/>
                <w:kern w:val="0"/>
                <w:szCs w:val="21"/>
              </w:rPr>
              <w:t>尺寸：</w:t>
            </w:r>
            <w:r>
              <w:rPr>
                <w:rFonts w:ascii="宋体" w:hAnsi="宋体"/>
                <w:snapToGrid w:val="0"/>
                <w:kern w:val="0"/>
                <w:szCs w:val="21"/>
              </w:rPr>
              <w:t>1</w:t>
            </w:r>
            <w:r>
              <w:rPr>
                <w:rFonts w:ascii="宋体" w:hAnsi="宋体" w:hint="eastAsia"/>
                <w:snapToGrid w:val="0"/>
                <w:kern w:val="0"/>
                <w:szCs w:val="21"/>
              </w:rPr>
              <w:t>.</w:t>
            </w:r>
            <w:r>
              <w:rPr>
                <w:rFonts w:ascii="宋体" w:hAnsi="宋体"/>
                <w:snapToGrid w:val="0"/>
                <w:kern w:val="0"/>
                <w:szCs w:val="21"/>
              </w:rPr>
              <w:t>8*1</w:t>
            </w:r>
            <w:r>
              <w:rPr>
                <w:rFonts w:ascii="宋体" w:hAnsi="宋体" w:hint="eastAsia"/>
                <w:snapToGrid w:val="0"/>
                <w:kern w:val="0"/>
                <w:szCs w:val="21"/>
              </w:rPr>
              <w:t>m防震台</w:t>
            </w:r>
            <w:r>
              <w:rPr>
                <w:rFonts w:ascii="宋体" w:hAnsi="宋体" w:hint="eastAsia"/>
                <w:snapToGrid w:val="0"/>
                <w:kern w:val="0"/>
                <w:szCs w:val="21"/>
                <w:shd w:val="clear" w:color="auto" w:fill="9BBB59"/>
              </w:rPr>
              <w:t>（不可使用气浮防震台，普通钢架防震台即可）</w:t>
            </w:r>
            <w:r>
              <w:rPr>
                <w:rFonts w:ascii="宋体" w:hAnsi="宋体" w:hint="eastAsia"/>
                <w:snapToGrid w:val="0"/>
                <w:kern w:val="0"/>
                <w:szCs w:val="21"/>
              </w:rPr>
              <w:t>。</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2.</w:t>
            </w:r>
            <w:r>
              <w:rPr>
                <w:rFonts w:ascii="宋体" w:hAnsi="宋体" w:cs="宋体"/>
                <w:snapToGrid w:val="0"/>
                <w:kern w:val="0"/>
                <w:szCs w:val="21"/>
              </w:rPr>
              <w:t>9</w:t>
            </w:r>
            <w:r>
              <w:rPr>
                <w:rFonts w:ascii="宋体" w:hAnsi="宋体" w:cs="宋体" w:hint="eastAsia"/>
                <w:snapToGrid w:val="0"/>
                <w:kern w:val="0"/>
                <w:szCs w:val="21"/>
              </w:rPr>
              <w:t>水槽</w:t>
            </w:r>
          </w:p>
        </w:tc>
        <w:tc>
          <w:tcPr>
            <w:tcW w:w="3560" w:type="pct"/>
            <w:vAlign w:val="center"/>
          </w:tcPr>
          <w:p w:rsidR="007900F6">
            <w:pPr>
              <w:numPr>
                <w:ilvl w:val="0"/>
                <w:numId w:val="28"/>
              </w:numPr>
              <w:adjustRightInd w:val="0"/>
              <w:snapToGrid w:val="0"/>
              <w:spacing w:line="360" w:lineRule="auto"/>
              <w:jc w:val="left"/>
              <w:rPr>
                <w:rFonts w:ascii="宋体" w:hAnsi="宋体"/>
                <w:snapToGrid w:val="0"/>
                <w:kern w:val="0"/>
                <w:szCs w:val="21"/>
              </w:rPr>
            </w:pPr>
          </w:p>
          <w:p w:rsidR="007900F6">
            <w:pPr>
              <w:numPr>
                <w:ilvl w:val="0"/>
                <w:numId w:val="29"/>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水槽边沿平整，契合台面。水槽需自带溢水功能，可防止在实验过程中无人看管时水漫过台面的情况。水槽材质为防腐蚀材质。</w:t>
            </w:r>
          </w:p>
          <w:p w:rsidR="007900F6">
            <w:pPr>
              <w:numPr>
                <w:ilvl w:val="0"/>
                <w:numId w:val="29"/>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材质：采用陶瓷材质， 硬度高，耐腐蚀便于清理。</w:t>
            </w:r>
            <w:r>
              <w:rPr>
                <w:rFonts w:ascii="宋体" w:hAnsi="宋体" w:cs="Helvetica"/>
                <w:snapToGrid w:val="0"/>
                <w:kern w:val="0"/>
                <w:szCs w:val="21"/>
                <w:shd w:val="clear" w:color="auto" w:fill="FFFFFF"/>
              </w:rPr>
              <w:t>静载测试承重400kg</w:t>
            </w:r>
            <w:r>
              <w:rPr>
                <w:rFonts w:ascii="宋体" w:hAnsi="宋体" w:cs="Helvetica" w:hint="eastAsia"/>
                <w:snapToGrid w:val="0"/>
                <w:kern w:val="0"/>
                <w:szCs w:val="21"/>
                <w:shd w:val="clear" w:color="auto" w:fill="FFFFFF"/>
              </w:rPr>
              <w:t>。</w:t>
            </w:r>
          </w:p>
          <w:p w:rsidR="007900F6">
            <w:pPr>
              <w:numPr>
                <w:ilvl w:val="0"/>
                <w:numId w:val="29"/>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附件：含阻水盖。配备防溅水挡板。</w:t>
            </w:r>
          </w:p>
          <w:p w:rsidR="007900F6">
            <w:pPr>
              <w:numPr>
                <w:ilvl w:val="0"/>
                <w:numId w:val="29"/>
              </w:numPr>
              <w:adjustRightInd w:val="0"/>
              <w:snapToGrid w:val="0"/>
              <w:spacing w:line="360" w:lineRule="auto"/>
              <w:jc w:val="left"/>
              <w:rPr>
                <w:rFonts w:ascii="宋体" w:hAnsi="宋体"/>
                <w:snapToGrid w:val="0"/>
                <w:kern w:val="0"/>
                <w:szCs w:val="21"/>
              </w:rPr>
            </w:pPr>
            <w:r>
              <w:rPr>
                <w:rFonts w:ascii="宋体" w:hAnsi="宋体" w:cs="宋体"/>
                <w:snapToGrid w:val="0"/>
                <w:kern w:val="0"/>
                <w:szCs w:val="21"/>
              </w:rPr>
              <w:t>水槽台台面安全工艺要求：应采用一体碟形阻水边工艺防止液体外溢、釉面采用沥水槽工艺减少器皿意外滑动，釉面至少达到七根沥水槽，槽内深度从边沿至水槽内应有深度落差工艺实现沥水功能，为了便于清洁，沥水槽表面釉面应为台面釉面颜色一致，确保实验人员的操作安全。</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2.</w:t>
            </w:r>
            <w:r>
              <w:rPr>
                <w:rFonts w:ascii="宋体" w:hAnsi="宋体" w:cs="宋体"/>
                <w:snapToGrid w:val="0"/>
                <w:kern w:val="0"/>
                <w:szCs w:val="21"/>
              </w:rPr>
              <w:t>10</w:t>
            </w:r>
            <w:r>
              <w:rPr>
                <w:rFonts w:ascii="宋体" w:hAnsi="宋体" w:cs="宋体" w:hint="eastAsia"/>
                <w:snapToGrid w:val="0"/>
                <w:kern w:val="0"/>
                <w:szCs w:val="21"/>
              </w:rPr>
              <w:t>三口水龙头</w:t>
            </w:r>
          </w:p>
        </w:tc>
        <w:tc>
          <w:tcPr>
            <w:tcW w:w="3560" w:type="pct"/>
            <w:vAlign w:val="center"/>
          </w:tcPr>
          <w:p w:rsidR="007900F6">
            <w:pPr>
              <w:numPr>
                <w:ilvl w:val="0"/>
                <w:numId w:val="30"/>
              </w:numPr>
              <w:adjustRightInd w:val="0"/>
              <w:snapToGrid w:val="0"/>
              <w:spacing w:line="360" w:lineRule="auto"/>
              <w:jc w:val="left"/>
              <w:rPr>
                <w:rFonts w:ascii="宋体" w:hAnsi="宋体"/>
                <w:snapToGrid w:val="0"/>
                <w:kern w:val="0"/>
                <w:szCs w:val="21"/>
              </w:rPr>
            </w:pPr>
          </w:p>
          <w:p w:rsidR="007900F6">
            <w:pPr>
              <w:adjustRightInd w:val="0"/>
              <w:snapToGrid w:val="0"/>
              <w:spacing w:line="360" w:lineRule="auto"/>
              <w:jc w:val="left"/>
              <w:rPr>
                <w:rFonts w:ascii="宋体" w:hAnsi="宋体"/>
                <w:snapToGrid w:val="0"/>
                <w:kern w:val="0"/>
                <w:szCs w:val="21"/>
              </w:rPr>
            </w:pPr>
            <w:r>
              <w:rPr>
                <w:rFonts w:ascii="宋体" w:hAnsi="宋体" w:hint="eastAsia"/>
                <w:szCs w:val="21"/>
              </w:rPr>
              <w:t>符合GB 25501-2010 水嘴用水效率限定值及用水效率等级标准，符合ASME A112.18.1-2012/CSA B125.1-12 认证标准。符合EN13792：2002认证标准。</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snapToGrid w:val="0"/>
                <w:kern w:val="0"/>
                <w:szCs w:val="21"/>
              </w:rPr>
            </w:pPr>
          </w:p>
        </w:tc>
        <w:tc>
          <w:tcPr>
            <w:tcW w:w="3560" w:type="pct"/>
            <w:vAlign w:val="center"/>
          </w:tcPr>
          <w:p w:rsidR="007900F6">
            <w:pPr>
              <w:numPr>
                <w:ilvl w:val="0"/>
                <w:numId w:val="30"/>
              </w:numPr>
              <w:adjustRightInd w:val="0"/>
              <w:snapToGrid w:val="0"/>
              <w:spacing w:line="360" w:lineRule="auto"/>
              <w:jc w:val="left"/>
              <w:rPr>
                <w:rFonts w:ascii="宋体" w:hAnsi="宋体" w:cs="宋体"/>
                <w:snapToGrid w:val="0"/>
                <w:kern w:val="0"/>
                <w:szCs w:val="21"/>
              </w:rPr>
            </w:pPr>
          </w:p>
          <w:p w:rsidR="007900F6">
            <w:pPr>
              <w:adjustRightInd w:val="0"/>
              <w:snapToGrid w:val="0"/>
              <w:spacing w:line="360" w:lineRule="auto"/>
              <w:jc w:val="left"/>
              <w:rPr>
                <w:rFonts w:ascii="宋体" w:hAnsi="宋体" w:cs="宋体"/>
                <w:snapToGrid w:val="0"/>
                <w:kern w:val="0"/>
                <w:szCs w:val="21"/>
              </w:rPr>
            </w:pPr>
            <w:r>
              <w:rPr>
                <w:rFonts w:ascii="宋体" w:hAnsi="宋体" w:hint="eastAsia"/>
                <w:szCs w:val="21"/>
              </w:rPr>
              <w:t>主体材料：主体加厚纯铜制作，涂层经亚光环氧树脂耐酸碱粉末涂料热固处理，防紫外线辐射，防酸碱、耐腐蚀，开关采用进口精密陶瓷阀心、耐磨、耐腐蚀，开关寿命要求可达50万次，静态最大耐压2.5MPa,鹅颈出水管可360度旋转，水嘴密封性能符合国家相关标准,。水龙头总整高度555MM，主管直径26MM，弯头直径22 MM，鹅颈管直径19mm,重量1700g。</w:t>
            </w:r>
          </w:p>
        </w:tc>
      </w:tr>
      <w:tr>
        <w:tblPrEx>
          <w:tblW w:w="5000" w:type="pct"/>
          <w:jc w:val="center"/>
          <w:tblInd w:w="0" w:type="dxa"/>
          <w:tblLook w:val="0000"/>
        </w:tblPrEx>
        <w:trPr>
          <w:trHeight w:val="419"/>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snapToGrid w:val="0"/>
                <w:kern w:val="0"/>
                <w:szCs w:val="21"/>
              </w:rPr>
            </w:pPr>
          </w:p>
        </w:tc>
        <w:tc>
          <w:tcPr>
            <w:tcW w:w="3560" w:type="pct"/>
            <w:vAlign w:val="center"/>
          </w:tcPr>
          <w:p w:rsidR="007900F6">
            <w:pPr>
              <w:numPr>
                <w:ilvl w:val="0"/>
                <w:numId w:val="30"/>
              </w:numPr>
              <w:tabs>
                <w:tab w:val="left" w:pos="256"/>
              </w:tabs>
              <w:autoSpaceDE w:val="0"/>
              <w:autoSpaceDN w:val="0"/>
              <w:adjustRightInd w:val="0"/>
              <w:snapToGrid w:val="0"/>
              <w:spacing w:line="360" w:lineRule="auto"/>
              <w:jc w:val="left"/>
              <w:rPr>
                <w:rFonts w:ascii="宋体" w:hAnsi="宋体" w:cs="宋体"/>
                <w:snapToGrid w:val="0"/>
                <w:kern w:val="0"/>
                <w:szCs w:val="21"/>
              </w:rPr>
            </w:pPr>
            <w:r>
              <w:rPr>
                <w:rFonts w:ascii="宋体" w:hAnsi="宋体" w:hint="eastAsia"/>
                <w:snapToGrid w:val="0"/>
                <w:szCs w:val="21"/>
              </w:rPr>
              <w:t>▲</w:t>
            </w:r>
          </w:p>
          <w:p w:rsidR="007900F6">
            <w:pPr>
              <w:adjustRightInd w:val="0"/>
              <w:snapToGrid w:val="0"/>
              <w:spacing w:line="360" w:lineRule="auto"/>
              <w:jc w:val="left"/>
              <w:rPr>
                <w:rFonts w:ascii="宋体" w:hAnsi="宋体"/>
                <w:color w:val="000000"/>
                <w:szCs w:val="21"/>
              </w:rPr>
            </w:pPr>
            <w:r>
              <w:rPr>
                <w:rFonts w:ascii="宋体" w:hAnsi="宋体" w:hint="eastAsia"/>
                <w:color w:val="000000"/>
                <w:szCs w:val="21"/>
              </w:rPr>
              <w:t>1）需提供实验室化验水龙头CSA认证证书； </w:t>
            </w:r>
          </w:p>
          <w:p w:rsidR="007900F6">
            <w:pPr>
              <w:adjustRightInd w:val="0"/>
              <w:snapToGrid w:val="0"/>
              <w:spacing w:line="360" w:lineRule="auto"/>
              <w:jc w:val="left"/>
              <w:rPr>
                <w:rFonts w:ascii="宋体" w:hAnsi="宋体"/>
                <w:color w:val="000000"/>
                <w:szCs w:val="21"/>
              </w:rPr>
            </w:pPr>
            <w:r>
              <w:rPr>
                <w:rFonts w:ascii="宋体" w:hAnsi="宋体" w:hint="eastAsia"/>
                <w:color w:val="000000"/>
                <w:szCs w:val="21"/>
              </w:rPr>
              <w:t>2）实验室化验水龙头需提供中国节水产品CQC认证；</w:t>
            </w:r>
          </w:p>
          <w:p w:rsidR="007900F6">
            <w:pPr>
              <w:adjustRightInd w:val="0"/>
              <w:snapToGrid w:val="0"/>
              <w:spacing w:line="360" w:lineRule="auto"/>
              <w:jc w:val="left"/>
              <w:rPr>
                <w:rFonts w:ascii="宋体" w:hAnsi="宋体"/>
                <w:color w:val="000000"/>
                <w:szCs w:val="21"/>
              </w:rPr>
            </w:pPr>
            <w:r>
              <w:rPr>
                <w:rFonts w:ascii="宋体" w:hAnsi="宋体" w:hint="eastAsia"/>
                <w:color w:val="000000"/>
                <w:szCs w:val="21"/>
              </w:rPr>
              <w:t>3）实验室化验水龙头符合CE-EN 13792:2002认证准标，提供CE认证报告；</w:t>
            </w:r>
          </w:p>
          <w:p w:rsidR="007900F6">
            <w:pPr>
              <w:adjustRightInd w:val="0"/>
              <w:snapToGrid w:val="0"/>
              <w:spacing w:line="360" w:lineRule="auto"/>
              <w:jc w:val="left"/>
              <w:rPr>
                <w:rFonts w:ascii="宋体" w:hAnsi="宋体"/>
                <w:color w:val="000000"/>
                <w:szCs w:val="21"/>
              </w:rPr>
            </w:pPr>
            <w:r>
              <w:rPr>
                <w:rFonts w:ascii="宋体" w:hAnsi="宋体" w:hint="eastAsia"/>
                <w:color w:val="000000"/>
                <w:szCs w:val="21"/>
              </w:rPr>
              <w:t>4）实验室水龙头提供国家认可的第三方检测机构出具的主材铜含量测试报告；</w:t>
            </w:r>
          </w:p>
          <w:p w:rsidR="007900F6">
            <w:pPr>
              <w:adjustRightInd w:val="0"/>
              <w:snapToGrid w:val="0"/>
              <w:spacing w:line="360" w:lineRule="auto"/>
              <w:jc w:val="left"/>
              <w:rPr>
                <w:rFonts w:ascii="宋体" w:hAnsi="宋体"/>
                <w:color w:val="000000"/>
                <w:szCs w:val="21"/>
              </w:rPr>
            </w:pPr>
            <w:r>
              <w:rPr>
                <w:rFonts w:ascii="宋体" w:hAnsi="宋体" w:hint="eastAsia"/>
                <w:color w:val="000000"/>
                <w:szCs w:val="21"/>
              </w:rPr>
              <w:t>5）提供化验水龙头ACS认证；</w:t>
            </w:r>
          </w:p>
          <w:p w:rsidR="007900F6">
            <w:pPr>
              <w:pStyle w:val="1"/>
              <w:snapToGrid w:val="0"/>
              <w:spacing w:line="360" w:lineRule="auto"/>
              <w:rPr>
                <w:rFonts w:ascii="宋体" w:hAnsi="宋体" w:cs="宋体"/>
                <w:szCs w:val="21"/>
              </w:rPr>
            </w:pPr>
            <w:r>
              <w:rPr>
                <w:rFonts w:ascii="宋体" w:hAnsi="宋体" w:cs="宋体" w:hint="eastAsia"/>
                <w:color w:val="000000"/>
                <w:szCs w:val="21"/>
              </w:rPr>
              <w:t>6）</w:t>
            </w:r>
            <w:r>
              <w:rPr>
                <w:rFonts w:ascii="宋体" w:hAnsi="宋体" w:cs="宋体" w:hint="eastAsia"/>
                <w:szCs w:val="21"/>
              </w:rPr>
              <w:t>提供水龙头WRAS认证；</w:t>
            </w:r>
          </w:p>
          <w:p w:rsidR="007900F6">
            <w:pPr>
              <w:adjustRightInd w:val="0"/>
              <w:snapToGrid w:val="0"/>
              <w:spacing w:line="360" w:lineRule="auto"/>
              <w:jc w:val="left"/>
              <w:rPr>
                <w:rFonts w:ascii="宋体" w:hAnsi="宋体" w:cs="宋体"/>
                <w:szCs w:val="21"/>
              </w:rPr>
            </w:pPr>
            <w:r>
              <w:rPr>
                <w:rFonts w:ascii="宋体" w:hAnsi="宋体" w:cs="宋体" w:hint="eastAsia"/>
                <w:szCs w:val="21"/>
              </w:rPr>
              <w:t>7）提供国家认可的第三方检测机构出具的表面耐污染检验报告，检测项目包含50种以上有机无机试剂，表面停留24小时后检验结果为5级。</w:t>
            </w:r>
          </w:p>
          <w:p w:rsidR="007900F6">
            <w:pPr>
              <w:adjustRightInd w:val="0"/>
              <w:snapToGrid w:val="0"/>
              <w:spacing w:line="360" w:lineRule="auto"/>
              <w:jc w:val="left"/>
              <w:rPr>
                <w:rFonts w:ascii="宋体" w:hAnsi="宋体"/>
                <w:snapToGrid w:val="0"/>
                <w:kern w:val="0"/>
                <w:szCs w:val="21"/>
              </w:rPr>
            </w:pPr>
            <w:r>
              <w:rPr>
                <w:rFonts w:ascii="宋体" w:hAnsi="宋体" w:hint="eastAsia"/>
                <w:szCs w:val="21"/>
              </w:rPr>
              <w:t>投标人投标时须提供水龙头以上证书和检测报告复印件并加盖生产厂家公章。</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0"/>
              </w:numPr>
              <w:autoSpaceDE w:val="0"/>
              <w:autoSpaceDN w:val="0"/>
              <w:adjustRightInd w:val="0"/>
              <w:snapToGrid w:val="0"/>
              <w:spacing w:line="360" w:lineRule="auto"/>
              <w:jc w:val="left"/>
              <w:rPr>
                <w:rFonts w:ascii="宋体" w:hAnsi="宋体" w:cs="宋体"/>
                <w:snapToGrid w:val="0"/>
                <w:kern w:val="0"/>
                <w:szCs w:val="21"/>
              </w:rPr>
            </w:pPr>
            <w:r>
              <w:rPr>
                <w:rFonts w:ascii="宋体" w:hAnsi="宋体" w:hint="eastAsia"/>
                <w:szCs w:val="21"/>
              </w:rPr>
              <w:t>实验室化验水龙头提供有效的国内保险公司承保合同。</w:t>
            </w:r>
          </w:p>
        </w:tc>
      </w:tr>
      <w:tr>
        <w:tblPrEx>
          <w:tblW w:w="5000" w:type="pct"/>
          <w:jc w:val="center"/>
          <w:tblInd w:w="0" w:type="dxa"/>
          <w:tblLook w:val="0000"/>
        </w:tblPrEx>
        <w:trPr>
          <w:trHeight w:val="351"/>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2.</w:t>
            </w:r>
            <w:r>
              <w:rPr>
                <w:rFonts w:ascii="宋体" w:hAnsi="宋体" w:cs="宋体"/>
                <w:snapToGrid w:val="0"/>
                <w:kern w:val="0"/>
                <w:szCs w:val="21"/>
              </w:rPr>
              <w:t>11</w:t>
            </w:r>
            <w:r>
              <w:rPr>
                <w:rFonts w:ascii="宋体" w:hAnsi="宋体" w:cs="宋体" w:hint="eastAsia"/>
                <w:snapToGrid w:val="0"/>
                <w:kern w:val="0"/>
                <w:szCs w:val="21"/>
              </w:rPr>
              <w:t>台式洗眼器</w:t>
            </w:r>
          </w:p>
        </w:tc>
        <w:tc>
          <w:tcPr>
            <w:tcW w:w="3560" w:type="pct"/>
            <w:vAlign w:val="center"/>
          </w:tcPr>
          <w:p w:rsidR="007900F6">
            <w:pPr>
              <w:numPr>
                <w:ilvl w:val="0"/>
                <w:numId w:val="31"/>
              </w:numPr>
              <w:adjustRightInd w:val="0"/>
              <w:snapToGrid w:val="0"/>
              <w:spacing w:line="360" w:lineRule="auto"/>
              <w:jc w:val="left"/>
              <w:rPr>
                <w:rFonts w:ascii="宋体" w:hAnsi="宋体"/>
                <w:snapToGrid w:val="0"/>
                <w:kern w:val="0"/>
                <w:szCs w:val="21"/>
                <w:lang w:val="zh-TW"/>
              </w:rPr>
            </w:pPr>
          </w:p>
          <w:p w:rsidR="007900F6">
            <w:pPr>
              <w:numPr>
                <w:ilvl w:val="0"/>
                <w:numId w:val="32"/>
              </w:numPr>
              <w:adjustRightInd w:val="0"/>
              <w:snapToGrid w:val="0"/>
              <w:spacing w:line="360" w:lineRule="auto"/>
              <w:jc w:val="left"/>
              <w:rPr>
                <w:rFonts w:ascii="宋体" w:hAnsi="宋体" w:cs="Arial Unicode MS"/>
                <w:snapToGrid w:val="0"/>
                <w:kern w:val="0"/>
                <w:szCs w:val="21"/>
              </w:rPr>
            </w:pPr>
            <w:r>
              <w:rPr>
                <w:rFonts w:ascii="宋体" w:hAnsi="宋体" w:cs="Arial Unicode MS" w:hint="eastAsia"/>
                <w:snapToGrid w:val="0"/>
                <w:kern w:val="0"/>
                <w:szCs w:val="21"/>
              </w:rPr>
              <w:t>主体:加厚铜质H59-1。</w:t>
            </w:r>
          </w:p>
          <w:p w:rsidR="007900F6">
            <w:pPr>
              <w:numPr>
                <w:ilvl w:val="0"/>
                <w:numId w:val="32"/>
              </w:numPr>
              <w:adjustRightInd w:val="0"/>
              <w:snapToGrid w:val="0"/>
              <w:spacing w:line="360" w:lineRule="auto"/>
              <w:jc w:val="left"/>
              <w:rPr>
                <w:rFonts w:ascii="宋体" w:hAnsi="宋体" w:cs="Arial Unicode MS"/>
                <w:snapToGrid w:val="0"/>
                <w:kern w:val="0"/>
                <w:szCs w:val="21"/>
              </w:rPr>
            </w:pPr>
            <w:r>
              <w:rPr>
                <w:rFonts w:ascii="宋体" w:hAnsi="宋体" w:cs="Arial Unicode MS" w:hint="eastAsia"/>
                <w:snapToGrid w:val="0"/>
                <w:kern w:val="0"/>
                <w:szCs w:val="21"/>
              </w:rPr>
              <w:t>洗眼喷头:加厚铜质环氧树脂涂层外加软性橡胶,出水经缓压处理呈泡沫状水柱,防止冲伤眼睛。</w:t>
            </w:r>
          </w:p>
          <w:p w:rsidR="007900F6">
            <w:pPr>
              <w:numPr>
                <w:ilvl w:val="0"/>
                <w:numId w:val="32"/>
              </w:numPr>
              <w:adjustRightInd w:val="0"/>
              <w:snapToGrid w:val="0"/>
              <w:spacing w:line="360" w:lineRule="auto"/>
              <w:jc w:val="left"/>
              <w:rPr>
                <w:rFonts w:ascii="宋体" w:hAnsi="宋体" w:cs="Arial Unicode MS"/>
                <w:snapToGrid w:val="0"/>
                <w:szCs w:val="21"/>
              </w:rPr>
            </w:pPr>
            <w:r>
              <w:rPr>
                <w:rFonts w:ascii="宋体" w:hAnsi="宋体" w:cs="Arial Unicode MS" w:hint="eastAsia"/>
                <w:snapToGrid w:val="0"/>
                <w:szCs w:val="21"/>
              </w:rPr>
              <w:t>莲蓬头护罩：Φ70橡胶质护杯，以避免紧急使用时瞬间接触眼部造成碰撞二次伤害。</w:t>
            </w:r>
          </w:p>
          <w:p w:rsidR="007900F6">
            <w:pPr>
              <w:numPr>
                <w:ilvl w:val="0"/>
                <w:numId w:val="32"/>
              </w:numPr>
              <w:adjustRightInd w:val="0"/>
              <w:snapToGrid w:val="0"/>
              <w:spacing w:line="360" w:lineRule="auto"/>
              <w:jc w:val="left"/>
              <w:rPr>
                <w:rFonts w:ascii="宋体" w:hAnsi="宋体" w:cs="Arial Unicode MS"/>
                <w:snapToGrid w:val="0"/>
                <w:kern w:val="0"/>
                <w:szCs w:val="21"/>
              </w:rPr>
            </w:pPr>
            <w:r>
              <w:rPr>
                <w:rFonts w:ascii="宋体" w:hAnsi="宋体" w:cs="Arial Unicode MS" w:hint="eastAsia"/>
                <w:snapToGrid w:val="0"/>
                <w:kern w:val="0"/>
                <w:szCs w:val="21"/>
              </w:rPr>
              <w:t>防尘盖: PP材质, 平常可防尘，使用时可随时被水冲开，并降低突然时短暂的高水压，防止冲伤眼睛，防尘盖有连接于护罩可防尘脱落。使用时自动被水冲开。</w:t>
            </w:r>
          </w:p>
          <w:p w:rsidR="007900F6">
            <w:pPr>
              <w:numPr>
                <w:ilvl w:val="0"/>
                <w:numId w:val="32"/>
              </w:numPr>
              <w:adjustRightInd w:val="0"/>
              <w:snapToGrid w:val="0"/>
              <w:spacing w:line="360" w:lineRule="auto"/>
              <w:jc w:val="left"/>
              <w:rPr>
                <w:rFonts w:ascii="宋体" w:hAnsi="宋体" w:cs="Arial Unicode MS"/>
                <w:snapToGrid w:val="0"/>
                <w:kern w:val="0"/>
                <w:szCs w:val="21"/>
              </w:rPr>
            </w:pPr>
            <w:r>
              <w:rPr>
                <w:rFonts w:ascii="宋体" w:hAnsi="宋体" w:cs="Arial Unicode MS" w:hint="eastAsia"/>
                <w:snapToGrid w:val="0"/>
                <w:kern w:val="0"/>
                <w:szCs w:val="21"/>
              </w:rPr>
              <w:t>水流锁定开关:水流开启,水流锁定功能一次完成,方便使用。</w:t>
            </w:r>
          </w:p>
          <w:p w:rsidR="007900F6">
            <w:pPr>
              <w:numPr>
                <w:ilvl w:val="0"/>
                <w:numId w:val="32"/>
              </w:numPr>
              <w:adjustRightInd w:val="0"/>
              <w:snapToGrid w:val="0"/>
              <w:spacing w:line="360" w:lineRule="auto"/>
              <w:jc w:val="left"/>
              <w:rPr>
                <w:rFonts w:ascii="宋体" w:hAnsi="宋体" w:cs="Arial Unicode MS"/>
                <w:snapToGrid w:val="0"/>
                <w:kern w:val="0"/>
                <w:szCs w:val="21"/>
              </w:rPr>
            </w:pPr>
            <w:r>
              <w:rPr>
                <w:rFonts w:ascii="宋体" w:hAnsi="宋体" w:cs="Arial Unicode MS" w:hint="eastAsia"/>
                <w:snapToGrid w:val="0"/>
                <w:kern w:val="0"/>
                <w:szCs w:val="21"/>
              </w:rPr>
              <w:t>控水阀:止逆阀,其阀门可自动关闭。</w:t>
            </w:r>
          </w:p>
          <w:p w:rsidR="007900F6">
            <w:pPr>
              <w:numPr>
                <w:ilvl w:val="0"/>
                <w:numId w:val="32"/>
              </w:numPr>
              <w:adjustRightInd w:val="0"/>
              <w:snapToGrid w:val="0"/>
              <w:spacing w:line="360" w:lineRule="auto"/>
              <w:jc w:val="left"/>
              <w:rPr>
                <w:rFonts w:ascii="宋体" w:hAnsi="宋体" w:cs="Arial Unicode MS"/>
                <w:snapToGrid w:val="0"/>
                <w:kern w:val="0"/>
                <w:szCs w:val="21"/>
              </w:rPr>
            </w:pPr>
            <w:r>
              <w:rPr>
                <w:rFonts w:ascii="宋体" w:hAnsi="宋体" w:cs="Arial Unicode MS" w:hint="eastAsia"/>
                <w:snapToGrid w:val="0"/>
                <w:kern w:val="0"/>
                <w:szCs w:val="21"/>
              </w:rPr>
              <w:t>前置过滤器：配有小型前置过滤器主要的去除管道所产生的沉淀杂质和细菌、微生物残骸、铁锈、沙泥等大于5微米以上的颗粒杂质，避免眼睛及人体肌肤受到伤害。</w:t>
            </w:r>
          </w:p>
          <w:p w:rsidR="007900F6">
            <w:pPr>
              <w:numPr>
                <w:ilvl w:val="0"/>
                <w:numId w:val="32"/>
              </w:numPr>
              <w:adjustRightInd w:val="0"/>
              <w:snapToGrid w:val="0"/>
              <w:spacing w:line="360" w:lineRule="auto"/>
              <w:jc w:val="left"/>
              <w:rPr>
                <w:rFonts w:ascii="宋体" w:hAnsi="宋体"/>
                <w:snapToGrid w:val="0"/>
                <w:kern w:val="0"/>
                <w:szCs w:val="21"/>
              </w:rPr>
            </w:pPr>
            <w:r>
              <w:rPr>
                <w:rFonts w:ascii="宋体" w:hAnsi="宋体" w:cs="Arial Unicode MS" w:hint="eastAsia"/>
                <w:snapToGrid w:val="0"/>
                <w:kern w:val="0"/>
                <w:szCs w:val="21"/>
              </w:rPr>
              <w:t>供水软管:长度1.5米,软性PVC管外覆不锈钢网,外层包裹PE管,有效防止生锈、渗漏。符合美国 ANSI Z358-1 2014 洗眼器标准之规定。</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1"/>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▲提供国家认可的第三方检测机构出具的包含1.管螺纹精度，2.螺纹表面，3.抗压强度，4.外观，5.启动开关灵活，6.水柱喷射高度，7.水流量。等7项检测项目的检测报告。</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1"/>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提供国内保险公司产品承保合同。</w:t>
            </w:r>
            <w:r>
              <w:rPr>
                <w:rFonts w:ascii="宋体" w:hAnsi="宋体" w:hint="eastAsia"/>
                <w:szCs w:val="21"/>
              </w:rPr>
              <w:t>投标时提供洗眼器检测报告复印件并加盖生产厂家公章。</w:t>
            </w:r>
          </w:p>
        </w:tc>
      </w:tr>
      <w:tr>
        <w:tblPrEx>
          <w:tblW w:w="5000" w:type="pct"/>
          <w:jc w:val="center"/>
          <w:tblInd w:w="0" w:type="dxa"/>
          <w:tblLook w:val="0000"/>
        </w:tblPrEx>
        <w:trPr>
          <w:trHeight w:val="827"/>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2.1</w:t>
            </w:r>
            <w:r>
              <w:rPr>
                <w:rFonts w:ascii="宋体" w:hAnsi="宋体" w:cs="宋体"/>
                <w:snapToGrid w:val="0"/>
                <w:kern w:val="0"/>
                <w:szCs w:val="21"/>
              </w:rPr>
              <w:t>2</w:t>
            </w:r>
            <w:r>
              <w:rPr>
                <w:rFonts w:ascii="宋体" w:hAnsi="宋体" w:cs="宋体" w:hint="eastAsia"/>
                <w:snapToGrid w:val="0"/>
                <w:kern w:val="0"/>
                <w:szCs w:val="21"/>
              </w:rPr>
              <w:t>滴水架</w:t>
            </w:r>
          </w:p>
        </w:tc>
        <w:tc>
          <w:tcPr>
            <w:tcW w:w="3560" w:type="pct"/>
            <w:vAlign w:val="center"/>
          </w:tcPr>
          <w:p w:rsidR="007900F6">
            <w:pPr>
              <w:numPr>
                <w:ilvl w:val="0"/>
                <w:numId w:val="33"/>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在每个水槽旁各配置2个滴水架，整体采用PP材质，耐腐蚀性能极佳，抗紫外线辐射，不易老化、脆化，经久耐用。所用材料应安全环保，无有害物质挥发，不会对实验环境的空气造成污染（无异味），不会危及实验人员的身体健康。</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3"/>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类型：单面，</w:t>
            </w:r>
            <w:r>
              <w:rPr>
                <w:rFonts w:ascii="宋体" w:hAnsi="宋体" w:hint="eastAsia"/>
                <w:snapToGrid w:val="0"/>
                <w:szCs w:val="21"/>
              </w:rPr>
              <w:t>尺寸：630*450*120，</w:t>
            </w:r>
            <w:r>
              <w:rPr>
                <w:rFonts w:ascii="宋体" w:hAnsi="宋体" w:hint="eastAsia"/>
                <w:snapToGrid w:val="0"/>
                <w:kern w:val="0"/>
                <w:szCs w:val="21"/>
              </w:rPr>
              <w:t>安装方式：壁挂式，底部托盘中间设有排水孔，可拆卸式滴水棒，滴水棒50根。所有滴水棒均以35度～45度仰角安装，以方便器皿稳固吊放。</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3"/>
              </w:numPr>
              <w:adjustRightInd w:val="0"/>
              <w:snapToGrid w:val="0"/>
              <w:spacing w:line="360" w:lineRule="auto"/>
              <w:jc w:val="left"/>
              <w:rPr>
                <w:rFonts w:ascii="宋体" w:hAnsi="宋体"/>
                <w:snapToGrid w:val="0"/>
                <w:kern w:val="0"/>
                <w:szCs w:val="21"/>
              </w:rPr>
            </w:pPr>
            <w:r>
              <w:rPr>
                <w:rFonts w:ascii="宋体" w:hAnsi="宋体" w:hint="eastAsia"/>
                <w:snapToGrid w:val="0"/>
                <w:szCs w:val="21"/>
              </w:rPr>
              <w:t>▲</w:t>
            </w:r>
            <w:r>
              <w:rPr>
                <w:rFonts w:ascii="宋体" w:hAnsi="宋体" w:hint="eastAsia"/>
                <w:snapToGrid w:val="0"/>
                <w:kern w:val="0"/>
                <w:szCs w:val="21"/>
              </w:rPr>
              <w:t>经测试干架应能承受19.6N挂重测试,面板应能承受100N拉力测试，</w:t>
            </w:r>
            <w:r>
              <w:rPr>
                <w:rFonts w:ascii="宋体" w:hAnsi="宋体"/>
                <w:snapToGrid w:val="0"/>
                <w:kern w:val="0"/>
                <w:szCs w:val="21"/>
              </w:rPr>
              <w:t>参与投标的厂家需提供满足以上要求的</w:t>
            </w:r>
            <w:r>
              <w:rPr>
                <w:rFonts w:ascii="宋体" w:hAnsi="宋体" w:hint="eastAsia"/>
                <w:snapToGrid w:val="0"/>
                <w:kern w:val="0"/>
                <w:szCs w:val="21"/>
              </w:rPr>
              <w:t>有效期内</w:t>
            </w:r>
            <w:r>
              <w:rPr>
                <w:rFonts w:ascii="宋体" w:hAnsi="宋体"/>
                <w:snapToGrid w:val="0"/>
                <w:kern w:val="0"/>
                <w:szCs w:val="21"/>
              </w:rPr>
              <w:t>相应</w:t>
            </w:r>
            <w:r>
              <w:rPr>
                <w:rFonts w:ascii="宋体" w:hAnsi="宋体" w:hint="eastAsia"/>
                <w:snapToGrid w:val="0"/>
                <w:kern w:val="0"/>
                <w:szCs w:val="21"/>
              </w:rPr>
              <w:t>报告</w:t>
            </w:r>
            <w:r>
              <w:rPr>
                <w:rFonts w:ascii="宋体" w:hAnsi="宋体"/>
                <w:snapToGrid w:val="0"/>
                <w:kern w:val="0"/>
                <w:szCs w:val="21"/>
              </w:rPr>
              <w:t>证书复印件用于佐证</w:t>
            </w:r>
            <w:r>
              <w:rPr>
                <w:rFonts w:ascii="宋体" w:hAnsi="宋体" w:hint="eastAsia"/>
                <w:snapToGrid w:val="0"/>
                <w:kern w:val="0"/>
                <w:szCs w:val="21"/>
              </w:rPr>
              <w:t>，原件备查。</w:t>
            </w:r>
          </w:p>
        </w:tc>
      </w:tr>
      <w:tr>
        <w:tblPrEx>
          <w:tblW w:w="5000" w:type="pct"/>
          <w:jc w:val="center"/>
          <w:tblInd w:w="0" w:type="dxa"/>
          <w:tblLook w:val="0000"/>
        </w:tblPrEx>
        <w:trPr>
          <w:trHeight w:val="2171"/>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2</w:t>
            </w:r>
            <w:r>
              <w:rPr>
                <w:rFonts w:ascii="宋体" w:hAnsi="宋体" w:cs="宋体" w:hint="eastAsia"/>
                <w:snapToGrid w:val="0"/>
                <w:kern w:val="0"/>
                <w:szCs w:val="21"/>
              </w:rPr>
              <w:t>.1</w:t>
            </w:r>
            <w:r>
              <w:rPr>
                <w:rFonts w:ascii="宋体" w:hAnsi="宋体" w:cs="宋体"/>
                <w:snapToGrid w:val="0"/>
                <w:kern w:val="0"/>
                <w:szCs w:val="21"/>
              </w:rPr>
              <w:t>3</w:t>
            </w:r>
            <w:r>
              <w:rPr>
                <w:rFonts w:ascii="宋体" w:hAnsi="宋体" w:cs="宋体" w:hint="eastAsia"/>
                <w:snapToGrid w:val="0"/>
                <w:kern w:val="0"/>
                <w:szCs w:val="21"/>
              </w:rPr>
              <w:t>紧急喷淋器</w:t>
            </w:r>
          </w:p>
        </w:tc>
        <w:tc>
          <w:tcPr>
            <w:tcW w:w="3560" w:type="pct"/>
            <w:vAlign w:val="center"/>
          </w:tcPr>
          <w:p w:rsidR="007900F6">
            <w:pPr>
              <w:numPr>
                <w:ilvl w:val="0"/>
                <w:numId w:val="34"/>
              </w:numPr>
              <w:adjustRightInd w:val="0"/>
              <w:snapToGrid w:val="0"/>
              <w:spacing w:line="360" w:lineRule="auto"/>
              <w:jc w:val="left"/>
              <w:rPr>
                <w:rFonts w:ascii="宋体" w:hAnsi="宋体"/>
                <w:snapToGrid w:val="0"/>
                <w:kern w:val="0"/>
                <w:szCs w:val="21"/>
              </w:rPr>
            </w:pPr>
          </w:p>
          <w:p w:rsidR="007900F6">
            <w:pPr>
              <w:numPr>
                <w:ilvl w:val="0"/>
                <w:numId w:val="35"/>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主体材料：不锈钢 304，厚度：不低于 3mm。可以抗弱酸、碱、盐和油类腐蚀的现场。</w:t>
            </w:r>
          </w:p>
          <w:p w:rsidR="007900F6">
            <w:pPr>
              <w:numPr>
                <w:ilvl w:val="0"/>
                <w:numId w:val="35"/>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配备喷淋系统和洗眼系统，当受伤者身体上或者服装上遭受化学品物质喷溅时，使用洗眼器喷淋系统进行大水量冲洗；当化学品物质喷溅到工作人员面部、眼部、脖子或者手臂等部位时，使用洗眼器的洗眼系统进行冲洗。冲洗时间不得小于 15 分钟</w:t>
            </w:r>
          </w:p>
          <w:p w:rsidR="007900F6">
            <w:pPr>
              <w:numPr>
                <w:ilvl w:val="0"/>
                <w:numId w:val="35"/>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根据美国 ANSI Z358-1 2014 洗眼器标准之规定，洗眼器的喷淋系统和洗眼系统易于操作，操作者一个人就可以完成，不需要其他人员协助.</w:t>
            </w:r>
          </w:p>
          <w:p w:rsidR="007900F6">
            <w:pPr>
              <w:numPr>
                <w:ilvl w:val="0"/>
                <w:numId w:val="35"/>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洗眼器正常水压要求：0.3—0.6 MPa，洗眼器管件密封部件必须承受 1 MPa 长时间没有泄。</w:t>
            </w:r>
          </w:p>
          <w:p w:rsidR="007900F6">
            <w:pPr>
              <w:numPr>
                <w:ilvl w:val="0"/>
                <w:numId w:val="35"/>
              </w:numPr>
              <w:tabs>
                <w:tab w:val="left" w:pos="256"/>
              </w:tabs>
              <w:autoSpaceDE w:val="0"/>
              <w:autoSpaceDN w:val="0"/>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工作压力：0.3—0.6Mpa，密封压力：0.8Mpa，喷淋流量：&gt;75.7L/min；洗眼流量：&gt;11.4L/min，洗眼器进水口尺寸：DN25，洗眼系统排水口尺寸：DN25，排水盘排水口尺寸：40。</w:t>
            </w:r>
          </w:p>
          <w:p w:rsidR="007900F6">
            <w:pPr>
              <w:numPr>
                <w:ilvl w:val="0"/>
                <w:numId w:val="35"/>
              </w:numPr>
              <w:autoSpaceDE w:val="0"/>
              <w:autoSpaceDN w:val="0"/>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喷淋系统要求：在距离地面 1524mm 处，喷淋水直径不小于 20 英寸，且喷淋水是满喷。</w:t>
            </w:r>
          </w:p>
          <w:p w:rsidR="007900F6">
            <w:pPr>
              <w:numPr>
                <w:ilvl w:val="0"/>
                <w:numId w:val="35"/>
              </w:numPr>
              <w:autoSpaceDE w:val="0"/>
              <w:autoSpaceDN w:val="0"/>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洗眼系统要求：配备过滤装置，洗眼弯头出水在同一个平面上，在洗眼盆中间上方位置交汇。</w:t>
            </w:r>
          </w:p>
          <w:p w:rsidR="007900F6">
            <w:pPr>
              <w:numPr>
                <w:ilvl w:val="0"/>
                <w:numId w:val="35"/>
              </w:numPr>
              <w:autoSpaceDE w:val="0"/>
              <w:autoSpaceDN w:val="0"/>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不锈钢手推柄配100mm*100mm绿底白色洗眼符号牌.符号符合阿联酋法规；</w:t>
            </w:r>
          </w:p>
          <w:p w:rsidR="007900F6">
            <w:pPr>
              <w:numPr>
                <w:ilvl w:val="0"/>
                <w:numId w:val="35"/>
              </w:numPr>
              <w:autoSpaceDE w:val="0"/>
              <w:autoSpaceDN w:val="0"/>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主体1500mm以上管子处、或者可以贴在墙体上配200mm*300mm绿底白色洗眼符号塑料标。</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4"/>
              </w:numPr>
              <w:tabs>
                <w:tab w:val="left" w:pos="256"/>
              </w:tabs>
              <w:autoSpaceDE w:val="0"/>
              <w:autoSpaceDN w:val="0"/>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提供国家认可的第三方检测机构出具的包含1.管螺纹精度，2.螺纹表面，3.抗压强度，4.外观，5.启动开关灵活，6.水柱喷射高度，7.水流量。等7项检测项目的检测报告。产品荣获省级工业新产品证书，产品获得国家专利证书。</w:t>
            </w:r>
          </w:p>
        </w:tc>
      </w:tr>
      <w:tr>
        <w:tblPrEx>
          <w:tblW w:w="5000" w:type="pct"/>
          <w:jc w:val="center"/>
          <w:tblInd w:w="0" w:type="dxa"/>
          <w:tblLook w:val="0000"/>
        </w:tblPrEx>
        <w:trPr>
          <w:trHeight w:val="275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2.1</w:t>
            </w:r>
            <w:r>
              <w:rPr>
                <w:rFonts w:ascii="宋体" w:hAnsi="宋体" w:cs="宋体"/>
                <w:snapToGrid w:val="0"/>
                <w:kern w:val="0"/>
                <w:szCs w:val="21"/>
              </w:rPr>
              <w:t>4</w:t>
            </w:r>
            <w:r>
              <w:rPr>
                <w:rFonts w:ascii="宋体" w:hAnsi="宋体" w:cs="宋体" w:hint="eastAsia"/>
                <w:snapToGrid w:val="0"/>
                <w:kern w:val="0"/>
                <w:szCs w:val="21"/>
              </w:rPr>
              <w:t>万向排气罩（液相房）</w:t>
            </w:r>
          </w:p>
        </w:tc>
        <w:tc>
          <w:tcPr>
            <w:tcW w:w="3560" w:type="pct"/>
            <w:vAlign w:val="center"/>
          </w:tcPr>
          <w:p w:rsidR="007900F6">
            <w:pPr>
              <w:numPr>
                <w:ilvl w:val="0"/>
                <w:numId w:val="36"/>
              </w:numPr>
              <w:adjustRightInd w:val="0"/>
              <w:snapToGrid w:val="0"/>
              <w:spacing w:line="360" w:lineRule="auto"/>
              <w:jc w:val="left"/>
              <w:rPr>
                <w:rFonts w:ascii="宋体" w:hAnsi="宋体"/>
                <w:bCs/>
                <w:snapToGrid w:val="0"/>
                <w:kern w:val="0"/>
                <w:szCs w:val="21"/>
                <w:lang w:val="zh-TW" w:eastAsia="zh-TW"/>
              </w:rPr>
            </w:pPr>
          </w:p>
          <w:p w:rsidR="007900F6">
            <w:pPr>
              <w:numPr>
                <w:ilvl w:val="0"/>
                <w:numId w:val="37"/>
              </w:numPr>
              <w:adjustRightInd w:val="0"/>
              <w:snapToGrid w:val="0"/>
              <w:spacing w:line="360" w:lineRule="auto"/>
              <w:jc w:val="left"/>
              <w:rPr>
                <w:rFonts w:ascii="宋体" w:hAnsi="宋体"/>
                <w:bCs/>
                <w:snapToGrid w:val="0"/>
                <w:kern w:val="0"/>
                <w:szCs w:val="21"/>
                <w:lang w:val="zh-TW" w:eastAsia="zh-TW"/>
              </w:rPr>
            </w:pPr>
            <w:r>
              <w:rPr>
                <w:rFonts w:ascii="宋体" w:hAnsi="宋体"/>
                <w:bCs/>
                <w:snapToGrid w:val="0"/>
                <w:kern w:val="0"/>
                <w:szCs w:val="21"/>
                <w:lang w:val="zh-TW" w:eastAsia="zh-TW"/>
              </w:rPr>
              <w:t>PP材质，管道直径75mm，罩口直径：375mm；</w:t>
            </w:r>
            <w:r>
              <w:rPr>
                <w:rFonts w:ascii="宋体" w:hAnsi="宋体" w:cs="宋体" w:hint="eastAsia"/>
                <w:snapToGrid w:val="0"/>
                <w:kern w:val="0"/>
                <w:szCs w:val="21"/>
              </w:rPr>
              <w:t>罩口：拱型/杯型；顶部连接件铝合金360°旋转装置坚固耐用。</w:t>
            </w:r>
          </w:p>
          <w:p w:rsidR="007900F6">
            <w:pPr>
              <w:numPr>
                <w:ilvl w:val="0"/>
                <w:numId w:val="37"/>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集气罩：高密度PP/PC，罩口加装360°旋转装置，确保罩口能够360°旋转，做到无死角吸风。</w:t>
            </w:r>
          </w:p>
          <w:p w:rsidR="007900F6">
            <w:pPr>
              <w:numPr>
                <w:ilvl w:val="0"/>
                <w:numId w:val="37"/>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关节：高密度PP材质，可360°旋转调节方向，易拆卸、重组及清洗；关节密封圈：不易老化之高密度橡胶；关节连接杆：304不锈钢；关节松紧旋钮：全铜材质确保螺纹不滑丝，内嵌不锈钢轴承，与关节连接杆锁合</w:t>
            </w:r>
          </w:p>
          <w:p w:rsidR="007900F6">
            <w:pPr>
              <w:numPr>
                <w:ilvl w:val="0"/>
                <w:numId w:val="37"/>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气流调节阀：手动调节外部阀门旋钮，控制进入之气流量。</w:t>
            </w:r>
          </w:p>
          <w:p w:rsidR="007900F6">
            <w:pPr>
              <w:numPr>
                <w:ilvl w:val="0"/>
                <w:numId w:val="37"/>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覆盖范围：长度3.15，以固定架为中心最大活动半径可达2040mm 。 长度2.6米以固定架为中心最大活动半径可达1600mm伸缩导管75mm/110mm 改性PP。</w:t>
            </w:r>
          </w:p>
          <w:p w:rsidR="007900F6">
            <w:pPr>
              <w:numPr>
                <w:ilvl w:val="0"/>
                <w:numId w:val="37"/>
              </w:numPr>
              <w:adjustRightInd w:val="0"/>
              <w:snapToGrid w:val="0"/>
              <w:spacing w:line="360" w:lineRule="auto"/>
              <w:jc w:val="left"/>
              <w:rPr>
                <w:rFonts w:ascii="宋体" w:hAnsi="宋体"/>
                <w:bCs/>
                <w:snapToGrid w:val="0"/>
                <w:kern w:val="0"/>
                <w:szCs w:val="21"/>
                <w:lang w:val="zh-TW" w:eastAsia="zh-TW"/>
              </w:rPr>
            </w:pPr>
            <w:r>
              <w:rPr>
                <w:rFonts w:ascii="宋体" w:hAnsi="宋体" w:cs="宋体" w:hint="eastAsia"/>
                <w:snapToGrid w:val="0"/>
                <w:kern w:val="0"/>
                <w:szCs w:val="21"/>
              </w:rPr>
              <w:t>固定底座：为高密度PP材质，由模具注塑一体成型，非粘接而成，牢度强，不脱底。材质厚实，安装更方便，且安装后外观平整度高，光滑无凹凸，不易变形。</w:t>
            </w:r>
          </w:p>
        </w:tc>
      </w:tr>
      <w:tr>
        <w:tblPrEx>
          <w:tblW w:w="5000" w:type="pct"/>
          <w:jc w:val="center"/>
          <w:tblInd w:w="0" w:type="dxa"/>
          <w:tblLook w:val="0000"/>
        </w:tblPrEx>
        <w:trPr>
          <w:trHeight w:val="3552"/>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6"/>
              </w:numPr>
              <w:adjustRightInd w:val="0"/>
              <w:snapToGrid w:val="0"/>
              <w:spacing w:line="360" w:lineRule="auto"/>
              <w:jc w:val="left"/>
              <w:rPr>
                <w:rFonts w:ascii="宋体" w:hAnsi="宋体"/>
                <w:snapToGrid w:val="0"/>
                <w:kern w:val="0"/>
                <w:szCs w:val="21"/>
                <w:lang w:val="zh-TW" w:eastAsia="zh-TW"/>
              </w:rPr>
            </w:pPr>
            <w:r>
              <w:rPr>
                <w:rFonts w:ascii="宋体" w:hAnsi="宋体" w:hint="eastAsia"/>
                <w:snapToGrid w:val="0"/>
                <w:szCs w:val="21"/>
              </w:rPr>
              <w:t>▲</w:t>
            </w:r>
          </w:p>
          <w:p w:rsidR="007900F6">
            <w:pPr>
              <w:numPr>
                <w:ilvl w:val="0"/>
                <w:numId w:val="38"/>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符合欧盟标准  EN  ISO12100:2010 认证标准。</w:t>
            </w:r>
          </w:p>
          <w:p w:rsidR="007900F6">
            <w:pPr>
              <w:numPr>
                <w:ilvl w:val="0"/>
                <w:numId w:val="38"/>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常温下，经30%的硫酸、30%的盐酸、30%的氢氧化钠、甲苯、乙醚试剂中各48小时，样品应无变化。</w:t>
            </w:r>
          </w:p>
          <w:p w:rsidR="007900F6">
            <w:pPr>
              <w:numPr>
                <w:ilvl w:val="0"/>
                <w:numId w:val="38"/>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常温下，经0.5J冲击试验3次后，任一部件不应有破裂等影响强度的现象</w:t>
            </w:r>
          </w:p>
          <w:p w:rsidR="007900F6">
            <w:pPr>
              <w:numPr>
                <w:ilvl w:val="0"/>
                <w:numId w:val="38"/>
              </w:numPr>
              <w:adjustRightInd w:val="0"/>
              <w:snapToGrid w:val="0"/>
              <w:spacing w:line="360" w:lineRule="auto"/>
              <w:jc w:val="left"/>
              <w:rPr>
                <w:rFonts w:ascii="宋体" w:hAnsi="宋体"/>
                <w:snapToGrid w:val="0"/>
                <w:kern w:val="0"/>
                <w:szCs w:val="21"/>
                <w:lang w:val="zh-TW"/>
              </w:rPr>
            </w:pPr>
            <w:r>
              <w:rPr>
                <w:rFonts w:ascii="宋体" w:hAnsi="宋体" w:cs="宋体" w:hint="eastAsia"/>
                <w:snapToGrid w:val="0"/>
                <w:kern w:val="0"/>
                <w:szCs w:val="21"/>
              </w:rPr>
              <w:t>提供FCC认证证书。</w:t>
            </w:r>
          </w:p>
          <w:p w:rsidR="007900F6">
            <w:pPr>
              <w:numPr>
                <w:ilvl w:val="0"/>
                <w:numId w:val="38"/>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依据BS EN ISO 5167-1:2003进行静压差试验：当排风量为255m3/h时上游平均静压为253Pa，下游平均静压为477Pa，平均静压差为224Pa。</w:t>
            </w:r>
          </w:p>
          <w:p w:rsidR="007900F6">
            <w:pPr>
              <w:adjustRightInd w:val="0"/>
              <w:snapToGrid w:val="0"/>
              <w:spacing w:line="360" w:lineRule="auto"/>
              <w:jc w:val="left"/>
              <w:rPr>
                <w:rFonts w:ascii="宋体" w:hAnsi="宋体"/>
                <w:snapToGrid w:val="0"/>
                <w:kern w:val="0"/>
                <w:szCs w:val="21"/>
                <w:lang w:val="zh-TW" w:eastAsia="zh-TW"/>
              </w:rPr>
            </w:pPr>
            <w:r>
              <w:rPr>
                <w:rFonts w:ascii="宋体" w:hAnsi="宋体" w:cs="Arial Unicode MS"/>
                <w:snapToGrid w:val="0"/>
                <w:kern w:val="0"/>
                <w:szCs w:val="21"/>
              </w:rPr>
              <w:t>参与投标的厂家需提供满足以上要求的</w:t>
            </w:r>
            <w:r>
              <w:rPr>
                <w:rFonts w:ascii="宋体" w:hAnsi="宋体" w:cs="Arial Unicode MS" w:hint="eastAsia"/>
                <w:snapToGrid w:val="0"/>
                <w:kern w:val="0"/>
                <w:szCs w:val="21"/>
              </w:rPr>
              <w:t>有效期内</w:t>
            </w:r>
            <w:r>
              <w:rPr>
                <w:rFonts w:ascii="宋体" w:hAnsi="宋体" w:cs="Arial Unicode MS"/>
                <w:snapToGrid w:val="0"/>
                <w:kern w:val="0"/>
                <w:szCs w:val="21"/>
              </w:rPr>
              <w:t>相应</w:t>
            </w:r>
            <w:r>
              <w:rPr>
                <w:rFonts w:ascii="宋体" w:hAnsi="宋体" w:cs="Arial Unicode MS" w:hint="eastAsia"/>
                <w:snapToGrid w:val="0"/>
                <w:kern w:val="0"/>
                <w:szCs w:val="21"/>
              </w:rPr>
              <w:t>报告</w:t>
            </w:r>
            <w:r>
              <w:rPr>
                <w:rFonts w:ascii="宋体" w:hAnsi="宋体" w:cs="Arial Unicode MS"/>
                <w:snapToGrid w:val="0"/>
                <w:kern w:val="0"/>
                <w:szCs w:val="21"/>
              </w:rPr>
              <w:t>证书复印件用于佐证</w:t>
            </w:r>
            <w:r>
              <w:rPr>
                <w:rFonts w:ascii="宋体" w:hAnsi="宋体" w:cs="Arial Unicode MS" w:hint="eastAsia"/>
                <w:snapToGrid w:val="0"/>
                <w:kern w:val="0"/>
                <w:szCs w:val="21"/>
              </w:rPr>
              <w:t>，原件备查。</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6"/>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投标提供国内保险公司产品承保合同复印件并加盖生产厂家公章。产品获得国家专利证书。该产品公司具有高新技术企业证书。</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2.1</w:t>
            </w:r>
            <w:r>
              <w:rPr>
                <w:rFonts w:ascii="宋体" w:hAnsi="宋体" w:cs="宋体"/>
                <w:snapToGrid w:val="0"/>
                <w:kern w:val="0"/>
                <w:szCs w:val="21"/>
              </w:rPr>
              <w:t>5</w:t>
            </w:r>
            <w:r>
              <w:rPr>
                <w:rFonts w:ascii="宋体" w:hAnsi="宋体" w:cs="宋体" w:hint="eastAsia"/>
                <w:snapToGrid w:val="0"/>
                <w:kern w:val="0"/>
                <w:szCs w:val="21"/>
              </w:rPr>
              <w:t>污水处理泵托盘</w:t>
            </w:r>
          </w:p>
        </w:tc>
        <w:tc>
          <w:tcPr>
            <w:tcW w:w="3560" w:type="pct"/>
            <w:vAlign w:val="center"/>
          </w:tcPr>
          <w:p w:rsidR="007900F6">
            <w:p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2.15.1 材质：采用5mmPP板焊成一体形。</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2.1</w:t>
            </w:r>
            <w:r>
              <w:rPr>
                <w:rFonts w:ascii="宋体" w:hAnsi="宋体" w:cs="宋体"/>
                <w:snapToGrid w:val="0"/>
                <w:kern w:val="0"/>
                <w:szCs w:val="21"/>
              </w:rPr>
              <w:t>6</w:t>
            </w:r>
            <w:r>
              <w:rPr>
                <w:rFonts w:ascii="宋体" w:hAnsi="宋体" w:cs="宋体" w:hint="eastAsia"/>
                <w:snapToGrid w:val="0"/>
                <w:kern w:val="0"/>
                <w:szCs w:val="21"/>
              </w:rPr>
              <w:t>活动台（仪器室2）</w:t>
            </w:r>
            <w:r>
              <w:rPr>
                <w:rFonts w:ascii="宋体" w:hAnsi="宋体" w:cs="宋体" w:hint="eastAsia"/>
                <w:snapToGrid w:val="0"/>
                <w:kern w:val="0"/>
                <w:szCs w:val="21"/>
                <w:highlight w:val="cyan"/>
              </w:rPr>
              <w:t>＆不锈钢支架</w:t>
            </w:r>
          </w:p>
        </w:tc>
        <w:tc>
          <w:tcPr>
            <w:tcW w:w="3560" w:type="pct"/>
            <w:vAlign w:val="center"/>
          </w:tcPr>
          <w:p w:rsidR="007900F6">
            <w:p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lang w:val="zh-TW"/>
              </w:rPr>
              <w:t>2.16.1 活动台数量2个，尺寸：长*宽*高：</w:t>
            </w:r>
            <w:r>
              <w:rPr>
                <w:rFonts w:ascii="宋体" w:hAnsi="宋体" w:cs="Arial Unicode MS" w:hint="eastAsia"/>
                <w:snapToGrid w:val="0"/>
                <w:kern w:val="0"/>
                <w:szCs w:val="21"/>
              </w:rPr>
              <w:t>80*60</w:t>
            </w:r>
            <w:r>
              <w:rPr>
                <w:rFonts w:ascii="宋体" w:hAnsi="宋体" w:cs="Arial Unicode MS"/>
                <w:snapToGrid w:val="0"/>
                <w:kern w:val="0"/>
                <w:szCs w:val="21"/>
              </w:rPr>
              <w:t>*</w:t>
            </w:r>
            <w:r>
              <w:rPr>
                <w:rFonts w:ascii="宋体" w:hAnsi="宋体" w:cs="Arial Unicode MS" w:hint="eastAsia"/>
                <w:snapToGrid w:val="0"/>
                <w:kern w:val="0"/>
                <w:szCs w:val="21"/>
              </w:rPr>
              <w:t>70cm，</w:t>
            </w:r>
            <w:r>
              <w:rPr>
                <w:rFonts w:ascii="宋体" w:hAnsi="宋体" w:cs="宋体" w:hint="eastAsia"/>
                <w:snapToGrid w:val="0"/>
                <w:kern w:val="0"/>
                <w:szCs w:val="21"/>
              </w:rPr>
              <w:t>材质：全钢材质，底部带有四个活动轮。</w:t>
            </w:r>
          </w:p>
          <w:p w:rsidR="007900F6">
            <w:pPr>
              <w:adjustRightInd w:val="0"/>
              <w:snapToGrid w:val="0"/>
              <w:spacing w:line="360" w:lineRule="auto"/>
              <w:jc w:val="left"/>
              <w:rPr>
                <w:rFonts w:ascii="宋体" w:hAnsi="宋体"/>
                <w:b/>
                <w:snapToGrid w:val="0"/>
                <w:kern w:val="0"/>
                <w:szCs w:val="21"/>
              </w:rPr>
            </w:pPr>
            <w:r>
              <w:rPr>
                <w:rFonts w:ascii="宋体" w:hAnsi="宋体"/>
                <w:snapToGrid w:val="0"/>
                <w:kern w:val="0"/>
                <w:szCs w:val="21"/>
                <w:highlight w:val="cyan"/>
                <w:lang w:eastAsia="zh-TW"/>
              </w:rPr>
              <w:t>2</w:t>
            </w:r>
            <w:r>
              <w:rPr>
                <w:rFonts w:ascii="宋体" w:hAnsi="宋体" w:hint="eastAsia"/>
                <w:snapToGrid w:val="0"/>
                <w:kern w:val="0"/>
                <w:szCs w:val="21"/>
                <w:highlight w:val="cyan"/>
              </w:rPr>
              <w:t>.</w:t>
            </w:r>
            <w:r>
              <w:rPr>
                <w:rFonts w:ascii="宋体" w:hAnsi="宋体"/>
                <w:snapToGrid w:val="0"/>
                <w:kern w:val="0"/>
                <w:szCs w:val="21"/>
                <w:highlight w:val="cyan"/>
                <w:lang w:eastAsia="zh-TW"/>
              </w:rPr>
              <w:t>16</w:t>
            </w:r>
            <w:r>
              <w:rPr>
                <w:rFonts w:ascii="宋体" w:hAnsi="宋体" w:hint="eastAsia"/>
                <w:snapToGrid w:val="0"/>
                <w:kern w:val="0"/>
                <w:szCs w:val="21"/>
                <w:highlight w:val="cyan"/>
              </w:rPr>
              <w:t>.</w:t>
            </w:r>
            <w:r>
              <w:rPr>
                <w:rFonts w:ascii="宋体" w:hAnsi="宋体"/>
                <w:snapToGrid w:val="0"/>
                <w:kern w:val="0"/>
                <w:szCs w:val="21"/>
                <w:highlight w:val="cyan"/>
                <w:lang w:eastAsia="zh-TW"/>
              </w:rPr>
              <w:t xml:space="preserve">2 </w:t>
            </w:r>
            <w:r>
              <w:rPr>
                <w:rFonts w:ascii="宋体" w:hAnsi="宋体" w:hint="eastAsia"/>
                <w:snapToGrid w:val="0"/>
                <w:kern w:val="0"/>
                <w:szCs w:val="21"/>
                <w:highlight w:val="cyan"/>
              </w:rPr>
              <w:t>不锈钢支架数量1个，用于放置制冰机。</w:t>
            </w:r>
            <w:r>
              <w:rPr>
                <w:rFonts w:ascii="宋体" w:hAnsi="宋体" w:cs="宋体" w:hint="eastAsia"/>
                <w:snapToGrid w:val="0"/>
                <w:kern w:val="0"/>
                <w:szCs w:val="21"/>
                <w:highlight w:val="cyan"/>
              </w:rPr>
              <w:t>材质：不锈钢材质。（</w:t>
            </w:r>
            <w:r>
              <w:rPr>
                <w:rFonts w:ascii="宋体" w:hAnsi="宋体" w:hint="eastAsia"/>
                <w:snapToGrid w:val="0"/>
                <w:kern w:val="0"/>
                <w:szCs w:val="21"/>
                <w:highlight w:val="cyan"/>
                <w:lang w:val="zh-TW"/>
              </w:rPr>
              <w:t>尺寸约：长*宽*高：</w:t>
            </w:r>
            <w:r>
              <w:rPr>
                <w:rFonts w:ascii="宋体" w:hAnsi="宋体" w:cs="Arial Unicode MS" w:hint="eastAsia"/>
                <w:snapToGrid w:val="0"/>
                <w:kern w:val="0"/>
                <w:szCs w:val="21"/>
                <w:highlight w:val="cyan"/>
              </w:rPr>
              <w:t>70*70</w:t>
            </w:r>
            <w:r>
              <w:rPr>
                <w:rFonts w:ascii="宋体" w:hAnsi="宋体" w:cs="Arial Unicode MS"/>
                <w:snapToGrid w:val="0"/>
                <w:kern w:val="0"/>
                <w:szCs w:val="21"/>
                <w:highlight w:val="cyan"/>
              </w:rPr>
              <w:t>*6</w:t>
            </w:r>
            <w:r>
              <w:rPr>
                <w:rFonts w:ascii="宋体" w:hAnsi="宋体" w:cs="Arial Unicode MS" w:hint="eastAsia"/>
                <w:snapToGrid w:val="0"/>
                <w:kern w:val="0"/>
                <w:szCs w:val="21"/>
                <w:highlight w:val="cyan"/>
              </w:rPr>
              <w:t>0cm，</w:t>
            </w:r>
            <w:r>
              <w:rPr>
                <w:rFonts w:ascii="宋体" w:hAnsi="宋体" w:cs="宋体" w:hint="eastAsia"/>
                <w:snapToGrid w:val="0"/>
                <w:kern w:val="0"/>
                <w:szCs w:val="21"/>
                <w:highlight w:val="cyan"/>
              </w:rPr>
              <w:t>尺寸以现场测量为准）</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2.1</w:t>
            </w:r>
            <w:r>
              <w:rPr>
                <w:rFonts w:ascii="宋体" w:hAnsi="宋体" w:cs="宋体"/>
                <w:snapToGrid w:val="0"/>
                <w:kern w:val="0"/>
                <w:szCs w:val="21"/>
              </w:rPr>
              <w:t>7</w:t>
            </w:r>
            <w:r>
              <w:rPr>
                <w:rFonts w:ascii="宋体" w:hAnsi="宋体" w:cs="宋体" w:hint="eastAsia"/>
                <w:snapToGrid w:val="0"/>
                <w:kern w:val="0"/>
                <w:szCs w:val="21"/>
              </w:rPr>
              <w:t>气瓶柜</w:t>
            </w:r>
          </w:p>
        </w:tc>
        <w:tc>
          <w:tcPr>
            <w:tcW w:w="3560" w:type="pct"/>
            <w:vAlign w:val="center"/>
          </w:tcPr>
          <w:p w:rsidR="007900F6">
            <w:pPr>
              <w:widowControl/>
              <w:numPr>
                <w:ilvl w:val="0"/>
                <w:numId w:val="39"/>
              </w:numPr>
              <w:adjustRightInd w:val="0"/>
              <w:snapToGrid w:val="0"/>
              <w:spacing w:line="360" w:lineRule="auto"/>
              <w:jc w:val="left"/>
              <w:rPr>
                <w:rFonts w:ascii="宋体" w:hAnsi="宋体" w:cs="宋体"/>
                <w:snapToGrid w:val="0"/>
                <w:kern w:val="0"/>
                <w:szCs w:val="21"/>
              </w:rPr>
            </w:pPr>
          </w:p>
          <w:p w:rsidR="007900F6">
            <w:pPr>
              <w:widowControl/>
              <w:numPr>
                <w:ilvl w:val="0"/>
                <w:numId w:val="4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主要用途：易燃易爆气体钢瓶存放。</w:t>
            </w:r>
          </w:p>
          <w:p w:rsidR="007900F6">
            <w:pPr>
              <w:widowControl/>
              <w:numPr>
                <w:ilvl w:val="0"/>
                <w:numId w:val="4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规格要求：柜体采用厚度1.0mm冷轧钢板制作，内外面均经环氧树酯粉末静电喷涂。</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39"/>
              </w:numPr>
              <w:adjustRightInd w:val="0"/>
              <w:snapToGrid w:val="0"/>
              <w:spacing w:line="360" w:lineRule="auto"/>
              <w:jc w:val="left"/>
              <w:rPr>
                <w:rFonts w:ascii="宋体" w:hAnsi="宋体"/>
                <w:snapToGrid w:val="0"/>
                <w:kern w:val="0"/>
                <w:szCs w:val="21"/>
                <w:lang w:val="zh-TW" w:eastAsia="zh-TW"/>
              </w:rPr>
            </w:pPr>
            <w:r>
              <w:rPr>
                <w:rFonts w:ascii="宋体" w:hAnsi="宋体" w:cs="Arial Unicode MS" w:hint="eastAsia"/>
                <w:snapToGrid w:val="0"/>
                <w:kern w:val="0"/>
                <w:szCs w:val="21"/>
              </w:rPr>
              <w:t>把手采用钢质镀铬旋柄式把手，门把具上中下三点式插梢以确保门片锁合强度，并附锁。柜内配置有功能架，可方便安装气体减压阀，且配备有钢链以固定气瓶。柜体地板超过30mm的，配防滑脚垫。柜体顶置板带通透孔，在柜体内外均有相应孔洞矩阵，用于内外连通管道和电线，可与通风系统对接。</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widowControl/>
              <w:numPr>
                <w:ilvl w:val="0"/>
                <w:numId w:val="3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地脚：水平可调地脚高度0—50mm。</w:t>
            </w:r>
          </w:p>
          <w:p w:rsidR="007900F6">
            <w:pPr>
              <w:widowControl/>
              <w:numPr>
                <w:ilvl w:val="0"/>
                <w:numId w:val="41"/>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柜子内外都喷涂有耐腐无铅环氧树脂漆；</w:t>
            </w:r>
          </w:p>
          <w:p w:rsidR="007900F6">
            <w:pPr>
              <w:numPr>
                <w:ilvl w:val="0"/>
                <w:numId w:val="41"/>
              </w:numPr>
              <w:adjustRightInd w:val="0"/>
              <w:snapToGrid w:val="0"/>
              <w:spacing w:line="360" w:lineRule="auto"/>
              <w:jc w:val="left"/>
              <w:rPr>
                <w:rFonts w:ascii="宋体" w:hAnsi="宋体"/>
                <w:snapToGrid w:val="0"/>
                <w:kern w:val="0"/>
                <w:szCs w:val="21"/>
                <w:lang w:val="zh-TW" w:eastAsia="zh-TW"/>
              </w:rPr>
            </w:pPr>
            <w:r>
              <w:rPr>
                <w:rFonts w:ascii="宋体" w:hAnsi="宋体" w:cs="Arial Unicode MS" w:hint="eastAsia"/>
                <w:snapToGrid w:val="0"/>
                <w:kern w:val="0"/>
                <w:szCs w:val="21"/>
              </w:rPr>
              <w:t>柜身设有静电接地传导端口，方便连接静电接地导线。</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bCs/>
                <w:snapToGrid w:val="0"/>
                <w:kern w:val="0"/>
                <w:szCs w:val="21"/>
              </w:rPr>
            </w:pPr>
            <w:r>
              <w:rPr>
                <w:rFonts w:ascii="宋体" w:hAnsi="宋体" w:hint="eastAsia"/>
                <w:bCs/>
                <w:snapToGrid w:val="0"/>
                <w:kern w:val="0"/>
                <w:szCs w:val="21"/>
              </w:rPr>
              <w:t>2.18办公卡座</w:t>
            </w:r>
          </w:p>
        </w:tc>
        <w:tc>
          <w:tcPr>
            <w:tcW w:w="3560" w:type="pct"/>
            <w:vAlign w:val="center"/>
          </w:tcPr>
          <w:p w:rsidR="007900F6">
            <w:pPr>
              <w:widowControl/>
              <w:tabs>
                <w:tab w:val="left" w:pos="360"/>
              </w:tabs>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2.18.1</w:t>
            </w:r>
            <w:r>
              <w:rPr>
                <w:rFonts w:ascii="宋体" w:hAnsi="宋体"/>
                <w:snapToGrid w:val="0"/>
                <w:kern w:val="0"/>
                <w:szCs w:val="21"/>
              </w:rPr>
              <w:t xml:space="preserve"> </w:t>
            </w:r>
            <w:r>
              <w:rPr>
                <w:rFonts w:ascii="宋体" w:hAnsi="宋体" w:hint="eastAsia"/>
                <w:snapToGrid w:val="0"/>
                <w:kern w:val="0"/>
                <w:szCs w:val="21"/>
              </w:rPr>
              <w:t>卡座要求：</w:t>
            </w:r>
            <w:r>
              <w:rPr>
                <w:rFonts w:ascii="宋体" w:hAnsi="宋体"/>
                <w:snapToGrid w:val="0"/>
                <w:kern w:val="0"/>
                <w:szCs w:val="21"/>
              </w:rPr>
              <w:t>100*0.6cm，两张拼在一起</w:t>
            </w:r>
            <w:r>
              <w:rPr>
                <w:rFonts w:ascii="宋体" w:hAnsi="宋体" w:hint="eastAsia"/>
                <w:snapToGrid w:val="0"/>
                <w:kern w:val="0"/>
                <w:szCs w:val="21"/>
              </w:rPr>
              <w:t>为一排，共</w:t>
            </w:r>
            <w:r>
              <w:rPr>
                <w:rFonts w:ascii="宋体" w:hAnsi="宋体"/>
                <w:snapToGrid w:val="0"/>
                <w:kern w:val="0"/>
                <w:szCs w:val="21"/>
              </w:rPr>
              <w:t>7</w:t>
            </w:r>
            <w:r>
              <w:rPr>
                <w:rFonts w:ascii="宋体" w:hAnsi="宋体" w:hint="eastAsia"/>
                <w:snapToGrid w:val="0"/>
                <w:kern w:val="0"/>
                <w:szCs w:val="21"/>
              </w:rPr>
              <w:t>排。桌面选用</w:t>
            </w:r>
            <w:r>
              <w:rPr>
                <w:rFonts w:ascii="宋体" w:hAnsi="宋体"/>
                <w:snapToGrid w:val="0"/>
                <w:kern w:val="0"/>
                <w:szCs w:val="21"/>
              </w:rPr>
              <w:t>19mm</w:t>
            </w:r>
            <w:r>
              <w:rPr>
                <w:rFonts w:ascii="宋体" w:hAnsi="宋体" w:hint="eastAsia"/>
                <w:snapToGrid w:val="0"/>
                <w:kern w:val="0"/>
                <w:szCs w:val="21"/>
              </w:rPr>
              <w:t>实木</w:t>
            </w:r>
            <w:r>
              <w:rPr>
                <w:rFonts w:ascii="宋体" w:hAnsi="宋体"/>
                <w:snapToGrid w:val="0"/>
                <w:kern w:val="0"/>
                <w:szCs w:val="21"/>
              </w:rPr>
              <w:t>板</w:t>
            </w:r>
            <w:r>
              <w:rPr>
                <w:rFonts w:ascii="宋体" w:hAnsi="宋体" w:hint="eastAsia"/>
                <w:snapToGrid w:val="0"/>
                <w:kern w:val="0"/>
                <w:szCs w:val="21"/>
              </w:rPr>
              <w:t>，带吊柜的桌子+抽屉+办公椅。卡座窗户旁加上灰色墙体，用于安装网线接口和插座。</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Align w:val="center"/>
          </w:tcPr>
          <w:p w:rsidR="007900F6">
            <w:pPr>
              <w:adjustRightInd w:val="0"/>
              <w:snapToGrid w:val="0"/>
              <w:spacing w:line="360" w:lineRule="auto"/>
              <w:jc w:val="left"/>
              <w:rPr>
                <w:rFonts w:ascii="宋体" w:hAnsi="宋体"/>
                <w:bCs/>
                <w:snapToGrid w:val="0"/>
                <w:kern w:val="0"/>
                <w:szCs w:val="21"/>
              </w:rPr>
            </w:pPr>
            <w:r>
              <w:rPr>
                <w:rFonts w:ascii="宋体" w:hAnsi="宋体" w:hint="eastAsia"/>
                <w:bCs/>
                <w:snapToGrid w:val="0"/>
                <w:kern w:val="0"/>
                <w:szCs w:val="21"/>
              </w:rPr>
              <w:t>2.1</w:t>
            </w:r>
            <w:r>
              <w:rPr>
                <w:rFonts w:ascii="宋体" w:hAnsi="宋体"/>
                <w:bCs/>
                <w:snapToGrid w:val="0"/>
                <w:kern w:val="0"/>
                <w:szCs w:val="21"/>
              </w:rPr>
              <w:t>9</w:t>
            </w:r>
            <w:r>
              <w:rPr>
                <w:rFonts w:ascii="宋体" w:hAnsi="宋体" w:hint="eastAsia"/>
                <w:bCs/>
                <w:snapToGrid w:val="0"/>
                <w:kern w:val="0"/>
                <w:szCs w:val="21"/>
              </w:rPr>
              <w:t>窗帘</w:t>
            </w:r>
          </w:p>
        </w:tc>
        <w:tc>
          <w:tcPr>
            <w:tcW w:w="3560" w:type="pct"/>
            <w:vAlign w:val="center"/>
          </w:tcPr>
          <w:p w:rsidR="007900F6">
            <w:pPr>
              <w:widowControl/>
              <w:tabs>
                <w:tab w:val="left" w:pos="360"/>
              </w:tabs>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2.19.1 遮光度好（颜色需与业主确认）</w:t>
            </w:r>
          </w:p>
        </w:tc>
      </w:tr>
      <w:tr>
        <w:tblPrEx>
          <w:tblW w:w="5000" w:type="pct"/>
          <w:jc w:val="center"/>
          <w:tblInd w:w="0" w:type="dxa"/>
          <w:tblLook w:val="0000"/>
        </w:tblPrEx>
        <w:trPr>
          <w:trHeight w:val="769"/>
          <w:jc w:val="center"/>
        </w:trPr>
        <w:tc>
          <w:tcPr>
            <w:tcW w:w="728"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hint="eastAsia"/>
                <w:bCs/>
                <w:snapToGrid w:val="0"/>
                <w:kern w:val="0"/>
                <w:szCs w:val="21"/>
              </w:rPr>
              <w:t>3.电气系统</w:t>
            </w:r>
          </w:p>
        </w:tc>
        <w:tc>
          <w:tcPr>
            <w:tcW w:w="712" w:type="pct"/>
            <w:vMerge w:val="restart"/>
            <w:vAlign w:val="center"/>
          </w:tcPr>
          <w:p w:rsidR="007900F6">
            <w:pPr>
              <w:adjustRightInd w:val="0"/>
              <w:snapToGrid w:val="0"/>
              <w:spacing w:line="360" w:lineRule="auto"/>
              <w:jc w:val="left"/>
              <w:rPr>
                <w:rFonts w:ascii="宋体" w:hAnsi="宋体"/>
                <w:b/>
                <w:bCs/>
                <w:snapToGrid w:val="0"/>
                <w:kern w:val="0"/>
                <w:szCs w:val="21"/>
              </w:rPr>
            </w:pPr>
            <w:r>
              <w:rPr>
                <w:rFonts w:ascii="宋体" w:hAnsi="宋体" w:hint="eastAsia"/>
                <w:b/>
                <w:bCs/>
                <w:snapToGrid w:val="0"/>
                <w:kern w:val="0"/>
                <w:szCs w:val="21"/>
              </w:rPr>
              <w:t>3.1供电设计要求</w:t>
            </w:r>
          </w:p>
        </w:tc>
        <w:tc>
          <w:tcPr>
            <w:tcW w:w="3560" w:type="pct"/>
            <w:vAlign w:val="center"/>
          </w:tcPr>
          <w:p w:rsidR="007900F6">
            <w:pPr>
              <w:numPr>
                <w:ilvl w:val="0"/>
                <w:numId w:val="42"/>
              </w:numPr>
              <w:adjustRightInd w:val="0"/>
              <w:snapToGrid w:val="0"/>
              <w:spacing w:line="360" w:lineRule="auto"/>
              <w:jc w:val="left"/>
              <w:rPr>
                <w:rFonts w:ascii="宋体" w:hAnsi="宋体"/>
                <w:snapToGrid w:val="0"/>
                <w:kern w:val="0"/>
                <w:szCs w:val="21"/>
              </w:rPr>
            </w:pPr>
            <w:r>
              <w:rPr>
                <w:rFonts w:ascii="宋体" w:hAnsi="宋体" w:hint="eastAsia"/>
                <w:b/>
                <w:bCs/>
                <w:snapToGrid w:val="0"/>
                <w:szCs w:val="21"/>
                <w:highlight w:val="green"/>
              </w:rPr>
              <w:t>▲</w:t>
            </w:r>
          </w:p>
          <w:p w:rsidR="007900F6">
            <w:pPr>
              <w:numPr>
                <w:ilvl w:val="0"/>
                <w:numId w:val="43"/>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仪器室1~</w:t>
            </w:r>
            <w:r>
              <w:rPr>
                <w:rFonts w:ascii="宋体" w:hAnsi="宋体"/>
                <w:snapToGrid w:val="0"/>
                <w:kern w:val="0"/>
                <w:szCs w:val="21"/>
              </w:rPr>
              <w:t>3</w:t>
            </w:r>
            <w:r>
              <w:rPr>
                <w:rFonts w:ascii="宋体" w:hAnsi="宋体" w:hint="eastAsia"/>
                <w:snapToGrid w:val="0"/>
                <w:kern w:val="0"/>
                <w:szCs w:val="21"/>
              </w:rPr>
              <w:t>、细胞室所有供电，需通过稳压器后供电；公共办公区域中，除靠窗的卡座的插座、照明以外，均需通过稳压器后供电；屋顶空调处理机组无需稳压器供电；稳压器输出精度，为±3%。</w:t>
            </w:r>
          </w:p>
          <w:p w:rsidR="007900F6">
            <w:pPr>
              <w:numPr>
                <w:ilvl w:val="0"/>
                <w:numId w:val="43"/>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中央实验台</w:t>
            </w:r>
            <w:r>
              <w:rPr>
                <w:rFonts w:ascii="宋体" w:hAnsi="宋体"/>
                <w:snapToGrid w:val="0"/>
                <w:kern w:val="0"/>
                <w:szCs w:val="21"/>
              </w:rPr>
              <w:t>需要能</w:t>
            </w:r>
            <w:r>
              <w:rPr>
                <w:rFonts w:ascii="宋体" w:hAnsi="宋体" w:hint="eastAsia"/>
                <w:snapToGrid w:val="0"/>
                <w:kern w:val="0"/>
                <w:szCs w:val="21"/>
              </w:rPr>
              <w:t>单独</w:t>
            </w:r>
            <w:r>
              <w:rPr>
                <w:rFonts w:ascii="宋体" w:hAnsi="宋体"/>
                <w:snapToGrid w:val="0"/>
                <w:kern w:val="0"/>
                <w:szCs w:val="21"/>
              </w:rPr>
              <w:t>控制一排</w:t>
            </w:r>
            <w:r>
              <w:rPr>
                <w:rFonts w:ascii="宋体" w:hAnsi="宋体" w:hint="eastAsia"/>
                <w:snapToGrid w:val="0"/>
                <w:kern w:val="0"/>
                <w:szCs w:val="21"/>
              </w:rPr>
              <w:t>实验台</w:t>
            </w:r>
            <w:r>
              <w:rPr>
                <w:rFonts w:ascii="宋体" w:hAnsi="宋体"/>
                <w:snapToGrid w:val="0"/>
                <w:kern w:val="0"/>
                <w:szCs w:val="21"/>
              </w:rPr>
              <w:t>的电闸</w:t>
            </w:r>
            <w:r>
              <w:rPr>
                <w:rFonts w:ascii="宋体" w:hAnsi="宋体" w:hint="eastAsia"/>
                <w:snapToGrid w:val="0"/>
                <w:kern w:val="0"/>
                <w:szCs w:val="21"/>
              </w:rPr>
              <w:t>。</w:t>
            </w:r>
          </w:p>
          <w:p w:rsidR="007900F6">
            <w:pPr>
              <w:numPr>
                <w:ilvl w:val="0"/>
                <w:numId w:val="43"/>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每个房间</w:t>
            </w:r>
            <w:r>
              <w:rPr>
                <w:rFonts w:ascii="宋体" w:hAnsi="宋体"/>
                <w:snapToGrid w:val="0"/>
                <w:kern w:val="0"/>
                <w:szCs w:val="21"/>
              </w:rPr>
              <w:t>需要能</w:t>
            </w:r>
            <w:r>
              <w:rPr>
                <w:rFonts w:ascii="宋体" w:hAnsi="宋体" w:hint="eastAsia"/>
                <w:snapToGrid w:val="0"/>
                <w:kern w:val="0"/>
                <w:szCs w:val="21"/>
              </w:rPr>
              <w:t>单独</w:t>
            </w:r>
            <w:r>
              <w:rPr>
                <w:rFonts w:ascii="宋体" w:hAnsi="宋体"/>
                <w:snapToGrid w:val="0"/>
                <w:kern w:val="0"/>
                <w:szCs w:val="21"/>
              </w:rPr>
              <w:t>控制</w:t>
            </w:r>
            <w:r>
              <w:rPr>
                <w:rFonts w:ascii="宋体" w:hAnsi="宋体" w:hint="eastAsia"/>
                <w:snapToGrid w:val="0"/>
                <w:kern w:val="0"/>
                <w:szCs w:val="21"/>
              </w:rPr>
              <w:t>一个房间用电</w:t>
            </w:r>
            <w:r>
              <w:rPr>
                <w:rFonts w:ascii="宋体" w:hAnsi="宋体"/>
                <w:snapToGrid w:val="0"/>
                <w:kern w:val="0"/>
                <w:szCs w:val="21"/>
              </w:rPr>
              <w:t>的电闸</w:t>
            </w:r>
            <w:r>
              <w:rPr>
                <w:rFonts w:ascii="宋体" w:hAnsi="宋体" w:hint="eastAsia"/>
                <w:snapToGrid w:val="0"/>
                <w:kern w:val="0"/>
                <w:szCs w:val="21"/>
              </w:rPr>
              <w:t>。</w:t>
            </w:r>
          </w:p>
          <w:p w:rsidR="007900F6">
            <w:pPr>
              <w:numPr>
                <w:ilvl w:val="0"/>
                <w:numId w:val="43"/>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shd w:val="clear" w:color="auto" w:fill="9BBB59"/>
              </w:rPr>
              <w:t>所有的插座都要接地线。</w:t>
            </w:r>
          </w:p>
          <w:p w:rsidR="007900F6">
            <w:pPr>
              <w:adjustRightInd w:val="0"/>
              <w:snapToGrid w:val="0"/>
              <w:spacing w:line="360" w:lineRule="auto"/>
              <w:jc w:val="left"/>
              <w:rPr>
                <w:rFonts w:ascii="宋体" w:hAnsi="宋体"/>
                <w:b/>
                <w:bCs/>
                <w:snapToGrid w:val="0"/>
                <w:szCs w:val="21"/>
              </w:rPr>
            </w:pPr>
            <w:r>
              <w:rPr>
                <w:rFonts w:ascii="宋体" w:hAnsi="宋体" w:hint="eastAsia"/>
                <w:b/>
                <w:bCs/>
                <w:snapToGrid w:val="0"/>
                <w:szCs w:val="21"/>
              </w:rPr>
              <w:t>电源稳压器：</w:t>
            </w:r>
          </w:p>
          <w:p w:rsidR="007900F6">
            <w:pPr>
              <w:numPr>
                <w:ilvl w:val="0"/>
                <w:numId w:val="44"/>
              </w:numPr>
              <w:snapToGrid w:val="0"/>
              <w:spacing w:line="360" w:lineRule="auto"/>
              <w:jc w:val="left"/>
              <w:rPr>
                <w:rFonts w:ascii="宋体" w:hAnsi="宋体"/>
                <w:snapToGrid w:val="0"/>
                <w:szCs w:val="21"/>
              </w:rPr>
            </w:pPr>
            <w:r>
              <w:rPr>
                <w:rFonts w:ascii="宋体" w:hAnsi="宋体" w:hint="eastAsia"/>
                <w:snapToGrid w:val="0"/>
                <w:szCs w:val="21"/>
              </w:rPr>
              <w:t>可长期连续工作，手动</w:t>
            </w:r>
            <w:r>
              <w:rPr>
                <w:rFonts w:ascii="宋体" w:hAnsi="宋体"/>
                <w:snapToGrid w:val="0"/>
                <w:szCs w:val="21"/>
              </w:rPr>
              <w:t>/自动切换，设有过压保护、缺相、相序保护及机械故障自动保护</w:t>
            </w:r>
          </w:p>
          <w:p w:rsidR="007900F6">
            <w:pPr>
              <w:numPr>
                <w:ilvl w:val="0"/>
                <w:numId w:val="44"/>
              </w:numPr>
              <w:snapToGrid w:val="0"/>
              <w:spacing w:line="360" w:lineRule="auto"/>
              <w:jc w:val="left"/>
              <w:rPr>
                <w:rFonts w:ascii="宋体" w:hAnsi="宋体"/>
                <w:snapToGrid w:val="0"/>
                <w:szCs w:val="21"/>
              </w:rPr>
            </w:pPr>
            <w:r>
              <w:rPr>
                <w:rFonts w:ascii="宋体" w:hAnsi="宋体" w:hint="eastAsia"/>
                <w:snapToGrid w:val="0"/>
                <w:szCs w:val="21"/>
              </w:rPr>
              <w:t>可承受宽广的输入范围，在较差之</w:t>
            </w:r>
            <w:r>
              <w:rPr>
                <w:rFonts w:ascii="宋体" w:hAnsi="宋体"/>
                <w:snapToGrid w:val="0"/>
                <w:szCs w:val="21"/>
              </w:rPr>
              <w:t>输入电源仍可正常工作</w:t>
            </w:r>
            <w:r>
              <w:rPr>
                <w:rFonts w:ascii="宋体" w:hAnsi="宋体" w:hint="eastAsia"/>
                <w:snapToGrid w:val="0"/>
                <w:szCs w:val="21"/>
              </w:rPr>
              <w:t>，</w:t>
            </w:r>
            <w:r>
              <w:rPr>
                <w:rFonts w:ascii="宋体" w:hAnsi="宋体"/>
                <w:snapToGrid w:val="0"/>
                <w:szCs w:val="21"/>
              </w:rPr>
              <w:t>可抵抗瞬间高电压及大电流。</w:t>
            </w:r>
          </w:p>
          <w:p w:rsidR="007900F6">
            <w:pPr>
              <w:numPr>
                <w:ilvl w:val="0"/>
                <w:numId w:val="44"/>
              </w:numPr>
              <w:snapToGrid w:val="0"/>
              <w:spacing w:line="360" w:lineRule="auto"/>
              <w:jc w:val="left"/>
              <w:rPr>
                <w:rFonts w:ascii="宋体" w:hAnsi="宋体"/>
                <w:snapToGrid w:val="0"/>
                <w:szCs w:val="21"/>
              </w:rPr>
            </w:pPr>
            <w:r>
              <w:rPr>
                <w:rFonts w:ascii="宋体" w:hAnsi="宋体" w:hint="eastAsia"/>
                <w:snapToGrid w:val="0"/>
                <w:szCs w:val="21"/>
              </w:rPr>
              <w:t>采用高效率和宽广的安全范围工业级零件组合而成，可以忍受恶劣的温度、湿度、震动及污秽环境</w:t>
            </w:r>
          </w:p>
          <w:p w:rsidR="007900F6">
            <w:pPr>
              <w:adjustRightInd w:val="0"/>
              <w:snapToGrid w:val="0"/>
              <w:spacing w:line="360" w:lineRule="auto"/>
              <w:ind w:left="420"/>
              <w:jc w:val="left"/>
              <w:rPr>
                <w:rFonts w:ascii="宋体" w:hAnsi="宋体" w:cs="宋体"/>
                <w:snapToGrid w:val="0"/>
                <w:kern w:val="0"/>
                <w:szCs w:val="21"/>
              </w:rPr>
            </w:pPr>
            <w:r>
              <w:rPr>
                <w:rFonts w:ascii="宋体" w:hAnsi="宋体" w:hint="eastAsia"/>
                <w:snapToGrid w:val="0"/>
                <w:szCs w:val="21"/>
              </w:rPr>
              <w:t>稳压器输出精度，为±3%。</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cs="宋体"/>
                <w:snapToGrid w:val="0"/>
                <w:kern w:val="0"/>
                <w:szCs w:val="21"/>
              </w:rPr>
            </w:pPr>
          </w:p>
        </w:tc>
        <w:tc>
          <w:tcPr>
            <w:tcW w:w="3560" w:type="pct"/>
            <w:vAlign w:val="center"/>
          </w:tcPr>
          <w:p w:rsidR="007900F6">
            <w:pPr>
              <w:numPr>
                <w:ilvl w:val="0"/>
                <w:numId w:val="42"/>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综合实验区域</w:t>
            </w:r>
            <w:r>
              <w:rPr>
                <w:rFonts w:ascii="宋体" w:hAnsi="宋体"/>
                <w:snapToGrid w:val="0"/>
                <w:kern w:val="0"/>
                <w:szCs w:val="21"/>
              </w:rPr>
              <w:t>2</w:t>
            </w:r>
            <w:r>
              <w:rPr>
                <w:rFonts w:ascii="宋体" w:hAnsi="宋体" w:hint="eastAsia"/>
                <w:snapToGrid w:val="0"/>
                <w:kern w:val="0"/>
                <w:szCs w:val="21"/>
              </w:rPr>
              <w:t>台-</w:t>
            </w:r>
            <w:r>
              <w:rPr>
                <w:rFonts w:ascii="宋体" w:hAnsi="宋体"/>
                <w:snapToGrid w:val="0"/>
                <w:kern w:val="0"/>
                <w:szCs w:val="21"/>
              </w:rPr>
              <w:t>8</w:t>
            </w:r>
            <w:r>
              <w:rPr>
                <w:rFonts w:ascii="宋体" w:hAnsi="宋体"/>
                <w:snapToGrid w:val="0"/>
                <w:kern w:val="0"/>
                <w:szCs w:val="21"/>
              </w:rPr>
              <w:t>0</w:t>
            </w:r>
            <w:r>
              <w:rPr>
                <w:rFonts w:ascii="宋体" w:hAnsi="宋体" w:hint="eastAsia"/>
                <w:snapToGrid w:val="0"/>
                <w:kern w:val="0"/>
                <w:szCs w:val="21"/>
              </w:rPr>
              <w:t>°</w:t>
            </w:r>
            <w:r>
              <w:rPr>
                <w:rFonts w:ascii="宋体" w:hAnsi="宋体"/>
                <w:snapToGrid w:val="0"/>
                <w:kern w:val="0"/>
                <w:szCs w:val="21"/>
              </w:rPr>
              <w:t>C</w:t>
            </w:r>
            <w:r>
              <w:rPr>
                <w:rFonts w:ascii="宋体" w:hAnsi="宋体" w:hint="eastAsia"/>
                <w:snapToGrid w:val="0"/>
                <w:kern w:val="0"/>
                <w:szCs w:val="21"/>
              </w:rPr>
              <w:t>冰箱及细胞房的2台培养箱，除接入普通负荷回路外，还需双回路接入本层强电机房的公共应急电源箱。应急电源箱预留开关约为</w:t>
            </w:r>
            <w:r>
              <w:rPr>
                <w:rFonts w:ascii="宋体" w:hAnsi="宋体"/>
                <w:snapToGrid w:val="0"/>
                <w:kern w:val="0"/>
                <w:szCs w:val="21"/>
              </w:rPr>
              <w:t>32A</w:t>
            </w:r>
            <w:r>
              <w:rPr>
                <w:rFonts w:ascii="宋体" w:hAnsi="宋体" w:hint="eastAsia"/>
                <w:snapToGrid w:val="0"/>
                <w:kern w:val="0"/>
                <w:szCs w:val="21"/>
              </w:rPr>
              <w:t>，保证断电情况下，自动切换电源，冰箱正常运作。</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cs="宋体"/>
                <w:snapToGrid w:val="0"/>
                <w:kern w:val="0"/>
                <w:szCs w:val="21"/>
              </w:rPr>
            </w:pPr>
          </w:p>
        </w:tc>
        <w:tc>
          <w:tcPr>
            <w:tcW w:w="3560" w:type="pct"/>
            <w:vAlign w:val="center"/>
          </w:tcPr>
          <w:p w:rsidR="007900F6">
            <w:pPr>
              <w:numPr>
                <w:ilvl w:val="0"/>
                <w:numId w:val="42"/>
              </w:num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供应、安装和连接整套防雷保护系统装置，供应、安装和连接整个接地系统装置至接地端子，包括全部按规范要求的等电位接地系统。在全部安装完成后必须提供有关的电气实际安装图纸、技术资料、操作和维修手册等。</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cs="宋体"/>
                <w:snapToGrid w:val="0"/>
                <w:kern w:val="0"/>
                <w:szCs w:val="21"/>
              </w:rPr>
            </w:pPr>
          </w:p>
        </w:tc>
        <w:tc>
          <w:tcPr>
            <w:tcW w:w="3560" w:type="pct"/>
            <w:vAlign w:val="center"/>
          </w:tcPr>
          <w:p w:rsidR="007900F6">
            <w:pPr>
              <w:numPr>
                <w:ilvl w:val="0"/>
                <w:numId w:val="42"/>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低压配电系统:动力及三级负荷供电采用放射式。 疏散指示及应急照明配电系统设备采用蓄电池作为应急后备电源,应急时间为30分钟。</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cs="宋体"/>
                <w:snapToGrid w:val="0"/>
                <w:kern w:val="0"/>
                <w:szCs w:val="21"/>
              </w:rPr>
            </w:pPr>
          </w:p>
        </w:tc>
        <w:tc>
          <w:tcPr>
            <w:tcW w:w="3560" w:type="pct"/>
            <w:vAlign w:val="center"/>
          </w:tcPr>
          <w:p w:rsidR="007900F6">
            <w:pPr>
              <w:numPr>
                <w:ilvl w:val="0"/>
                <w:numId w:val="42"/>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零地电压不超过</w:t>
            </w:r>
            <w:r>
              <w:rPr>
                <w:rFonts w:ascii="宋体" w:hAnsi="宋体"/>
                <w:snapToGrid w:val="0"/>
                <w:kern w:val="0"/>
                <w:szCs w:val="21"/>
              </w:rPr>
              <w:t>2</w:t>
            </w:r>
            <w:r>
              <w:rPr>
                <w:rFonts w:ascii="宋体" w:hAnsi="宋体" w:hint="eastAsia"/>
                <w:snapToGrid w:val="0"/>
                <w:kern w:val="0"/>
                <w:szCs w:val="21"/>
              </w:rPr>
              <w:t>V，电缆均应选用低烟无卤型。</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cs="宋体"/>
                <w:snapToGrid w:val="0"/>
                <w:kern w:val="0"/>
                <w:szCs w:val="21"/>
              </w:rPr>
            </w:pPr>
          </w:p>
        </w:tc>
        <w:tc>
          <w:tcPr>
            <w:tcW w:w="3560" w:type="pct"/>
            <w:vAlign w:val="center"/>
          </w:tcPr>
          <w:p w:rsidR="007900F6">
            <w:pPr>
              <w:numPr>
                <w:ilvl w:val="0"/>
                <w:numId w:val="42"/>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中央实验室、各设备间、各实验台均需配备空气开关，不因事故、临时停电等故障引起串联跳闸，损坏仪器设备。</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hint="eastAsia"/>
                <w:bCs/>
                <w:snapToGrid w:val="0"/>
                <w:kern w:val="0"/>
                <w:szCs w:val="21"/>
              </w:rPr>
              <w:t>3.2配电箱</w:t>
            </w:r>
          </w:p>
        </w:tc>
        <w:tc>
          <w:tcPr>
            <w:tcW w:w="3560" w:type="pct"/>
            <w:vAlign w:val="center"/>
          </w:tcPr>
          <w:p w:rsidR="007900F6">
            <w:pPr>
              <w:numPr>
                <w:ilvl w:val="0"/>
                <w:numId w:val="45"/>
              </w:num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实验室原预留两个配电箱，若负荷超出配电箱负荷容量，需从地下室配电房单独拉线（线缆长度约为1</w:t>
            </w:r>
            <w:r>
              <w:rPr>
                <w:rFonts w:ascii="宋体" w:hAnsi="宋体"/>
                <w:snapToGrid w:val="0"/>
                <w:kern w:val="0"/>
                <w:szCs w:val="21"/>
              </w:rPr>
              <w:t>80</w:t>
            </w:r>
            <w:r>
              <w:rPr>
                <w:rFonts w:ascii="宋体" w:hAnsi="宋体" w:hint="eastAsia"/>
                <w:snapToGrid w:val="0"/>
                <w:kern w:val="0"/>
                <w:szCs w:val="21"/>
              </w:rPr>
              <w:t>m，施工投标单位需在投标前自行复核）</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5"/>
              </w:numPr>
              <w:tabs>
                <w:tab w:val="left" w:pos="420"/>
              </w:tabs>
              <w:adjustRightInd w:val="0"/>
              <w:snapToGrid w:val="0"/>
              <w:spacing w:line="360" w:lineRule="auto"/>
              <w:jc w:val="left"/>
              <w:rPr>
                <w:rFonts w:ascii="宋体" w:hAnsi="宋体" w:cs="宋体"/>
                <w:snapToGrid w:val="0"/>
                <w:kern w:val="0"/>
                <w:szCs w:val="21"/>
              </w:rPr>
            </w:pPr>
            <w:r>
              <w:rPr>
                <w:rFonts w:ascii="宋体" w:hAnsi="宋体" w:cs="Arial Unicode MS" w:hint="eastAsia"/>
                <w:snapToGrid w:val="0"/>
                <w:kern w:val="0"/>
                <w:szCs w:val="21"/>
              </w:rPr>
              <w:t>数据机房需单独设置配电箱，且配电箱需安装在机房内。</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5"/>
              </w:numPr>
              <w:tabs>
                <w:tab w:val="left" w:pos="420"/>
              </w:tabs>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实验室用电需要接稳压电源，所有的配电箱需贴好标识，</w:t>
            </w:r>
            <w:r>
              <w:rPr>
                <w:rFonts w:ascii="宋体" w:hAnsi="宋体" w:cs="Arial"/>
                <w:snapToGrid w:val="0"/>
                <w:kern w:val="0"/>
                <w:szCs w:val="21"/>
                <w:shd w:val="clear" w:color="auto" w:fill="FFFFFF"/>
              </w:rPr>
              <w:t>便于管理，当发生电路故障时有利于检修。</w:t>
            </w:r>
            <w:r>
              <w:rPr>
                <w:rFonts w:ascii="宋体" w:hAnsi="宋体" w:cs="宋体" w:hint="eastAsia"/>
                <w:snapToGrid w:val="0"/>
                <w:kern w:val="0"/>
                <w:szCs w:val="21"/>
              </w:rPr>
              <w:t>三箱设备内元器件应有“3C”认证；</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5"/>
              </w:numPr>
              <w:tabs>
                <w:tab w:val="left" w:pos="420"/>
              </w:tabs>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三箱内一次元器件（断路器、接触器、热继电器、双电源切换开关、浪涌保护器）采用优质品牌，所有一次元件的品牌统一。三箱内二次元器件及导线须采用优质名牌</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5"/>
              </w:numPr>
              <w:tabs>
                <w:tab w:val="left" w:pos="420"/>
              </w:tabs>
              <w:adjustRightInd w:val="0"/>
              <w:snapToGrid w:val="0"/>
              <w:spacing w:line="360" w:lineRule="auto"/>
              <w:jc w:val="left"/>
              <w:rPr>
                <w:rFonts w:ascii="宋体" w:hAnsi="宋体"/>
                <w:snapToGrid w:val="0"/>
                <w:kern w:val="0"/>
                <w:szCs w:val="21"/>
                <w:lang w:val="zh-TW" w:eastAsia="zh-TW"/>
              </w:rPr>
            </w:pPr>
            <w:r>
              <w:rPr>
                <w:rFonts w:ascii="宋体" w:hAnsi="宋体" w:cs="Arial"/>
                <w:snapToGrid w:val="0"/>
                <w:kern w:val="0"/>
                <w:szCs w:val="21"/>
                <w:shd w:val="clear" w:color="auto" w:fill="FFFFFF"/>
              </w:rPr>
              <w:t>配电箱箱体选用的钢板厚度不小于1.5mm，配电柜柜体选用不少于2.0mm厚度的冷轧钢板制成，钢板箱门、钢板盘面厚度不小于2.0mm，背板厚度不小于3.0mm。配电箱的焊接、螺栓衔接均应硬朗，焊缝应均匀、光亮，无焊皮、焊穿、气孔等不良表象。门锁选用暗锁，门锁应硬朗坚固，在锁上后不该有显着的晃动。</w:t>
            </w:r>
          </w:p>
        </w:tc>
      </w:tr>
      <w:tr>
        <w:tblPrEx>
          <w:tblW w:w="5000" w:type="pct"/>
          <w:jc w:val="center"/>
          <w:tblInd w:w="0" w:type="dxa"/>
          <w:tblLook w:val="0000"/>
        </w:tblPrEx>
        <w:trPr>
          <w:trHeight w:val="302"/>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5"/>
              </w:numPr>
              <w:adjustRightInd w:val="0"/>
              <w:snapToGrid w:val="0"/>
              <w:spacing w:line="360" w:lineRule="auto"/>
              <w:jc w:val="left"/>
              <w:rPr>
                <w:rFonts w:ascii="宋体" w:hAnsi="宋体"/>
                <w:snapToGrid w:val="0"/>
                <w:kern w:val="0"/>
                <w:szCs w:val="21"/>
                <w:lang w:val="zh-TW" w:eastAsia="zh-TW"/>
              </w:rPr>
            </w:pPr>
          </w:p>
          <w:p w:rsidR="007900F6">
            <w:pPr>
              <w:numPr>
                <w:ilvl w:val="0"/>
                <w:numId w:val="46"/>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箱体为全封闭型，箱门上须装防尘垫，装以锁扣或其他相同经批准的锁。整个箱体的防护等级不低于IP41。</w:t>
            </w:r>
          </w:p>
          <w:p w:rsidR="007900F6">
            <w:pPr>
              <w:numPr>
                <w:ilvl w:val="0"/>
                <w:numId w:val="46"/>
              </w:numPr>
              <w:tabs>
                <w:tab w:val="left" w:pos="420"/>
              </w:tabs>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箱内设备包括所规定额定电流的镀锡铜母线，以及足够截面的多接线端子的中性线和地线母线。</w:t>
            </w:r>
          </w:p>
          <w:p w:rsidR="007900F6">
            <w:pPr>
              <w:numPr>
                <w:ilvl w:val="0"/>
                <w:numId w:val="46"/>
              </w:numPr>
              <w:tabs>
                <w:tab w:val="left" w:pos="420"/>
              </w:tabs>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为了使带电部分和电线在打开前门板时能够完全屏蔽，所有在箱内的电线、母线等都应加以遮护，并应提供一块1.5mm厚的阻燃前护板（控制箱可以例外）。只有断路器的操作手把和其周围的绝缘部分可以突出在阻燃前护板上。</w:t>
            </w:r>
          </w:p>
          <w:p w:rsidR="007900F6">
            <w:pPr>
              <w:numPr>
                <w:ilvl w:val="0"/>
                <w:numId w:val="46"/>
              </w:numPr>
              <w:tabs>
                <w:tab w:val="left" w:pos="420"/>
              </w:tabs>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配置一个接地端子，使箱体可以接地。装有二次元件的箱门应通过软编制铜带与接地端子相连。</w:t>
            </w:r>
          </w:p>
          <w:p w:rsidR="007900F6">
            <w:pPr>
              <w:numPr>
                <w:ilvl w:val="0"/>
                <w:numId w:val="46"/>
              </w:numPr>
              <w:adjustRightInd w:val="0"/>
              <w:snapToGrid w:val="0"/>
              <w:spacing w:line="360" w:lineRule="auto"/>
              <w:jc w:val="left"/>
              <w:rPr>
                <w:rFonts w:ascii="宋体" w:hAnsi="宋体"/>
                <w:snapToGrid w:val="0"/>
                <w:kern w:val="0"/>
                <w:szCs w:val="21"/>
                <w:lang w:val="zh-TW" w:eastAsia="zh-TW"/>
              </w:rPr>
            </w:pPr>
            <w:r>
              <w:rPr>
                <w:rFonts w:ascii="宋体" w:hAnsi="宋体" w:cs="Arial"/>
                <w:snapToGrid w:val="0"/>
                <w:kern w:val="0"/>
                <w:szCs w:val="21"/>
                <w:shd w:val="clear" w:color="auto" w:fill="FFFFFF"/>
              </w:rPr>
              <w:t>配电箱的铭牌以及电路图。每一台配电箱的铭牌要选用金属制的铭牌，铭牌中起码要有产品的名称、类型、厂家称号、首要技术参数、出厂编号、生产日期等5项，铭牌要固定在前面板的明显之处。</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3.3电线电缆</w:t>
            </w:r>
          </w:p>
        </w:tc>
        <w:tc>
          <w:tcPr>
            <w:tcW w:w="3560" w:type="pct"/>
            <w:vAlign w:val="center"/>
          </w:tcPr>
          <w:p w:rsidR="007900F6">
            <w:pPr>
              <w:numPr>
                <w:ilvl w:val="0"/>
                <w:numId w:val="47"/>
              </w:numPr>
              <w:adjustRightInd w:val="0"/>
              <w:snapToGrid w:val="0"/>
              <w:spacing w:line="360" w:lineRule="auto"/>
              <w:jc w:val="left"/>
              <w:rPr>
                <w:rFonts w:ascii="宋体" w:hAnsi="宋体"/>
                <w:snapToGrid w:val="0"/>
                <w:kern w:val="0"/>
                <w:szCs w:val="21"/>
                <w:lang w:val="zh-TW" w:eastAsia="zh-TW"/>
              </w:rPr>
            </w:pPr>
            <w:r>
              <w:rPr>
                <w:rFonts w:ascii="宋体" w:hAnsi="宋体" w:cs="Arial Unicode MS" w:hint="eastAsia"/>
                <w:snapToGrid w:val="0"/>
                <w:kern w:val="0"/>
                <w:szCs w:val="21"/>
              </w:rPr>
              <w:t>配线应考虑多条电缆与断路器的连接方式。箱（柜）的相线、零线端子和接地端子的数量应确保一线一个，数量多于系统图支路数；数量，留有备用。相线母排、零线母排、接地母排规格型号符合国标要求，当进线主线规格与开关不相匹配时，应采取有效措施满足主线接线的要求。</w:t>
            </w:r>
          </w:p>
        </w:tc>
      </w:tr>
      <w:tr>
        <w:tblPrEx>
          <w:tblW w:w="5000" w:type="pct"/>
          <w:jc w:val="center"/>
          <w:tblInd w:w="0" w:type="dxa"/>
          <w:tblLook w:val="0000"/>
        </w:tblPrEx>
        <w:trPr>
          <w:trHeight w:val="1431"/>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7"/>
              </w:numPr>
              <w:tabs>
                <w:tab w:val="left" w:pos="420"/>
              </w:tabs>
              <w:adjustRightInd w:val="0"/>
              <w:snapToGrid w:val="0"/>
              <w:spacing w:line="360" w:lineRule="auto"/>
              <w:jc w:val="left"/>
              <w:rPr>
                <w:rFonts w:ascii="宋体" w:hAnsi="宋体" w:cs="宋体"/>
                <w:snapToGrid w:val="0"/>
                <w:kern w:val="0"/>
                <w:szCs w:val="21"/>
              </w:rPr>
            </w:pPr>
          </w:p>
          <w:p w:rsidR="007900F6">
            <w:pPr>
              <w:numPr>
                <w:ilvl w:val="0"/>
                <w:numId w:val="48"/>
              </w:numPr>
              <w:tabs>
                <w:tab w:val="left" w:pos="420"/>
              </w:tabs>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符合GB/T12706、GB 12666等中国国家标准。</w:t>
            </w:r>
          </w:p>
          <w:p w:rsidR="007900F6">
            <w:pPr>
              <w:numPr>
                <w:ilvl w:val="0"/>
                <w:numId w:val="48"/>
              </w:numPr>
              <w:tabs>
                <w:tab w:val="left" w:pos="420"/>
              </w:tabs>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电线、电缆的生产厂应有主管部门颁发的生产许可证。</w:t>
            </w:r>
          </w:p>
          <w:p w:rsidR="007900F6">
            <w:pPr>
              <w:numPr>
                <w:ilvl w:val="0"/>
                <w:numId w:val="48"/>
              </w:numPr>
              <w:adjustRightInd w:val="0"/>
              <w:snapToGrid w:val="0"/>
              <w:spacing w:line="360" w:lineRule="auto"/>
              <w:jc w:val="left"/>
              <w:rPr>
                <w:rFonts w:ascii="宋体" w:hAnsi="宋体"/>
                <w:bCs/>
                <w:snapToGrid w:val="0"/>
                <w:kern w:val="0"/>
                <w:szCs w:val="21"/>
                <w:lang w:val="zh-TW" w:eastAsia="zh-TW"/>
              </w:rPr>
            </w:pPr>
            <w:r>
              <w:rPr>
                <w:rFonts w:ascii="宋体" w:hAnsi="宋体" w:cs="宋体" w:hint="eastAsia"/>
                <w:snapToGrid w:val="0"/>
                <w:kern w:val="0"/>
                <w:szCs w:val="21"/>
              </w:rPr>
              <w:t>电线电缆应有国家认可的质量检测机构的检验合格报告和“3C”认证。</w:t>
            </w:r>
          </w:p>
          <w:p w:rsidR="007900F6">
            <w:pPr>
              <w:numPr>
                <w:ilvl w:val="0"/>
                <w:numId w:val="4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阻燃、耐火电缆应通过国家级相关质量监督检验机构的型式认可检验。</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7"/>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用优质铜材，含铜量不低于99.99%</w:t>
            </w:r>
          </w:p>
        </w:tc>
      </w:tr>
      <w:tr>
        <w:tblPrEx>
          <w:tblW w:w="5000" w:type="pct"/>
          <w:jc w:val="center"/>
          <w:tblInd w:w="0" w:type="dxa"/>
          <w:tblLook w:val="0000"/>
        </w:tblPrEx>
        <w:trPr>
          <w:trHeight w:val="1392"/>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7"/>
              </w:numPr>
              <w:adjustRightInd w:val="0"/>
              <w:snapToGrid w:val="0"/>
              <w:spacing w:line="360" w:lineRule="auto"/>
              <w:jc w:val="left"/>
              <w:rPr>
                <w:rFonts w:ascii="宋体" w:hAnsi="宋体"/>
                <w:snapToGrid w:val="0"/>
                <w:kern w:val="0"/>
                <w:szCs w:val="21"/>
                <w:lang w:val="zh-TW" w:eastAsia="zh-TW"/>
              </w:rPr>
            </w:pPr>
          </w:p>
          <w:p w:rsidR="007900F6">
            <w:pPr>
              <w:numPr>
                <w:ilvl w:val="0"/>
                <w:numId w:val="49"/>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选用电线、电缆型号及制造厂有良好的安装和运行业绩。</w:t>
            </w:r>
          </w:p>
          <w:p w:rsidR="007900F6">
            <w:pPr>
              <w:numPr>
                <w:ilvl w:val="0"/>
                <w:numId w:val="49"/>
              </w:numPr>
              <w:adjustRightInd w:val="0"/>
              <w:snapToGrid w:val="0"/>
              <w:spacing w:line="360" w:lineRule="auto"/>
              <w:jc w:val="left"/>
              <w:rPr>
                <w:rFonts w:ascii="宋体" w:hAnsi="宋体" w:cs="Arial Unicode MS"/>
                <w:snapToGrid w:val="0"/>
                <w:kern w:val="0"/>
                <w:szCs w:val="21"/>
              </w:rPr>
            </w:pPr>
            <w:r>
              <w:rPr>
                <w:rFonts w:ascii="宋体" w:hAnsi="宋体" w:cs="宋体" w:hint="eastAsia"/>
                <w:snapToGrid w:val="0"/>
                <w:kern w:val="0"/>
                <w:szCs w:val="21"/>
              </w:rPr>
              <w:t>电缆盘上应表明电缆型号、规格、电压等级、长度及出厂日期。并与产品合格证相符。电缆盘应完好无损。</w:t>
            </w:r>
          </w:p>
          <w:p w:rsidR="007900F6">
            <w:pPr>
              <w:numPr>
                <w:ilvl w:val="0"/>
                <w:numId w:val="49"/>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线、电缆的绝缘材链符合电压等级和设计要求。</w:t>
            </w:r>
          </w:p>
          <w:p w:rsidR="007900F6">
            <w:pPr>
              <w:numPr>
                <w:ilvl w:val="0"/>
                <w:numId w:val="49"/>
              </w:numPr>
              <w:adjustRightInd w:val="0"/>
              <w:snapToGrid w:val="0"/>
              <w:spacing w:line="360" w:lineRule="auto"/>
              <w:jc w:val="left"/>
              <w:rPr>
                <w:rFonts w:ascii="宋体" w:hAnsi="宋体"/>
                <w:bCs/>
                <w:snapToGrid w:val="0"/>
                <w:kern w:val="0"/>
                <w:szCs w:val="21"/>
                <w:lang w:val="zh-TW" w:eastAsia="zh-TW"/>
              </w:rPr>
            </w:pPr>
            <w:r>
              <w:rPr>
                <w:rFonts w:ascii="宋体" w:hAnsi="宋体" w:cs="宋体" w:hint="eastAsia"/>
                <w:snapToGrid w:val="0"/>
                <w:kern w:val="0"/>
                <w:szCs w:val="21"/>
              </w:rPr>
              <w:t>电缆未受到机械外力的损伤，铠装无锈蚀，缆线顺直无皱折和扭曲现象。塑料电缆外皮绝缘层无老化和龟裂现象。</w:t>
            </w:r>
          </w:p>
          <w:p w:rsidR="007900F6">
            <w:pPr>
              <w:numPr>
                <w:ilvl w:val="0"/>
                <w:numId w:val="49"/>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电缆终端头应是定型产品，与电缆采用同一产品，附件齐全，封套与电缆规格尺寸匹配，应紧裹电缆及其各条导线。套管应完好无损，不得有裂纹和损伤，并应有合格证和实验数据纪录。</w:t>
            </w:r>
          </w:p>
          <w:p w:rsidR="007900F6">
            <w:pPr>
              <w:numPr>
                <w:ilvl w:val="0"/>
                <w:numId w:val="49"/>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电缆芯线和电线绝缘层的颜色满足以下要求：相线：黄、绿、红；零线：淡蓝；地线：黄/绿；控制线：白。</w:t>
            </w:r>
          </w:p>
          <w:p w:rsidR="007900F6">
            <w:pPr>
              <w:numPr>
                <w:ilvl w:val="0"/>
                <w:numId w:val="49"/>
              </w:numPr>
              <w:adjustRightInd w:val="0"/>
              <w:snapToGrid w:val="0"/>
              <w:spacing w:line="360" w:lineRule="auto"/>
              <w:jc w:val="left"/>
              <w:rPr>
                <w:rFonts w:ascii="宋体" w:hAnsi="宋体"/>
                <w:bCs/>
                <w:snapToGrid w:val="0"/>
                <w:kern w:val="0"/>
                <w:szCs w:val="21"/>
                <w:lang w:val="zh-TW" w:eastAsia="zh-TW"/>
              </w:rPr>
            </w:pPr>
            <w:r>
              <w:rPr>
                <w:rFonts w:ascii="宋体" w:hAnsi="宋体" w:cs="宋体" w:hint="eastAsia"/>
                <w:snapToGrid w:val="0"/>
                <w:kern w:val="0"/>
                <w:szCs w:val="21"/>
              </w:rPr>
              <w:t>与低压柜相连电缆的电缆头制作用户内热缩式。</w:t>
            </w:r>
          </w:p>
          <w:p w:rsidR="007900F6">
            <w:pPr>
              <w:numPr>
                <w:ilvl w:val="0"/>
                <w:numId w:val="49"/>
              </w:numPr>
              <w:adjustRightInd w:val="0"/>
              <w:snapToGrid w:val="0"/>
              <w:spacing w:line="360" w:lineRule="auto"/>
              <w:jc w:val="left"/>
              <w:rPr>
                <w:rFonts w:ascii="宋体" w:hAnsi="宋体" w:cs="Arial Unicode MS"/>
                <w:snapToGrid w:val="0"/>
                <w:kern w:val="0"/>
                <w:szCs w:val="21"/>
              </w:rPr>
            </w:pPr>
            <w:r>
              <w:rPr>
                <w:rFonts w:ascii="宋体" w:hAnsi="宋体" w:cs="宋体" w:hint="eastAsia"/>
                <w:snapToGrid w:val="0"/>
                <w:kern w:val="0"/>
                <w:szCs w:val="21"/>
              </w:rPr>
              <w:t>生产辐照交联耐火电缆的厂家具备电子加速器设备。</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7"/>
              </w:numPr>
              <w:adjustRightInd w:val="0"/>
              <w:snapToGrid w:val="0"/>
              <w:spacing w:line="360" w:lineRule="auto"/>
              <w:jc w:val="left"/>
              <w:rPr>
                <w:rFonts w:ascii="宋体" w:hAnsi="宋体"/>
                <w:bCs/>
                <w:snapToGrid w:val="0"/>
                <w:kern w:val="0"/>
                <w:szCs w:val="21"/>
                <w:lang w:val="zh-TW" w:eastAsia="zh-TW"/>
              </w:rPr>
            </w:pPr>
            <w:r>
              <w:rPr>
                <w:rFonts w:ascii="宋体" w:hAnsi="宋体" w:cs="宋体" w:hint="eastAsia"/>
                <w:snapToGrid w:val="0"/>
                <w:kern w:val="0"/>
                <w:szCs w:val="21"/>
              </w:rPr>
              <w:t>工频额定电压：U0/U：0.6/1kV。工作温度：电缆导体的最高额定温度90℃。线芯短路温度：短路时最长持续时间不超过5s，电缆导体最高温度不超过250℃。</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47"/>
              </w:numPr>
              <w:adjustRightInd w:val="0"/>
              <w:snapToGrid w:val="0"/>
              <w:spacing w:line="360" w:lineRule="auto"/>
              <w:jc w:val="left"/>
              <w:rPr>
                <w:rFonts w:ascii="宋体" w:hAnsi="宋体"/>
                <w:snapToGrid w:val="0"/>
                <w:kern w:val="0"/>
                <w:szCs w:val="21"/>
                <w:lang w:val="zh-TW" w:eastAsia="zh-TW"/>
              </w:rPr>
            </w:pPr>
          </w:p>
          <w:p w:rsidR="007900F6">
            <w:pPr>
              <w:numPr>
                <w:ilvl w:val="0"/>
                <w:numId w:val="50"/>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电缆燃烧时的低烟性能应能满足IEC 61034(1997)规定的试验条件下，燃烧时产生的烟浓度其最小透光率不小于70%。电缆燃烧时逸出的气体的PH值和导电率测试按IEC60754（1997）规定，PH值不小于4.6，导电率不大于10μs/mm。</w:t>
            </w:r>
          </w:p>
          <w:p w:rsidR="007900F6">
            <w:pPr>
              <w:numPr>
                <w:ilvl w:val="0"/>
                <w:numId w:val="50"/>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在火焰燃烧条件下电缆的线路完整性试验应满足IEC60331-21：1999的要求。供火温度750℃、供火时间90分钟，2A熔断器不断；指示灯不熄。</w:t>
            </w:r>
          </w:p>
          <w:p w:rsidR="007900F6">
            <w:pPr>
              <w:numPr>
                <w:ilvl w:val="0"/>
                <w:numId w:val="50"/>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电缆导体符合国家标准，多股同现应紧压成导体，其组成、性能和外观应符合GB/T3956-2008标准的规定，紧压系数不小于0.90。</w:t>
            </w:r>
          </w:p>
          <w:p w:rsidR="007900F6">
            <w:pPr>
              <w:numPr>
                <w:ilvl w:val="0"/>
                <w:numId w:val="5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多芯电缆成缆线芯应有非吸湿性阻燃填充，填充材料应无卤、低烟、阻燃，并与电缆的工作温度相适应，对绝缘材料有无害影响。</w:t>
            </w:r>
          </w:p>
          <w:p w:rsidR="007900F6">
            <w:pPr>
              <w:numPr>
                <w:ilvl w:val="0"/>
                <w:numId w:val="50"/>
              </w:numPr>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护套采用无卤阻燃护套材料，标称厚度按GB2952-2008的规定，最薄点的厚度不小于标称值的80%-0.2mm；护套材料应具有良好的抗日照、紫外线老化性能。电缆的护套表面应有生产厂家、电缆型号、额定电压和生产年份的连续标记，标志应字迹清楚、容易辨认、耐擦。</w:t>
            </w:r>
          </w:p>
          <w:p w:rsidR="007900F6">
            <w:pPr>
              <w:tabs>
                <w:tab w:val="left" w:pos="1260"/>
              </w:tabs>
              <w:adjustRightInd w:val="0"/>
              <w:snapToGrid w:val="0"/>
              <w:spacing w:line="360" w:lineRule="auto"/>
              <w:jc w:val="left"/>
              <w:rPr>
                <w:rFonts w:ascii="宋体" w:hAnsi="宋体"/>
                <w:snapToGrid w:val="0"/>
                <w:kern w:val="0"/>
                <w:szCs w:val="21"/>
                <w:lang w:val="zh-TW" w:eastAsia="zh-TW"/>
              </w:rPr>
            </w:pPr>
          </w:p>
        </w:tc>
      </w:tr>
      <w:tr>
        <w:tblPrEx>
          <w:tblW w:w="5000" w:type="pct"/>
          <w:jc w:val="center"/>
          <w:tblInd w:w="0" w:type="dxa"/>
          <w:tblLook w:val="0000"/>
        </w:tblPrEx>
        <w:trPr>
          <w:trHeight w:val="2870"/>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3.4电缆桥架</w:t>
            </w:r>
          </w:p>
        </w:tc>
        <w:tc>
          <w:tcPr>
            <w:tcW w:w="3560" w:type="pct"/>
            <w:vAlign w:val="center"/>
          </w:tcPr>
          <w:p w:rsidR="007900F6">
            <w:pPr>
              <w:numPr>
                <w:ilvl w:val="0"/>
                <w:numId w:val="51"/>
              </w:numPr>
              <w:tabs>
                <w:tab w:val="left" w:pos="1260"/>
              </w:tabs>
              <w:adjustRightInd w:val="0"/>
              <w:snapToGrid w:val="0"/>
              <w:spacing w:line="360" w:lineRule="auto"/>
              <w:jc w:val="left"/>
              <w:rPr>
                <w:rFonts w:ascii="宋体" w:hAnsi="宋体"/>
                <w:snapToGrid w:val="0"/>
                <w:kern w:val="0"/>
                <w:szCs w:val="21"/>
                <w:lang w:val="zh-TW" w:eastAsia="zh-TW"/>
              </w:rPr>
            </w:pPr>
            <w:r>
              <w:rPr>
                <w:rFonts w:ascii="宋体" w:hAnsi="宋体" w:cs="宋体" w:hint="eastAsia"/>
                <w:snapToGrid w:val="0"/>
                <w:kern w:val="0"/>
                <w:szCs w:val="21"/>
              </w:rPr>
              <w:t>电缆桥架含本工程所需的电缆梯架、电缆托盘、金属线槽等电缆承载体(厚度1.0mm、1.2mm、1.5mm)。符合JB/T10216、CECS 31等标准要求。</w:t>
            </w:r>
          </w:p>
          <w:p w:rsidR="007900F6">
            <w:pPr>
              <w:adjustRightInd w:val="0"/>
              <w:snapToGrid w:val="0"/>
              <w:spacing w:line="360" w:lineRule="auto"/>
              <w:ind w:left="420"/>
              <w:jc w:val="left"/>
              <w:rPr>
                <w:rFonts w:ascii="宋体" w:hAnsi="宋体"/>
                <w:snapToGrid w:val="0"/>
                <w:kern w:val="0"/>
                <w:szCs w:val="21"/>
                <w:lang w:val="zh-TW" w:eastAsia="zh-TW"/>
              </w:rPr>
            </w:pPr>
            <w:r>
              <w:rPr>
                <w:rFonts w:ascii="宋体" w:hAnsi="宋体" w:cs="宋体" w:hint="eastAsia"/>
                <w:snapToGrid w:val="0"/>
                <w:kern w:val="0"/>
                <w:szCs w:val="21"/>
              </w:rPr>
              <w:t>电缆桥架应在工厂加工完成后在运抵施工现场，尽可能减少在工地切割桥架，严禁在工地加工、制作水平弯、垂直弯以及分支接头等桥架的连接段。桥架和金属线槽要求采用无折弯式。</w:t>
            </w:r>
          </w:p>
        </w:tc>
      </w:tr>
      <w:tr>
        <w:tblPrEx>
          <w:tblW w:w="5000" w:type="pct"/>
          <w:jc w:val="center"/>
          <w:tblInd w:w="0" w:type="dxa"/>
          <w:tblLook w:val="0000"/>
        </w:tblPrEx>
        <w:trPr>
          <w:trHeight w:val="2638"/>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1"/>
              </w:numPr>
              <w:tabs>
                <w:tab w:val="left" w:pos="1260"/>
              </w:tabs>
              <w:adjustRightInd w:val="0"/>
              <w:snapToGrid w:val="0"/>
              <w:spacing w:line="360" w:lineRule="auto"/>
              <w:jc w:val="left"/>
              <w:rPr>
                <w:rFonts w:ascii="宋体" w:hAnsi="宋体" w:cs="宋体"/>
                <w:snapToGrid w:val="0"/>
                <w:kern w:val="0"/>
                <w:szCs w:val="21"/>
              </w:rPr>
            </w:pPr>
          </w:p>
          <w:p w:rsidR="007900F6">
            <w:pPr>
              <w:numPr>
                <w:ilvl w:val="0"/>
                <w:numId w:val="5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电缆桥架的膨胀节使用制造厂生产的标准伸缩接合板。</w:t>
            </w:r>
          </w:p>
          <w:p w:rsidR="007900F6">
            <w:pPr>
              <w:numPr>
                <w:ilvl w:val="0"/>
                <w:numId w:val="5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电缆梯架须由热浸镀锌低碳钢制作。电缆梯架的两条边框至少为40mm宽的顶缘卷边以增加强度，板材厚度不小于2.5mm。梯级的中心间隔约为300mm，并具一定的宽度以用不同的方法固定电缆，包括尼龙带扣、鞍行夹、冲孔带、电缆夹等。梯架盖板板材厚度不小于1.2mm。</w:t>
            </w:r>
          </w:p>
          <w:p w:rsidR="007900F6">
            <w:pPr>
              <w:numPr>
                <w:ilvl w:val="0"/>
                <w:numId w:val="52"/>
              </w:numPr>
              <w:adjustRightInd w:val="0"/>
              <w:snapToGrid w:val="0"/>
              <w:spacing w:line="360" w:lineRule="auto"/>
              <w:jc w:val="left"/>
              <w:rPr>
                <w:rFonts w:ascii="宋体" w:hAnsi="宋体" w:cs="宋体"/>
                <w:snapToGrid w:val="0"/>
                <w:kern w:val="0"/>
                <w:szCs w:val="21"/>
              </w:rPr>
            </w:pPr>
            <w:r>
              <w:rPr>
                <w:rFonts w:ascii="宋体" w:hAnsi="宋体" w:cs="宋体"/>
                <w:snapToGrid w:val="0"/>
                <w:kern w:val="0"/>
                <w:szCs w:val="21"/>
              </w:rPr>
              <w:t>在容易积聚粉尘的场所，电缆桥架应选用盖板；在公共通道或室外跨越道路段．底层桥架上宜加垫板或使用无孔托盘。</w:t>
            </w:r>
          </w:p>
          <w:p w:rsidR="007900F6">
            <w:pPr>
              <w:numPr>
                <w:ilvl w:val="0"/>
                <w:numId w:val="5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电缆托盘须由低碳钢制作，电缆托盘尺寸与板材厚度要求符合规范规定，若规范不一致之处，选用较高标准。</w:t>
            </w:r>
          </w:p>
          <w:p w:rsidR="007900F6">
            <w:pPr>
              <w:numPr>
                <w:ilvl w:val="0"/>
                <w:numId w:val="5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金属桥架用镀锌钢板制作，其最小长度为2米。金属线槽内外应无毛刺，配件应齐全。金属线槽镀锌钢板的厚度要求符合规范规定，若规范不一致之处，选用较高标准。</w:t>
            </w:r>
          </w:p>
          <w:p w:rsidR="007900F6">
            <w:pPr>
              <w:numPr>
                <w:ilvl w:val="0"/>
                <w:numId w:val="5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所有电缆桥架、梯架和金属线槽都加装盖板，并配置锁扣。</w:t>
            </w:r>
          </w:p>
          <w:p w:rsidR="007900F6">
            <w:pPr>
              <w:numPr>
                <w:ilvl w:val="0"/>
                <w:numId w:val="5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敷设消防电缆的封闭式线槽应外刷防火涂料，要求在线槽生产厂内完成防火涂料喷涂工作，不允许在现场手工涂刷，耐火时间级别应满足设计要求。</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3.5照明灯具</w:t>
            </w:r>
          </w:p>
        </w:tc>
        <w:tc>
          <w:tcPr>
            <w:tcW w:w="3560" w:type="pct"/>
            <w:vAlign w:val="center"/>
          </w:tcPr>
          <w:p w:rsidR="007900F6">
            <w:pPr>
              <w:numPr>
                <w:ilvl w:val="0"/>
                <w:numId w:val="53"/>
              </w:numPr>
              <w:adjustRightInd w:val="0"/>
              <w:snapToGrid w:val="0"/>
              <w:spacing w:line="360" w:lineRule="auto"/>
              <w:jc w:val="left"/>
              <w:rPr>
                <w:rFonts w:ascii="宋体" w:hAnsi="宋体"/>
                <w:snapToGrid w:val="0"/>
                <w:kern w:val="0"/>
                <w:szCs w:val="21"/>
              </w:rPr>
            </w:pPr>
            <w:r>
              <w:rPr>
                <w:rFonts w:ascii="宋体" w:hAnsi="宋体" w:cs="Arial Unicode MS" w:hint="eastAsia"/>
                <w:snapToGrid w:val="0"/>
                <w:kern w:val="0"/>
                <w:szCs w:val="21"/>
              </w:rPr>
              <w:t>规格要求</w:t>
            </w:r>
            <w:r>
              <w:rPr>
                <w:rFonts w:ascii="宋体" w:hAnsi="宋体" w:cs="Arial Unicode MS"/>
                <w:snapToGrid w:val="0"/>
                <w:kern w:val="0"/>
                <w:szCs w:val="21"/>
              </w:rPr>
              <w:t>12</w:t>
            </w:r>
            <w:r>
              <w:rPr>
                <w:rFonts w:ascii="宋体" w:hAnsi="宋体" w:cs="Arial Unicode MS" w:hint="eastAsia"/>
                <w:snapToGrid w:val="0"/>
                <w:kern w:val="0"/>
                <w:szCs w:val="21"/>
              </w:rPr>
              <w:t>00*600mm，照明的照度值宜＞</w:t>
            </w:r>
            <w:r>
              <w:rPr>
                <w:rFonts w:ascii="宋体" w:hAnsi="宋体" w:cs="Arial Unicode MS"/>
                <w:snapToGrid w:val="0"/>
                <w:kern w:val="0"/>
                <w:szCs w:val="21"/>
              </w:rPr>
              <w:t>500LX</w:t>
            </w:r>
            <w:r>
              <w:rPr>
                <w:rFonts w:ascii="宋体" w:hAnsi="宋体" w:cs="Arial Unicode MS" w:hint="eastAsia"/>
                <w:snapToGrid w:val="0"/>
                <w:kern w:val="0"/>
                <w:szCs w:val="21"/>
              </w:rPr>
              <w:t>，显色指数C</w:t>
            </w:r>
            <w:r>
              <w:rPr>
                <w:rFonts w:ascii="宋体" w:hAnsi="宋体" w:cs="Arial Unicode MS"/>
                <w:snapToGrid w:val="0"/>
                <w:kern w:val="0"/>
                <w:szCs w:val="21"/>
              </w:rPr>
              <w:t>RI</w:t>
            </w:r>
            <w:r>
              <w:rPr>
                <w:rFonts w:ascii="宋体" w:hAnsi="宋体" w:cs="Arial Unicode MS" w:hint="eastAsia"/>
                <w:snapToGrid w:val="0"/>
                <w:kern w:val="0"/>
                <w:szCs w:val="21"/>
              </w:rPr>
              <w:t>＞8</w:t>
            </w:r>
            <w:r>
              <w:rPr>
                <w:rFonts w:ascii="宋体" w:hAnsi="宋体" w:cs="Arial Unicode MS"/>
                <w:snapToGrid w:val="0"/>
                <w:kern w:val="0"/>
                <w:szCs w:val="21"/>
              </w:rPr>
              <w:t>5</w:t>
            </w:r>
            <w:r>
              <w:rPr>
                <w:rFonts w:ascii="宋体" w:hAnsi="宋体" w:cs="Arial Unicode MS" w:hint="eastAsia"/>
                <w:snapToGrid w:val="0"/>
                <w:kern w:val="0"/>
                <w:szCs w:val="21"/>
              </w:rPr>
              <w:t>。</w:t>
            </w:r>
            <w:r>
              <w:rPr>
                <w:rFonts w:ascii="宋体" w:hAnsi="宋体" w:cs="Arial Unicode MS" w:hint="eastAsia"/>
                <w:snapToGrid w:val="0"/>
                <w:color w:val="FF0000"/>
                <w:kern w:val="0"/>
                <w:szCs w:val="21"/>
              </w:rPr>
              <w:t>可拆卸灯管，易于更换。</w:t>
            </w:r>
            <w:r>
              <w:rPr>
                <w:rFonts w:ascii="宋体" w:hAnsi="宋体" w:cs="Arial Unicode MS" w:hint="eastAsia"/>
                <w:snapToGrid w:val="0"/>
                <w:kern w:val="0"/>
                <w:szCs w:val="21"/>
              </w:rPr>
              <w:t>低于2.4米的灯具均需加设接地线</w:t>
            </w:r>
            <w:r>
              <w:rPr>
                <w:rFonts w:ascii="宋体" w:hAnsi="宋体" w:cs="Arial Unicode MS" w:hint="eastAsia"/>
                <w:snapToGrid w:val="0"/>
                <w:kern w:val="0"/>
                <w:szCs w:val="21"/>
                <w:shd w:val="clear" w:color="auto" w:fill="9BBB59"/>
              </w:rPr>
              <w:t>（款式需与业主确认）</w:t>
            </w:r>
            <w:r>
              <w:rPr>
                <w:rFonts w:ascii="宋体" w:hAnsi="宋体" w:cs="Arial Unicode MS" w:hint="eastAsia"/>
                <w:snapToGrid w:val="0"/>
                <w:kern w:val="0"/>
                <w:szCs w:val="21"/>
              </w:rPr>
              <w:t>。</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cs="宋体"/>
                <w:snapToGrid w:val="0"/>
                <w:kern w:val="0"/>
                <w:szCs w:val="21"/>
              </w:rPr>
            </w:pPr>
          </w:p>
        </w:tc>
        <w:tc>
          <w:tcPr>
            <w:tcW w:w="3560" w:type="pct"/>
            <w:vAlign w:val="center"/>
          </w:tcPr>
          <w:p w:rsidR="007900F6">
            <w:pPr>
              <w:numPr>
                <w:ilvl w:val="0"/>
                <w:numId w:val="53"/>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符合GB7000.12、GB13037、GB9472、GB2313、IEC598等中国国家标准及国际标准。洁净区域内灯具符合中华人民共和国国家标准(GB 50591-2010):洁净室施工及验收规范及设计要求。</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cs="宋体"/>
                <w:snapToGrid w:val="0"/>
                <w:kern w:val="0"/>
                <w:szCs w:val="21"/>
              </w:rPr>
            </w:pPr>
          </w:p>
        </w:tc>
        <w:tc>
          <w:tcPr>
            <w:tcW w:w="3560" w:type="pct"/>
            <w:vAlign w:val="center"/>
          </w:tcPr>
          <w:p w:rsidR="007900F6">
            <w:pPr>
              <w:numPr>
                <w:ilvl w:val="0"/>
                <w:numId w:val="53"/>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▲照明灯具不得接近可燃物，照明灯具及其配电不应直接设置在可燃物或可燃构件上。为防直接电击，任何场所都不得有裸露带电体，所用遮护物或外罩其防护等级不应低于IP2X。</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bCs/>
                <w:snapToGrid w:val="0"/>
                <w:kern w:val="0"/>
                <w:szCs w:val="21"/>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3"/>
              </w:numPr>
              <w:adjustRightInd w:val="0"/>
              <w:snapToGrid w:val="0"/>
              <w:spacing w:line="360" w:lineRule="auto"/>
              <w:jc w:val="left"/>
              <w:rPr>
                <w:rFonts w:ascii="宋体" w:hAnsi="宋体"/>
                <w:snapToGrid w:val="0"/>
                <w:kern w:val="0"/>
                <w:szCs w:val="21"/>
              </w:rPr>
            </w:pPr>
          </w:p>
          <w:p w:rsidR="007900F6">
            <w:pPr>
              <w:numPr>
                <w:ilvl w:val="0"/>
                <w:numId w:val="54"/>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带透光保护罩灯具，保护罩的透光率在85%以上。</w:t>
            </w:r>
          </w:p>
          <w:p w:rsidR="007900F6">
            <w:pPr>
              <w:numPr>
                <w:ilvl w:val="0"/>
                <w:numId w:val="54"/>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所有灯具应通过CCC国家强制认证。</w:t>
            </w:r>
          </w:p>
          <w:p w:rsidR="007900F6">
            <w:pPr>
              <w:numPr>
                <w:ilvl w:val="0"/>
                <w:numId w:val="54"/>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照明灯具的防护等级不低于IP54。</w:t>
            </w:r>
          </w:p>
          <w:p w:rsidR="007900F6">
            <w:pPr>
              <w:numPr>
                <w:ilvl w:val="0"/>
                <w:numId w:val="54"/>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灯具外壳有单独的接地端子，且接地牢固。</w:t>
            </w:r>
          </w:p>
          <w:p w:rsidR="007900F6">
            <w:pPr>
              <w:numPr>
                <w:ilvl w:val="0"/>
                <w:numId w:val="54"/>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灯具、镇流器的保用时间应不少于5年，光源的保用时间应不少于8000小时。</w:t>
            </w:r>
          </w:p>
          <w:p w:rsidR="007900F6">
            <w:pPr>
              <w:numPr>
                <w:ilvl w:val="0"/>
                <w:numId w:val="54"/>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选用高效节能LED灯管。</w:t>
            </w:r>
          </w:p>
          <w:p w:rsidR="007900F6">
            <w:pPr>
              <w:numPr>
                <w:ilvl w:val="0"/>
                <w:numId w:val="54"/>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洁净灯需具有防腐，防尘，防爆，防生锈，易清洁的特性</w:t>
            </w:r>
          </w:p>
        </w:tc>
      </w:tr>
      <w:tr>
        <w:tblPrEx>
          <w:tblW w:w="5000" w:type="pct"/>
          <w:jc w:val="center"/>
          <w:tblInd w:w="0" w:type="dxa"/>
          <w:tblLook w:val="0000"/>
        </w:tblPrEx>
        <w:trPr>
          <w:trHeight w:val="60"/>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3.6开关、插座</w:t>
            </w:r>
          </w:p>
        </w:tc>
        <w:tc>
          <w:tcPr>
            <w:tcW w:w="3560" w:type="pct"/>
            <w:vAlign w:val="center"/>
          </w:tcPr>
          <w:p w:rsidR="007900F6">
            <w:pPr>
              <w:numPr>
                <w:ilvl w:val="0"/>
                <w:numId w:val="55"/>
              </w:numPr>
              <w:adjustRightInd w:val="0"/>
              <w:snapToGrid w:val="0"/>
              <w:spacing w:line="360" w:lineRule="auto"/>
              <w:jc w:val="left"/>
              <w:rPr>
                <w:rFonts w:ascii="宋体" w:hAnsi="宋体" w:cs="宋体"/>
                <w:snapToGrid w:val="0"/>
                <w:kern w:val="0"/>
                <w:szCs w:val="21"/>
              </w:rPr>
            </w:pPr>
          </w:p>
          <w:p w:rsidR="007900F6">
            <w:pPr>
              <w:numPr>
                <w:ilvl w:val="0"/>
                <w:numId w:val="56"/>
              </w:numPr>
              <w:adjustRightInd w:val="0"/>
              <w:snapToGrid w:val="0"/>
              <w:spacing w:line="360" w:lineRule="auto"/>
              <w:jc w:val="left"/>
              <w:rPr>
                <w:rFonts w:ascii="宋体" w:hAnsi="宋体" w:cs="宋体"/>
                <w:snapToGrid w:val="0"/>
                <w:kern w:val="0"/>
                <w:szCs w:val="21"/>
              </w:rPr>
            </w:pPr>
            <w:r>
              <w:rPr>
                <w:rFonts w:ascii="宋体" w:hAnsi="宋体" w:cs="Arial Unicode MS" w:hint="eastAsia"/>
                <w:snapToGrid w:val="0"/>
                <w:kern w:val="0"/>
                <w:szCs w:val="21"/>
              </w:rPr>
              <w:t>插座为带开关五孔万用插口。</w:t>
            </w:r>
          </w:p>
          <w:p w:rsidR="007900F6">
            <w:pPr>
              <w:numPr>
                <w:ilvl w:val="0"/>
                <w:numId w:val="56"/>
              </w:numPr>
              <w:adjustRightInd w:val="0"/>
              <w:snapToGrid w:val="0"/>
              <w:spacing w:line="360" w:lineRule="auto"/>
              <w:jc w:val="left"/>
              <w:rPr>
                <w:rFonts w:ascii="宋体" w:hAnsi="宋体" w:cs="宋体"/>
                <w:snapToGrid w:val="0"/>
                <w:kern w:val="0"/>
                <w:szCs w:val="21"/>
              </w:rPr>
            </w:pPr>
            <w:r>
              <w:rPr>
                <w:rFonts w:ascii="宋体" w:hAnsi="宋体" w:cs="Arial Unicode MS"/>
                <w:snapToGrid w:val="0"/>
                <w:kern w:val="0"/>
                <w:szCs w:val="21"/>
              </w:rPr>
              <w:t>插座需需通过3C认证，包含10A,16A两种规格，带4平方电线</w:t>
            </w:r>
            <w:r>
              <w:rPr>
                <w:rFonts w:ascii="宋体" w:hAnsi="宋体" w:cs="Arial Unicode MS" w:hint="eastAsia"/>
                <w:snapToGrid w:val="0"/>
                <w:kern w:val="0"/>
                <w:szCs w:val="21"/>
              </w:rPr>
              <w:t>。</w:t>
            </w:r>
          </w:p>
          <w:p w:rsidR="007900F6">
            <w:pPr>
              <w:numPr>
                <w:ilvl w:val="0"/>
                <w:numId w:val="5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所有开关、插座使用同一品牌同一系列的产品。</w:t>
            </w:r>
          </w:p>
          <w:p w:rsidR="007900F6">
            <w:pPr>
              <w:numPr>
                <w:ilvl w:val="0"/>
                <w:numId w:val="5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开关、插座采用磷青铜簧片，银或银合金触点。</w:t>
            </w:r>
          </w:p>
          <w:p w:rsidR="007900F6">
            <w:pPr>
              <w:numPr>
                <w:ilvl w:val="0"/>
                <w:numId w:val="5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开关面板采用大翘板型。</w:t>
            </w:r>
          </w:p>
          <w:p w:rsidR="007900F6">
            <w:pPr>
              <w:numPr>
                <w:ilvl w:val="0"/>
                <w:numId w:val="5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插座均带有安全门。</w:t>
            </w:r>
          </w:p>
          <w:p w:rsidR="007900F6">
            <w:pPr>
              <w:numPr>
                <w:ilvl w:val="0"/>
                <w:numId w:val="5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开关、插座的壳体采用阻燃材料制造。</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5"/>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应有国家认可的质量检测机构出具的检验合格报告和“3C”认证。符合GB16911标准要求。</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cs="宋体" w:hint="eastAsia"/>
                <w:snapToGrid w:val="0"/>
                <w:kern w:val="0"/>
                <w:szCs w:val="21"/>
              </w:rPr>
              <w:t>3.7弱电系统</w:t>
            </w:r>
          </w:p>
        </w:tc>
        <w:tc>
          <w:tcPr>
            <w:tcW w:w="3560" w:type="pct"/>
            <w:vAlign w:val="center"/>
          </w:tcPr>
          <w:p w:rsidR="007900F6">
            <w:pPr>
              <w:numPr>
                <w:ilvl w:val="0"/>
                <w:numId w:val="57"/>
              </w:numPr>
              <w:adjustRightInd w:val="0"/>
              <w:snapToGrid w:val="0"/>
              <w:spacing w:line="360" w:lineRule="auto"/>
              <w:jc w:val="left"/>
              <w:rPr>
                <w:rFonts w:ascii="宋体" w:hAnsi="宋体" w:cs="宋体"/>
                <w:snapToGrid w:val="0"/>
                <w:kern w:val="0"/>
                <w:szCs w:val="21"/>
              </w:rPr>
            </w:pPr>
          </w:p>
          <w:p w:rsidR="007900F6">
            <w:pPr>
              <w:numPr>
                <w:ilvl w:val="0"/>
                <w:numId w:val="5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实验室弱电系统，包含：计算机网络系统，综合布线系统（网络、语音、安防），安防布线系统（监控、门禁）。</w:t>
            </w:r>
          </w:p>
          <w:p w:rsidR="007900F6">
            <w:pPr>
              <w:numPr>
                <w:ilvl w:val="0"/>
                <w:numId w:val="5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系统设计要求：弱电系统所有设备及管线的采购、敷设均应符合国家电气等相关技术规范要求。</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综合布线系统</w:t>
            </w:r>
          </w:p>
          <w:p w:rsidR="007900F6">
            <w:pPr>
              <w:numPr>
                <w:ilvl w:val="0"/>
                <w:numId w:val="59"/>
              </w:num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网络接口：</w:t>
            </w:r>
            <w:r>
              <w:rPr>
                <w:rFonts w:ascii="宋体" w:hAnsi="宋体"/>
                <w:snapToGrid w:val="0"/>
                <w:kern w:val="0"/>
                <w:szCs w:val="21"/>
              </w:rPr>
              <w:t>22个，电话线接口15个。</w:t>
            </w:r>
            <w:r>
              <w:rPr>
                <w:rFonts w:ascii="宋体" w:hAnsi="宋体" w:hint="eastAsia"/>
                <w:snapToGrid w:val="0"/>
                <w:kern w:val="0"/>
                <w:szCs w:val="21"/>
              </w:rPr>
              <w:t xml:space="preserve"> （综合实验室：网络接口：</w:t>
            </w:r>
            <w:r>
              <w:rPr>
                <w:rFonts w:ascii="宋体" w:hAnsi="宋体"/>
                <w:snapToGrid w:val="0"/>
                <w:kern w:val="0"/>
                <w:szCs w:val="21"/>
              </w:rPr>
              <w:t>18个，电话线接口14个</w:t>
            </w:r>
            <w:r>
              <w:rPr>
                <w:rFonts w:ascii="宋体" w:hAnsi="宋体" w:hint="eastAsia"/>
                <w:snapToGrid w:val="0"/>
                <w:kern w:val="0"/>
                <w:szCs w:val="21"/>
              </w:rPr>
              <w:t>。机房：网络接口：</w:t>
            </w:r>
            <w:r>
              <w:rPr>
                <w:rFonts w:ascii="宋体" w:hAnsi="宋体"/>
                <w:snapToGrid w:val="0"/>
                <w:kern w:val="0"/>
                <w:szCs w:val="21"/>
              </w:rPr>
              <w:t>4个，电话线接口1个</w:t>
            </w:r>
            <w:r>
              <w:rPr>
                <w:rFonts w:ascii="宋体" w:hAnsi="宋体" w:hint="eastAsia"/>
                <w:snapToGrid w:val="0"/>
                <w:kern w:val="0"/>
                <w:szCs w:val="21"/>
              </w:rPr>
              <w:t>）</w:t>
            </w:r>
            <w:r>
              <w:rPr>
                <w:rFonts w:ascii="宋体" w:hAnsi="宋体" w:cs="宋体" w:hint="eastAsia"/>
                <w:snapToGrid w:val="0"/>
                <w:kern w:val="0"/>
                <w:szCs w:val="21"/>
              </w:rPr>
              <w:t>。</w:t>
            </w:r>
          </w:p>
          <w:p w:rsidR="007900F6">
            <w:pPr>
              <w:numPr>
                <w:ilvl w:val="0"/>
                <w:numId w:val="5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配线子系统：每个数据信息点和语音点水平电缆均采用6a类非屏蔽双绞线。水平配线的长度不得超过90米。水平电缆自综合布线机柜起，线缆集中敷设的地方采用封闭式线槽或桥架，离开线槽或桥架沿顶棚、墙、地面穿金属线管暗敷设引至各信息电位。</w:t>
            </w:r>
          </w:p>
          <w:p w:rsidR="007900F6">
            <w:pPr>
              <w:numPr>
                <w:ilvl w:val="0"/>
                <w:numId w:val="5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布线系统端到端（包括网线、面板等各种接插件）采用知名品牌产品。</w:t>
            </w:r>
          </w:p>
          <w:p w:rsidR="007900F6">
            <w:pPr>
              <w:numPr>
                <w:ilvl w:val="0"/>
                <w:numId w:val="5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综合布线系统要求符合ISO/IEC 11801:2002 Ed2.0 6类UTP最新的国际标准。系统整体信道带宽性能要求能够支持至少250MHz以上的数据传输UTP最新的国际标准。其应用能够充分保证整个项目高速、可靠的信息传输要求，适应现在和将来的技术发展。</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计算机网络系统</w:t>
            </w:r>
          </w:p>
          <w:p w:rsidR="007900F6">
            <w:pPr>
              <w:numPr>
                <w:ilvl w:val="0"/>
                <w:numId w:val="6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计算机网络系统分别设外网、设备网，各网络系统在终端层网络链路上采用物理隔离。网络设备分别设置，各网络系统布线均采用综合布线系统。</w:t>
            </w:r>
          </w:p>
          <w:p w:rsidR="007900F6">
            <w:pPr>
              <w:numPr>
                <w:ilvl w:val="0"/>
                <w:numId w:val="6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外网满足日常办公、实验等数据的处理和传输；接入Internet，实现资源共享、方便对外交流、检索资料等使用，实验室、办公室、公共区域均设置无线网络，实现整个区域无线网络全覆盖；</w:t>
            </w:r>
          </w:p>
          <w:p w:rsidR="007900F6">
            <w:pPr>
              <w:numPr>
                <w:ilvl w:val="0"/>
                <w:numId w:val="6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设备网满足门禁、监控等数据的存储、处理和传输。</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安防系统</w:t>
            </w:r>
          </w:p>
          <w:p w:rsidR="007900F6">
            <w:pPr>
              <w:numPr>
                <w:ilvl w:val="0"/>
                <w:numId w:val="61"/>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本工程的安防系统主要包括视频安防监控系统和出入口控制系统。出入口控制系统主机设置在实验室办公区，通过统一的通信平台和管理软件将两个系统设备联网，实现安全防范主机对全系统进行信息集成的自动化管理，并应具有与其它弱电系统进行集成的接口。</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7"/>
              </w:num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门禁系统：</w:t>
            </w:r>
          </w:p>
          <w:p w:rsidR="007900F6">
            <w:pPr>
              <w:numPr>
                <w:ilvl w:val="0"/>
                <w:numId w:val="6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本工程设置刷卡门禁系统，授权人员的进入需要输入正确的密码或指纹或通过刷卡对比认证，并将通行记录保存在监控主机中。</w:t>
            </w:r>
          </w:p>
          <w:p w:rsidR="007900F6">
            <w:pPr>
              <w:numPr>
                <w:ilvl w:val="0"/>
                <w:numId w:val="6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系统应配套相应的系统管理软件；门禁系统管理主机与管理服务器设置在实验室办公区。</w:t>
            </w:r>
          </w:p>
          <w:p w:rsidR="007900F6">
            <w:pPr>
              <w:numPr>
                <w:ilvl w:val="0"/>
                <w:numId w:val="6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系统采用TCP/IP型门禁系统，纳入计算机设备网，门禁控制器设置在吊顶内，门禁控制器与管理主机之间通过以太网连接；</w:t>
            </w:r>
          </w:p>
          <w:p w:rsidR="007900F6">
            <w:pPr>
              <w:numPr>
                <w:ilvl w:val="0"/>
                <w:numId w:val="6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系统由读卡器、开门按钮、门禁主机、电控锁、和安装门禁系统软件管理计算机组成；</w:t>
            </w:r>
          </w:p>
          <w:p w:rsidR="007900F6">
            <w:pPr>
              <w:numPr>
                <w:ilvl w:val="0"/>
                <w:numId w:val="62"/>
              </w:numPr>
              <w:adjustRightInd w:val="0"/>
              <w:snapToGrid w:val="0"/>
              <w:spacing w:line="360" w:lineRule="auto"/>
              <w:jc w:val="left"/>
              <w:rPr>
                <w:rFonts w:ascii="宋体" w:hAnsi="宋体" w:cs="宋体"/>
                <w:b/>
                <w:snapToGrid w:val="0"/>
                <w:kern w:val="0"/>
                <w:szCs w:val="21"/>
              </w:rPr>
            </w:pPr>
            <w:r>
              <w:rPr>
                <w:rFonts w:ascii="宋体" w:hAnsi="宋体" w:cs="宋体" w:hint="eastAsia"/>
                <w:snapToGrid w:val="0"/>
                <w:kern w:val="0"/>
                <w:szCs w:val="21"/>
              </w:rPr>
              <w:t>火灾报警时，所有的门禁系统必须断电打开；</w:t>
            </w:r>
          </w:p>
        </w:tc>
      </w:tr>
      <w:tr>
        <w:tblPrEx>
          <w:tblW w:w="5000" w:type="pct"/>
          <w:jc w:val="center"/>
          <w:tblInd w:w="0" w:type="dxa"/>
          <w:tblLook w:val="0000"/>
        </w:tblPrEx>
        <w:trPr>
          <w:trHeight w:val="1859"/>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57"/>
              </w:num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视频监控系统：</w:t>
            </w:r>
          </w:p>
          <w:p w:rsidR="007900F6">
            <w:p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3</w:t>
            </w:r>
            <w:r>
              <w:rPr>
                <w:rFonts w:ascii="宋体" w:hAnsi="宋体" w:cs="宋体"/>
                <w:b/>
                <w:snapToGrid w:val="0"/>
                <w:kern w:val="0"/>
                <w:szCs w:val="21"/>
              </w:rPr>
              <w:t xml:space="preserve">.7.6.1 </w:t>
            </w:r>
          </w:p>
          <w:p w:rsidR="007900F6">
            <w:pPr>
              <w:numPr>
                <w:ilvl w:val="0"/>
                <w:numId w:val="6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系统组成：本工程采用全数字视频安防监控系统，监控系统纳入设备网，其中摄像机、传输及控制、存储均采用（高清）数字设备。</w:t>
            </w:r>
          </w:p>
          <w:p w:rsidR="007900F6">
            <w:pPr>
              <w:numPr>
                <w:ilvl w:val="0"/>
                <w:numId w:val="63"/>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监控主机需含NVR、交换机、光纤连接盘、跳线架、理线架、硬盘、视频监控专用液晶显示器等。</w:t>
            </w:r>
          </w:p>
          <w:p w:rsidR="007900F6">
            <w:pPr>
              <w:numPr>
                <w:ilvl w:val="0"/>
                <w:numId w:val="63"/>
              </w:numPr>
              <w:adjustRightInd w:val="0"/>
              <w:snapToGrid w:val="0"/>
              <w:spacing w:line="360" w:lineRule="auto"/>
              <w:jc w:val="left"/>
              <w:rPr>
                <w:rFonts w:ascii="宋体" w:hAnsi="宋体"/>
                <w:snapToGrid w:val="0"/>
                <w:kern w:val="0"/>
                <w:szCs w:val="21"/>
                <w:highlight w:val="yellow"/>
              </w:rPr>
            </w:pPr>
            <w:r>
              <w:rPr>
                <w:rFonts w:ascii="宋体" w:hAnsi="宋体" w:cs="宋体" w:hint="eastAsia"/>
                <w:snapToGrid w:val="0"/>
                <w:kern w:val="0"/>
                <w:szCs w:val="21"/>
              </w:rPr>
              <w:t>监控点：走廊、实验室、办公区等。</w:t>
            </w:r>
            <w:r>
              <w:rPr>
                <w:rFonts w:ascii="宋体" w:hAnsi="宋体" w:hint="eastAsia"/>
                <w:snapToGrid w:val="0"/>
                <w:kern w:val="0"/>
                <w:szCs w:val="21"/>
              </w:rPr>
              <w:t>要求安装个数：设备室、储存室、机房共</w:t>
            </w:r>
            <w:r>
              <w:rPr>
                <w:rFonts w:ascii="宋体" w:hAnsi="宋体"/>
                <w:snapToGrid w:val="0"/>
                <w:kern w:val="0"/>
                <w:szCs w:val="21"/>
              </w:rPr>
              <w:t>6</w:t>
            </w:r>
            <w:r>
              <w:rPr>
                <w:rFonts w:ascii="宋体" w:hAnsi="宋体" w:hint="eastAsia"/>
                <w:snapToGrid w:val="0"/>
                <w:kern w:val="0"/>
                <w:szCs w:val="21"/>
              </w:rPr>
              <w:t>个</w:t>
            </w:r>
            <w:r>
              <w:rPr>
                <w:rFonts w:ascii="宋体" w:hAnsi="宋体"/>
                <w:snapToGrid w:val="0"/>
                <w:kern w:val="0"/>
                <w:szCs w:val="21"/>
              </w:rPr>
              <w:t>，中央实验室</w:t>
            </w:r>
            <w:r>
              <w:rPr>
                <w:rFonts w:ascii="宋体" w:hAnsi="宋体" w:hint="eastAsia"/>
                <w:snapToGrid w:val="0"/>
                <w:kern w:val="0"/>
                <w:szCs w:val="21"/>
              </w:rPr>
              <w:t>共</w:t>
            </w:r>
            <w:r>
              <w:rPr>
                <w:rFonts w:ascii="宋体" w:hAnsi="宋体"/>
                <w:snapToGrid w:val="0"/>
                <w:kern w:val="0"/>
                <w:szCs w:val="21"/>
              </w:rPr>
              <w:t>4</w:t>
            </w:r>
            <w:r>
              <w:rPr>
                <w:rFonts w:ascii="宋体" w:hAnsi="宋体" w:hint="eastAsia"/>
                <w:snapToGrid w:val="0"/>
                <w:kern w:val="0"/>
                <w:szCs w:val="21"/>
              </w:rPr>
              <w:t>个，且为360度无死角</w:t>
            </w:r>
            <w:r>
              <w:rPr>
                <w:rFonts w:ascii="宋体" w:hAnsi="宋体"/>
                <w:snapToGrid w:val="0"/>
                <w:kern w:val="0"/>
                <w:szCs w:val="21"/>
              </w:rPr>
              <w:t>摄像头</w:t>
            </w:r>
            <w:r>
              <w:rPr>
                <w:rFonts w:ascii="宋体" w:hAnsi="宋体" w:hint="eastAsia"/>
                <w:snapToGrid w:val="0"/>
                <w:kern w:val="0"/>
                <w:szCs w:val="21"/>
              </w:rPr>
              <w:t>。</w:t>
            </w:r>
          </w:p>
          <w:p w:rsidR="007900F6">
            <w:pPr>
              <w:numPr>
                <w:ilvl w:val="0"/>
                <w:numId w:val="6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视频监控信号传输至实验室办公区集中监控、集中管理；新增管理主机、监控显示系统。</w:t>
            </w:r>
          </w:p>
          <w:p w:rsidR="007900F6">
            <w:pPr>
              <w:numPr>
                <w:ilvl w:val="0"/>
                <w:numId w:val="63"/>
              </w:num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通过液晶显示器可实现系统所有视频型号的实时显示和录像，并且可调看系统内任一路视频画面；或通过安装视频监控软件的电脑也能满足日常视频监控数据查看实时画面，调出录像。</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3</w:t>
            </w:r>
            <w:r>
              <w:rPr>
                <w:rFonts w:ascii="宋体" w:hAnsi="宋体" w:cs="宋体"/>
                <w:b/>
                <w:snapToGrid w:val="0"/>
                <w:kern w:val="0"/>
                <w:szCs w:val="21"/>
              </w:rPr>
              <w:t xml:space="preserve">.7.6.2 </w:t>
            </w:r>
          </w:p>
          <w:p w:rsidR="007900F6">
            <w:pPr>
              <w:numPr>
                <w:ilvl w:val="0"/>
                <w:numId w:val="6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本工程分别采用200万像素高清室内半球摄像机和200万像素室内全景摄像机，</w:t>
            </w:r>
            <w:r>
              <w:rPr>
                <w:rFonts w:ascii="宋体" w:hAnsi="宋体" w:hint="eastAsia"/>
                <w:snapToGrid w:val="0"/>
                <w:kern w:val="0"/>
                <w:szCs w:val="21"/>
              </w:rPr>
              <w:t>1</w:t>
            </w:r>
            <w:r>
              <w:rPr>
                <w:rFonts w:ascii="宋体" w:hAnsi="宋体"/>
                <w:snapToGrid w:val="0"/>
                <w:kern w:val="0"/>
                <w:szCs w:val="21"/>
              </w:rPr>
              <w:t>080</w:t>
            </w:r>
            <w:r>
              <w:rPr>
                <w:rFonts w:ascii="宋体" w:hAnsi="宋体" w:hint="eastAsia"/>
                <w:snapToGrid w:val="0"/>
                <w:kern w:val="0"/>
                <w:szCs w:val="21"/>
              </w:rPr>
              <w:t>p清晰度P</w:t>
            </w:r>
            <w:r>
              <w:rPr>
                <w:rFonts w:ascii="宋体" w:hAnsi="宋体"/>
                <w:snapToGrid w:val="0"/>
                <w:kern w:val="0"/>
                <w:szCs w:val="21"/>
              </w:rPr>
              <w:t>OE</w:t>
            </w:r>
            <w:r>
              <w:rPr>
                <w:rFonts w:ascii="宋体" w:hAnsi="宋体" w:hint="eastAsia"/>
                <w:snapToGrid w:val="0"/>
                <w:kern w:val="0"/>
                <w:szCs w:val="21"/>
              </w:rPr>
              <w:t>供电数码彩色摄像头</w:t>
            </w:r>
            <w:r>
              <w:rPr>
                <w:rFonts w:ascii="宋体" w:hAnsi="宋体" w:cs="宋体" w:hint="eastAsia"/>
                <w:snapToGrid w:val="0"/>
                <w:kern w:val="0"/>
                <w:szCs w:val="21"/>
              </w:rPr>
              <w:t>，预留网线。</w:t>
            </w:r>
          </w:p>
          <w:p w:rsidR="007900F6">
            <w:pPr>
              <w:numPr>
                <w:ilvl w:val="0"/>
                <w:numId w:val="6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视频监控系统采用H.265编码格式,按存储90天考虑；本系统结合综合布线系统采用六类非屏蔽双绞线传输数据；监控系统监控录像数据传输至弱电机柜集中存储，需要1个16路4盘位NVR和4个6T硬盘。</w:t>
            </w:r>
          </w:p>
          <w:p w:rsidR="007900F6">
            <w:pPr>
              <w:numPr>
                <w:ilvl w:val="0"/>
                <w:numId w:val="64"/>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监控主机及其配套辅件、摄像头采用后备供电不少于30分钟的30KVA在线式不间断电源，以防市电断电导致数据丢失。</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bCs/>
                <w:snapToGrid w:val="0"/>
                <w:kern w:val="0"/>
                <w:szCs w:val="21"/>
              </w:rPr>
              <w:t xml:space="preserve">3.8 </w:t>
            </w:r>
            <w:r>
              <w:rPr>
                <w:rFonts w:ascii="宋体" w:hAnsi="宋体" w:hint="eastAsia"/>
                <w:bCs/>
                <w:snapToGrid w:val="0"/>
                <w:kern w:val="0"/>
                <w:szCs w:val="21"/>
              </w:rPr>
              <w:t>UPS方案</w:t>
            </w:r>
          </w:p>
        </w:tc>
        <w:tc>
          <w:tcPr>
            <w:tcW w:w="3560" w:type="pct"/>
            <w:vAlign w:val="center"/>
          </w:tcPr>
          <w:p w:rsidR="007900F6">
            <w:p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3.</w:t>
            </w:r>
            <w:r>
              <w:rPr>
                <w:rFonts w:ascii="宋体" w:hAnsi="宋体" w:cs="宋体"/>
                <w:b/>
                <w:snapToGrid w:val="0"/>
                <w:kern w:val="0"/>
                <w:szCs w:val="21"/>
              </w:rPr>
              <w:t>8</w:t>
            </w:r>
            <w:r>
              <w:rPr>
                <w:rFonts w:ascii="宋体" w:hAnsi="宋体" w:cs="宋体" w:hint="eastAsia"/>
                <w:b/>
                <w:snapToGrid w:val="0"/>
                <w:kern w:val="0"/>
                <w:szCs w:val="21"/>
              </w:rPr>
              <w:t>.1 仪器室2</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配置1台功率</w:t>
            </w:r>
            <w:r>
              <w:rPr>
                <w:rFonts w:ascii="宋体" w:hAnsi="宋体" w:cs="宋体"/>
                <w:snapToGrid w:val="0"/>
                <w:kern w:val="0"/>
                <w:szCs w:val="21"/>
              </w:rPr>
              <w:t>10KVA</w:t>
            </w:r>
            <w:r>
              <w:rPr>
                <w:rFonts w:ascii="宋体" w:hAnsi="宋体" w:cs="宋体" w:hint="eastAsia"/>
                <w:snapToGrid w:val="0"/>
                <w:kern w:val="0"/>
                <w:szCs w:val="21"/>
              </w:rPr>
              <w:t>的</w:t>
            </w:r>
            <w:r>
              <w:rPr>
                <w:rFonts w:ascii="宋体" w:hAnsi="宋体"/>
                <w:snapToGrid w:val="0"/>
                <w:kern w:val="0"/>
                <w:szCs w:val="21"/>
              </w:rPr>
              <w:t>UPS不间断电源</w:t>
            </w:r>
            <w:r>
              <w:rPr>
                <w:rFonts w:ascii="宋体" w:hAnsi="宋体" w:cs="宋体" w:hint="eastAsia"/>
                <w:snapToGrid w:val="0"/>
                <w:kern w:val="0"/>
                <w:szCs w:val="21"/>
              </w:rPr>
              <w:t>，后备时间至少两小时。</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请将U</w:t>
            </w:r>
            <w:r>
              <w:rPr>
                <w:rFonts w:ascii="宋体" w:hAnsi="宋体" w:cs="宋体"/>
                <w:snapToGrid w:val="0"/>
                <w:kern w:val="0"/>
                <w:szCs w:val="21"/>
              </w:rPr>
              <w:t>PS</w:t>
            </w:r>
            <w:r>
              <w:rPr>
                <w:rFonts w:ascii="宋体" w:hAnsi="宋体" w:cs="宋体" w:hint="eastAsia"/>
                <w:snapToGrid w:val="0"/>
                <w:kern w:val="0"/>
                <w:szCs w:val="21"/>
              </w:rPr>
              <w:t>的输入输出线引至UPS放置处并预留至少1.5m的线，开关箱装至UPS安装位置的旁边，离地高度1</w:t>
            </w:r>
            <w:r>
              <w:rPr>
                <w:rFonts w:ascii="宋体" w:hAnsi="宋体" w:cs="宋体"/>
                <w:snapToGrid w:val="0"/>
                <w:kern w:val="0"/>
                <w:szCs w:val="21"/>
              </w:rPr>
              <w:t>00</w:t>
            </w:r>
            <w:r>
              <w:rPr>
                <w:rFonts w:ascii="宋体" w:hAnsi="宋体" w:cs="宋体" w:hint="eastAsia"/>
                <w:snapToGrid w:val="0"/>
                <w:kern w:val="0"/>
                <w:szCs w:val="21"/>
              </w:rPr>
              <w:t>cm即可。</w:t>
            </w:r>
          </w:p>
          <w:p w:rsidR="007900F6">
            <w:p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需提供稳压电源，零地电压不超过</w:t>
            </w:r>
            <w:r>
              <w:rPr>
                <w:rFonts w:ascii="宋体" w:hAnsi="宋体"/>
                <w:snapToGrid w:val="0"/>
                <w:kern w:val="0"/>
                <w:szCs w:val="21"/>
              </w:rPr>
              <w:t>2V</w:t>
            </w:r>
            <w:r>
              <w:rPr>
                <w:rFonts w:ascii="宋体" w:hAnsi="宋体" w:hint="eastAsia"/>
                <w:snapToGrid w:val="0"/>
                <w:kern w:val="0"/>
                <w:szCs w:val="21"/>
              </w:rPr>
              <w:t>，且安装开关箱。</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配线要求：</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输入输出线要求：</w:t>
            </w:r>
          </w:p>
          <w:tbl>
            <w:tblPr>
              <w:tblStyle w:val="TableGrid"/>
              <w:tblW w:w="0" w:type="auto"/>
              <w:tblInd w:w="0" w:type="dxa"/>
              <w:tblLook w:val="0000"/>
            </w:tblPr>
            <w:tblGrid>
              <w:gridCol w:w="1431"/>
              <w:gridCol w:w="1431"/>
              <w:gridCol w:w="1431"/>
              <w:gridCol w:w="1554"/>
            </w:tblGrid>
            <w:tr>
              <w:tblPrEx>
                <w:tblW w:w="0" w:type="auto"/>
                <w:tblInd w:w="0" w:type="dxa"/>
                <w:tblLook w:val="0000"/>
              </w:tblPrEx>
              <w:tc>
                <w:tcPr>
                  <w:tcW w:w="2010"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火线</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零线</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地线</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输入空气开关</w:t>
                  </w:r>
                </w:p>
              </w:tc>
            </w:tr>
            <w:tr>
              <w:tblPrEx>
                <w:tblW w:w="0" w:type="auto"/>
                <w:tblInd w:w="0" w:type="dxa"/>
                <w:tblLook w:val="0000"/>
              </w:tblPrEx>
              <w:tc>
                <w:tcPr>
                  <w:tcW w:w="2010"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6mm</w:t>
                  </w:r>
                  <w:r>
                    <w:rPr>
                      <w:rFonts w:ascii="宋体" w:hAnsi="宋体" w:cs="宋体" w:hint="eastAsia"/>
                      <w:snapToGrid w:val="0"/>
                      <w:kern w:val="0"/>
                      <w:szCs w:val="21"/>
                    </w:rPr>
                    <w:t>²</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6mm</w:t>
                  </w:r>
                  <w:r>
                    <w:rPr>
                      <w:rFonts w:ascii="宋体" w:hAnsi="宋体" w:cs="宋体" w:hint="eastAsia"/>
                      <w:snapToGrid w:val="0"/>
                      <w:kern w:val="0"/>
                      <w:szCs w:val="21"/>
                    </w:rPr>
                    <w:t>²</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6mm</w:t>
                  </w:r>
                  <w:r>
                    <w:rPr>
                      <w:rFonts w:ascii="宋体" w:hAnsi="宋体" w:cs="宋体" w:hint="eastAsia"/>
                      <w:snapToGrid w:val="0"/>
                      <w:kern w:val="0"/>
                      <w:szCs w:val="21"/>
                    </w:rPr>
                    <w:t>²</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50A/2P 230VAC</w:t>
                  </w:r>
                </w:p>
              </w:tc>
            </w:tr>
          </w:tbl>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输出线要求：</w:t>
            </w:r>
          </w:p>
          <w:tbl>
            <w:tblPr>
              <w:tblStyle w:val="TableGrid"/>
              <w:tblW w:w="0" w:type="auto"/>
              <w:tblInd w:w="0" w:type="dxa"/>
              <w:tblLook w:val="0000"/>
            </w:tblPr>
            <w:tblGrid>
              <w:gridCol w:w="1430"/>
              <w:gridCol w:w="1431"/>
              <w:gridCol w:w="1431"/>
              <w:gridCol w:w="1555"/>
            </w:tblGrid>
            <w:tr>
              <w:tblPrEx>
                <w:tblW w:w="0" w:type="auto"/>
                <w:tblInd w:w="0" w:type="dxa"/>
                <w:tblLook w:val="0000"/>
              </w:tblPrEx>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火线</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零线</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地线</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输出空气开关</w:t>
                  </w:r>
                </w:p>
              </w:tc>
            </w:tr>
            <w:tr>
              <w:tblPrEx>
                <w:tblW w:w="0" w:type="auto"/>
                <w:tblInd w:w="0" w:type="dxa"/>
                <w:tblLook w:val="0000"/>
              </w:tblPrEx>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6mm</w:t>
                  </w:r>
                  <w:r>
                    <w:rPr>
                      <w:rFonts w:ascii="宋体" w:hAnsi="宋体" w:cs="宋体" w:hint="eastAsia"/>
                      <w:snapToGrid w:val="0"/>
                      <w:kern w:val="0"/>
                      <w:szCs w:val="21"/>
                    </w:rPr>
                    <w:t>²</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6mm</w:t>
                  </w:r>
                  <w:r>
                    <w:rPr>
                      <w:rFonts w:ascii="宋体" w:hAnsi="宋体" w:cs="宋体" w:hint="eastAsia"/>
                      <w:snapToGrid w:val="0"/>
                      <w:kern w:val="0"/>
                      <w:szCs w:val="21"/>
                    </w:rPr>
                    <w:t>²</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6mm</w:t>
                  </w:r>
                  <w:r>
                    <w:rPr>
                      <w:rFonts w:ascii="宋体" w:hAnsi="宋体" w:cs="宋体" w:hint="eastAsia"/>
                      <w:snapToGrid w:val="0"/>
                      <w:kern w:val="0"/>
                      <w:szCs w:val="21"/>
                    </w:rPr>
                    <w:t>²</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50A/2P 230VAC</w:t>
                  </w:r>
                </w:p>
              </w:tc>
            </w:tr>
          </w:tbl>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注：输出空气开关至面板配线使用</w:t>
            </w:r>
            <w:r>
              <w:rPr>
                <w:rFonts w:ascii="宋体" w:hAnsi="宋体"/>
                <w:snapToGrid w:val="0"/>
                <w:kern w:val="0"/>
                <w:szCs w:val="21"/>
              </w:rPr>
              <w:t>4mm</w:t>
            </w:r>
            <w:r>
              <w:rPr>
                <w:rFonts w:ascii="宋体" w:hAnsi="宋体" w:cs="宋体" w:hint="eastAsia"/>
                <w:snapToGrid w:val="0"/>
                <w:kern w:val="0"/>
                <w:szCs w:val="21"/>
              </w:rPr>
              <w:t>²。</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highlight w:val="yellow"/>
              </w:rPr>
            </w:pPr>
          </w:p>
        </w:tc>
        <w:tc>
          <w:tcPr>
            <w:tcW w:w="3560" w:type="pct"/>
            <w:vAlign w:val="center"/>
          </w:tcPr>
          <w:p w:rsidR="007900F6">
            <w:p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3.</w:t>
            </w:r>
            <w:r>
              <w:rPr>
                <w:rFonts w:ascii="宋体" w:hAnsi="宋体" w:cs="宋体"/>
                <w:b/>
                <w:snapToGrid w:val="0"/>
                <w:kern w:val="0"/>
                <w:szCs w:val="21"/>
              </w:rPr>
              <w:t>8</w:t>
            </w:r>
            <w:r>
              <w:rPr>
                <w:rFonts w:ascii="宋体" w:hAnsi="宋体" w:cs="宋体" w:hint="eastAsia"/>
                <w:b/>
                <w:snapToGrid w:val="0"/>
                <w:kern w:val="0"/>
                <w:szCs w:val="21"/>
              </w:rPr>
              <w:t>.2  仪器室</w:t>
            </w:r>
            <w:r>
              <w:rPr>
                <w:rFonts w:ascii="宋体" w:hAnsi="宋体" w:cs="宋体"/>
                <w:b/>
                <w:snapToGrid w:val="0"/>
                <w:kern w:val="0"/>
                <w:szCs w:val="21"/>
              </w:rPr>
              <w:t>3</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配置1台功率</w:t>
            </w:r>
            <w:r>
              <w:rPr>
                <w:rFonts w:ascii="宋体" w:hAnsi="宋体" w:cs="宋体"/>
                <w:snapToGrid w:val="0"/>
                <w:kern w:val="0"/>
                <w:szCs w:val="21"/>
              </w:rPr>
              <w:t>4.5KVA</w:t>
            </w:r>
            <w:r>
              <w:rPr>
                <w:rFonts w:ascii="宋体" w:hAnsi="宋体" w:cs="宋体" w:hint="eastAsia"/>
                <w:snapToGrid w:val="0"/>
                <w:kern w:val="0"/>
                <w:szCs w:val="21"/>
              </w:rPr>
              <w:t>的</w:t>
            </w:r>
            <w:r>
              <w:rPr>
                <w:rFonts w:ascii="宋体" w:hAnsi="宋体"/>
                <w:snapToGrid w:val="0"/>
                <w:kern w:val="0"/>
                <w:szCs w:val="21"/>
              </w:rPr>
              <w:t>UPS不间断电源</w:t>
            </w:r>
            <w:r>
              <w:rPr>
                <w:rFonts w:ascii="宋体" w:hAnsi="宋体" w:cs="宋体" w:hint="eastAsia"/>
                <w:snapToGrid w:val="0"/>
                <w:kern w:val="0"/>
                <w:szCs w:val="21"/>
              </w:rPr>
              <w:t>，后备时间至少一小时。</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请将U</w:t>
            </w:r>
            <w:r>
              <w:rPr>
                <w:rFonts w:ascii="宋体" w:hAnsi="宋体" w:cs="宋体"/>
                <w:snapToGrid w:val="0"/>
                <w:kern w:val="0"/>
                <w:szCs w:val="21"/>
              </w:rPr>
              <w:t>PS</w:t>
            </w:r>
            <w:r>
              <w:rPr>
                <w:rFonts w:ascii="宋体" w:hAnsi="宋体" w:cs="宋体" w:hint="eastAsia"/>
                <w:snapToGrid w:val="0"/>
                <w:kern w:val="0"/>
                <w:szCs w:val="21"/>
              </w:rPr>
              <w:t>的输入输出线引至UPS放置处并预留至少1.5m的线，开关箱装至UPS安装位置的旁边，离地高度1</w:t>
            </w:r>
            <w:r>
              <w:rPr>
                <w:rFonts w:ascii="宋体" w:hAnsi="宋体" w:cs="宋体"/>
                <w:snapToGrid w:val="0"/>
                <w:kern w:val="0"/>
                <w:szCs w:val="21"/>
              </w:rPr>
              <w:t>00</w:t>
            </w:r>
            <w:r>
              <w:rPr>
                <w:rFonts w:ascii="宋体" w:hAnsi="宋体" w:cs="宋体" w:hint="eastAsia"/>
                <w:snapToGrid w:val="0"/>
                <w:kern w:val="0"/>
                <w:szCs w:val="21"/>
              </w:rPr>
              <w:t>cm即可。</w:t>
            </w:r>
          </w:p>
          <w:p w:rsidR="007900F6">
            <w:p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需提供稳压电源，零地电压不超过</w:t>
            </w:r>
            <w:r>
              <w:rPr>
                <w:rFonts w:ascii="宋体" w:hAnsi="宋体"/>
                <w:snapToGrid w:val="0"/>
                <w:kern w:val="0"/>
                <w:szCs w:val="21"/>
              </w:rPr>
              <w:t>2V</w:t>
            </w:r>
            <w:r>
              <w:rPr>
                <w:rFonts w:ascii="宋体" w:hAnsi="宋体" w:hint="eastAsia"/>
                <w:snapToGrid w:val="0"/>
                <w:kern w:val="0"/>
                <w:szCs w:val="21"/>
              </w:rPr>
              <w:t>，且安装开关箱。</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配线要求：</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输入输出线要求：</w:t>
            </w:r>
          </w:p>
          <w:tbl>
            <w:tblPr>
              <w:tblStyle w:val="TableGrid"/>
              <w:tblW w:w="0" w:type="auto"/>
              <w:tblInd w:w="0" w:type="dxa"/>
              <w:tblLook w:val="0000"/>
            </w:tblPr>
            <w:tblGrid>
              <w:gridCol w:w="1431"/>
              <w:gridCol w:w="1431"/>
              <w:gridCol w:w="1431"/>
              <w:gridCol w:w="1554"/>
            </w:tblGrid>
            <w:tr>
              <w:tblPrEx>
                <w:tblW w:w="0" w:type="auto"/>
                <w:tblInd w:w="0" w:type="dxa"/>
                <w:tblLook w:val="0000"/>
              </w:tblPrEx>
              <w:tc>
                <w:tcPr>
                  <w:tcW w:w="2010"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火线</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零线</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地线</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输入空气开关</w:t>
                  </w:r>
                </w:p>
              </w:tc>
            </w:tr>
            <w:tr>
              <w:tblPrEx>
                <w:tblW w:w="0" w:type="auto"/>
                <w:tblInd w:w="0" w:type="dxa"/>
                <w:tblLook w:val="0000"/>
              </w:tblPrEx>
              <w:tc>
                <w:tcPr>
                  <w:tcW w:w="2010"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4mm</w:t>
                  </w:r>
                  <w:r>
                    <w:rPr>
                      <w:rFonts w:ascii="宋体" w:hAnsi="宋体" w:cs="宋体" w:hint="eastAsia"/>
                      <w:snapToGrid w:val="0"/>
                      <w:kern w:val="0"/>
                      <w:szCs w:val="21"/>
                    </w:rPr>
                    <w:t>²</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4mm</w:t>
                  </w:r>
                  <w:r>
                    <w:rPr>
                      <w:rFonts w:ascii="宋体" w:hAnsi="宋体" w:cs="宋体" w:hint="eastAsia"/>
                      <w:snapToGrid w:val="0"/>
                      <w:kern w:val="0"/>
                      <w:szCs w:val="21"/>
                    </w:rPr>
                    <w:t>²</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4mm</w:t>
                  </w:r>
                  <w:r>
                    <w:rPr>
                      <w:rFonts w:ascii="宋体" w:hAnsi="宋体" w:cs="宋体" w:hint="eastAsia"/>
                      <w:snapToGrid w:val="0"/>
                      <w:kern w:val="0"/>
                      <w:szCs w:val="21"/>
                    </w:rPr>
                    <w:t>²</w:t>
                  </w:r>
                </w:p>
              </w:tc>
              <w:tc>
                <w:tcPr>
                  <w:tcW w:w="2011"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32A/2P 230VAC</w:t>
                  </w:r>
                </w:p>
              </w:tc>
            </w:tr>
          </w:tbl>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输出线要求：</w:t>
            </w:r>
          </w:p>
          <w:tbl>
            <w:tblPr>
              <w:tblStyle w:val="TableGrid"/>
              <w:tblW w:w="0" w:type="auto"/>
              <w:tblInd w:w="0" w:type="dxa"/>
              <w:tblLook w:val="0000"/>
            </w:tblPr>
            <w:tblGrid>
              <w:gridCol w:w="1430"/>
              <w:gridCol w:w="1431"/>
              <w:gridCol w:w="1431"/>
              <w:gridCol w:w="1555"/>
            </w:tblGrid>
            <w:tr>
              <w:tblPrEx>
                <w:tblW w:w="0" w:type="auto"/>
                <w:tblInd w:w="0" w:type="dxa"/>
                <w:tblLook w:val="0000"/>
              </w:tblPrEx>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火线</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零线</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地线</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输出空气开关</w:t>
                  </w:r>
                </w:p>
              </w:tc>
            </w:tr>
            <w:tr>
              <w:tblPrEx>
                <w:tblW w:w="0" w:type="auto"/>
                <w:tblInd w:w="0" w:type="dxa"/>
                <w:tblLook w:val="0000"/>
              </w:tblPrEx>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4mm</w:t>
                  </w:r>
                  <w:r>
                    <w:rPr>
                      <w:rFonts w:ascii="宋体" w:hAnsi="宋体" w:cs="宋体" w:hint="eastAsia"/>
                      <w:snapToGrid w:val="0"/>
                      <w:kern w:val="0"/>
                      <w:szCs w:val="21"/>
                    </w:rPr>
                    <w:t>²</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4mm</w:t>
                  </w:r>
                  <w:r>
                    <w:rPr>
                      <w:rFonts w:ascii="宋体" w:hAnsi="宋体" w:cs="宋体" w:hint="eastAsia"/>
                      <w:snapToGrid w:val="0"/>
                      <w:kern w:val="0"/>
                      <w:szCs w:val="21"/>
                    </w:rPr>
                    <w:t>²</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4mm</w:t>
                  </w:r>
                  <w:r>
                    <w:rPr>
                      <w:rFonts w:ascii="宋体" w:hAnsi="宋体" w:cs="宋体" w:hint="eastAsia"/>
                      <w:snapToGrid w:val="0"/>
                      <w:kern w:val="0"/>
                      <w:szCs w:val="21"/>
                    </w:rPr>
                    <w:t>²</w:t>
                  </w:r>
                </w:p>
              </w:tc>
              <w:tc>
                <w:tcPr>
                  <w:tcW w:w="2020"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32A/2P 230VAC</w:t>
                  </w:r>
                </w:p>
              </w:tc>
            </w:tr>
          </w:tbl>
          <w:p w:rsidR="007900F6">
            <w:pPr>
              <w:adjustRightInd w:val="0"/>
              <w:snapToGrid w:val="0"/>
              <w:spacing w:line="360" w:lineRule="auto"/>
              <w:jc w:val="left"/>
              <w:rPr>
                <w:rFonts w:ascii="宋体" w:hAnsi="宋体" w:cs="宋体"/>
                <w:b/>
                <w:snapToGrid w:val="0"/>
                <w:kern w:val="0"/>
                <w:szCs w:val="21"/>
              </w:rPr>
            </w:pPr>
            <w:r>
              <w:rPr>
                <w:rFonts w:ascii="宋体" w:hAnsi="宋体" w:cs="宋体" w:hint="eastAsia"/>
                <w:snapToGrid w:val="0"/>
                <w:kern w:val="0"/>
                <w:szCs w:val="21"/>
              </w:rPr>
              <w:t>注：输出空气开关至面板配线使用</w:t>
            </w:r>
            <w:r>
              <w:rPr>
                <w:rFonts w:ascii="宋体" w:hAnsi="宋体"/>
                <w:snapToGrid w:val="0"/>
                <w:kern w:val="0"/>
                <w:szCs w:val="21"/>
              </w:rPr>
              <w:t>2.5mm</w:t>
            </w:r>
            <w:r>
              <w:rPr>
                <w:rFonts w:ascii="宋体" w:hAnsi="宋体" w:cs="宋体" w:hint="eastAsia"/>
                <w:snapToGrid w:val="0"/>
                <w:kern w:val="0"/>
                <w:szCs w:val="21"/>
              </w:rPr>
              <w:t>²。</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highlight w:val="yellow"/>
              </w:rPr>
            </w:pPr>
          </w:p>
        </w:tc>
        <w:tc>
          <w:tcPr>
            <w:tcW w:w="3560" w:type="pct"/>
            <w:vAlign w:val="center"/>
          </w:tcPr>
          <w:p w:rsidR="007900F6">
            <w:p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3.6.3  计算机数据机房</w:t>
            </w:r>
            <w:r>
              <w:rPr>
                <w:rFonts w:ascii="宋体" w:hAnsi="宋体" w:cs="宋体" w:hint="eastAsia"/>
                <w:b/>
                <w:snapToGrid w:val="0"/>
                <w:kern w:val="0"/>
                <w:szCs w:val="21"/>
                <w:shd w:val="clear" w:color="auto" w:fill="9BBB59"/>
              </w:rPr>
              <w:t>（此机房是实验专用数据机房）</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配置1台功率</w:t>
            </w:r>
            <w:r>
              <w:rPr>
                <w:rFonts w:ascii="宋体" w:hAnsi="宋体" w:cs="宋体"/>
                <w:snapToGrid w:val="0"/>
                <w:kern w:val="0"/>
                <w:szCs w:val="21"/>
              </w:rPr>
              <w:t>20KVA</w:t>
            </w:r>
            <w:r>
              <w:rPr>
                <w:rFonts w:ascii="宋体" w:hAnsi="宋体" w:cs="宋体" w:hint="eastAsia"/>
                <w:snapToGrid w:val="0"/>
                <w:kern w:val="0"/>
                <w:szCs w:val="21"/>
              </w:rPr>
              <w:t>的</w:t>
            </w:r>
            <w:r>
              <w:rPr>
                <w:rFonts w:ascii="宋体" w:hAnsi="宋体"/>
                <w:snapToGrid w:val="0"/>
                <w:kern w:val="0"/>
                <w:szCs w:val="21"/>
              </w:rPr>
              <w:t>UPS不间断电源</w:t>
            </w:r>
            <w:r>
              <w:rPr>
                <w:rFonts w:ascii="宋体" w:hAnsi="宋体" w:cs="宋体" w:hint="eastAsia"/>
                <w:snapToGrid w:val="0"/>
                <w:kern w:val="0"/>
                <w:szCs w:val="21"/>
              </w:rPr>
              <w:t>，后备时间至少一小时。</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请将U</w:t>
            </w:r>
            <w:r>
              <w:rPr>
                <w:rFonts w:ascii="宋体" w:hAnsi="宋体" w:cs="宋体"/>
                <w:snapToGrid w:val="0"/>
                <w:kern w:val="0"/>
                <w:szCs w:val="21"/>
              </w:rPr>
              <w:t>PS</w:t>
            </w:r>
            <w:r>
              <w:rPr>
                <w:rFonts w:ascii="宋体" w:hAnsi="宋体" w:cs="宋体" w:hint="eastAsia"/>
                <w:snapToGrid w:val="0"/>
                <w:kern w:val="0"/>
                <w:szCs w:val="21"/>
              </w:rPr>
              <w:t>的输入输出线引至UPS放置处并预留至少1.5m的线，开关箱装至UPS安装位置的旁边，离地高度1</w:t>
            </w:r>
            <w:r>
              <w:rPr>
                <w:rFonts w:ascii="宋体" w:hAnsi="宋体" w:cs="宋体"/>
                <w:snapToGrid w:val="0"/>
                <w:kern w:val="0"/>
                <w:szCs w:val="21"/>
              </w:rPr>
              <w:t>00</w:t>
            </w:r>
            <w:r>
              <w:rPr>
                <w:rFonts w:ascii="宋体" w:hAnsi="宋体" w:cs="宋体" w:hint="eastAsia"/>
                <w:snapToGrid w:val="0"/>
                <w:kern w:val="0"/>
                <w:szCs w:val="21"/>
              </w:rPr>
              <w:t>cm即可。</w:t>
            </w:r>
          </w:p>
          <w:p w:rsidR="007900F6">
            <w:p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需提供稳压电源，零地电压不超过</w:t>
            </w:r>
            <w:r>
              <w:rPr>
                <w:rFonts w:ascii="宋体" w:hAnsi="宋体"/>
                <w:snapToGrid w:val="0"/>
                <w:kern w:val="0"/>
                <w:szCs w:val="21"/>
              </w:rPr>
              <w:t>2V</w:t>
            </w:r>
            <w:r>
              <w:rPr>
                <w:rFonts w:ascii="宋体" w:hAnsi="宋体" w:hint="eastAsia"/>
                <w:snapToGrid w:val="0"/>
                <w:kern w:val="0"/>
                <w:szCs w:val="21"/>
              </w:rPr>
              <w:t>，且安装开关箱。</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配线要求：</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输入输出线要求：</w:t>
            </w:r>
          </w:p>
          <w:tbl>
            <w:tblPr>
              <w:tblStyle w:val="TableGrid"/>
              <w:tblW w:w="0" w:type="auto"/>
              <w:tblInd w:w="0" w:type="dxa"/>
              <w:tblLook w:val="0000"/>
            </w:tblPr>
            <w:tblGrid>
              <w:gridCol w:w="1004"/>
              <w:gridCol w:w="1637"/>
              <w:gridCol w:w="1370"/>
              <w:gridCol w:w="1836"/>
            </w:tblGrid>
            <w:tr>
              <w:tblPrEx>
                <w:tblW w:w="0" w:type="auto"/>
                <w:tblInd w:w="0" w:type="dxa"/>
                <w:tblLook w:val="0000"/>
              </w:tblPrEx>
              <w:tc>
                <w:tcPr>
                  <w:tcW w:w="1027"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火线</w:t>
                  </w:r>
                </w:p>
              </w:tc>
              <w:tc>
                <w:tcPr>
                  <w:tcW w:w="1701"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零线</w:t>
                  </w:r>
                </w:p>
              </w:tc>
              <w:tc>
                <w:tcPr>
                  <w:tcW w:w="1417"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地线</w:t>
                  </w:r>
                </w:p>
              </w:tc>
              <w:tc>
                <w:tcPr>
                  <w:tcW w:w="1899" w:type="dxa"/>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输入空气开关</w:t>
                  </w:r>
                </w:p>
              </w:tc>
            </w:tr>
            <w:tr>
              <w:tblPrEx>
                <w:tblW w:w="0" w:type="auto"/>
                <w:tblInd w:w="0" w:type="dxa"/>
                <w:tblLook w:val="0000"/>
              </w:tblPrEx>
              <w:tc>
                <w:tcPr>
                  <w:tcW w:w="1027"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10mm</w:t>
                  </w:r>
                  <w:r>
                    <w:rPr>
                      <w:rFonts w:ascii="宋体" w:hAnsi="宋体" w:cs="宋体" w:hint="eastAsia"/>
                      <w:snapToGrid w:val="0"/>
                      <w:kern w:val="0"/>
                      <w:szCs w:val="21"/>
                    </w:rPr>
                    <w:t>²</w:t>
                  </w:r>
                </w:p>
              </w:tc>
              <w:tc>
                <w:tcPr>
                  <w:tcW w:w="1701"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10mm</w:t>
                  </w:r>
                  <w:r>
                    <w:rPr>
                      <w:rFonts w:ascii="宋体" w:hAnsi="宋体" w:cs="宋体" w:hint="eastAsia"/>
                      <w:snapToGrid w:val="0"/>
                      <w:kern w:val="0"/>
                      <w:szCs w:val="21"/>
                    </w:rPr>
                    <w:t>²</w:t>
                  </w:r>
                </w:p>
              </w:tc>
              <w:tc>
                <w:tcPr>
                  <w:tcW w:w="1417"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10mm</w:t>
                  </w:r>
                  <w:r>
                    <w:rPr>
                      <w:rFonts w:ascii="宋体" w:hAnsi="宋体" w:cs="宋体" w:hint="eastAsia"/>
                      <w:snapToGrid w:val="0"/>
                      <w:kern w:val="0"/>
                      <w:szCs w:val="21"/>
                    </w:rPr>
                    <w:t>²</w:t>
                  </w:r>
                </w:p>
              </w:tc>
              <w:tc>
                <w:tcPr>
                  <w:tcW w:w="1899" w:type="dxa"/>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63A/3P 230VAC</w:t>
                  </w:r>
                </w:p>
              </w:tc>
            </w:tr>
          </w:tbl>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输出线要求：</w:t>
            </w:r>
          </w:p>
          <w:tbl>
            <w:tblPr>
              <w:tblStyle w:val="TableGrid"/>
              <w:tblW w:w="0" w:type="auto"/>
              <w:tblInd w:w="0" w:type="dxa"/>
              <w:tblLook w:val="0000"/>
            </w:tblPr>
            <w:tblGrid>
              <w:gridCol w:w="1004"/>
              <w:gridCol w:w="1637"/>
              <w:gridCol w:w="1370"/>
              <w:gridCol w:w="1836"/>
            </w:tblGrid>
            <w:tr>
              <w:tblPrEx>
                <w:tblW w:w="0" w:type="auto"/>
                <w:tblInd w:w="0" w:type="dxa"/>
                <w:tblLook w:val="0000"/>
              </w:tblPrEx>
              <w:tc>
                <w:tcPr>
                  <w:tcW w:w="1027"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火线</w:t>
                  </w:r>
                </w:p>
              </w:tc>
              <w:tc>
                <w:tcPr>
                  <w:tcW w:w="1701"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零线</w:t>
                  </w:r>
                </w:p>
              </w:tc>
              <w:tc>
                <w:tcPr>
                  <w:tcW w:w="1417"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地线</w:t>
                  </w:r>
                </w:p>
              </w:tc>
              <w:tc>
                <w:tcPr>
                  <w:tcW w:w="1899"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输出空气开关</w:t>
                  </w:r>
                </w:p>
              </w:tc>
            </w:tr>
            <w:tr>
              <w:tblPrEx>
                <w:tblW w:w="0" w:type="auto"/>
                <w:tblInd w:w="0" w:type="dxa"/>
                <w:tblLook w:val="0000"/>
              </w:tblPrEx>
              <w:tc>
                <w:tcPr>
                  <w:tcW w:w="1027"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10mm</w:t>
                  </w:r>
                  <w:r>
                    <w:rPr>
                      <w:rFonts w:ascii="宋体" w:hAnsi="宋体" w:cs="宋体" w:hint="eastAsia"/>
                      <w:snapToGrid w:val="0"/>
                      <w:kern w:val="0"/>
                      <w:szCs w:val="21"/>
                    </w:rPr>
                    <w:t>²</w:t>
                  </w:r>
                </w:p>
              </w:tc>
              <w:tc>
                <w:tcPr>
                  <w:tcW w:w="1701"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10mm</w:t>
                  </w:r>
                  <w:r>
                    <w:rPr>
                      <w:rFonts w:ascii="宋体" w:hAnsi="宋体" w:cs="宋体" w:hint="eastAsia"/>
                      <w:snapToGrid w:val="0"/>
                      <w:kern w:val="0"/>
                      <w:szCs w:val="21"/>
                    </w:rPr>
                    <w:t>²</w:t>
                  </w:r>
                </w:p>
              </w:tc>
              <w:tc>
                <w:tcPr>
                  <w:tcW w:w="1417"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10mm</w:t>
                  </w:r>
                  <w:r>
                    <w:rPr>
                      <w:rFonts w:ascii="宋体" w:hAnsi="宋体" w:cs="宋体" w:hint="eastAsia"/>
                      <w:snapToGrid w:val="0"/>
                      <w:kern w:val="0"/>
                      <w:szCs w:val="21"/>
                    </w:rPr>
                    <w:t>²</w:t>
                  </w:r>
                </w:p>
              </w:tc>
              <w:tc>
                <w:tcPr>
                  <w:tcW w:w="1899" w:type="dxa"/>
                  <w:vAlign w:val="center"/>
                </w:tcPr>
                <w:p w:rsidR="007900F6">
                  <w:pPr>
                    <w:adjustRightInd w:val="0"/>
                    <w:snapToGrid w:val="0"/>
                    <w:spacing w:line="360" w:lineRule="auto"/>
                    <w:jc w:val="left"/>
                    <w:rPr>
                      <w:rFonts w:ascii="宋体" w:hAnsi="宋体" w:cs="宋体"/>
                      <w:snapToGrid w:val="0"/>
                      <w:kern w:val="0"/>
                      <w:szCs w:val="21"/>
                    </w:rPr>
                  </w:pPr>
                  <w:r>
                    <w:rPr>
                      <w:rFonts w:ascii="宋体" w:hAnsi="宋体"/>
                      <w:snapToGrid w:val="0"/>
                      <w:kern w:val="0"/>
                      <w:szCs w:val="21"/>
                    </w:rPr>
                    <w:t>63A/3P 230VAC</w:t>
                  </w:r>
                </w:p>
              </w:tc>
            </w:tr>
          </w:tbl>
          <w:p w:rsidR="007900F6">
            <w:pPr>
              <w:adjustRightInd w:val="0"/>
              <w:snapToGrid w:val="0"/>
              <w:spacing w:line="360" w:lineRule="auto"/>
              <w:jc w:val="left"/>
              <w:rPr>
                <w:rFonts w:ascii="宋体" w:hAnsi="宋体" w:cs="宋体"/>
                <w:b/>
                <w:snapToGrid w:val="0"/>
                <w:kern w:val="0"/>
                <w:szCs w:val="21"/>
              </w:rPr>
            </w:pPr>
            <w:r>
              <w:rPr>
                <w:rFonts w:ascii="宋体" w:hAnsi="宋体" w:cs="宋体" w:hint="eastAsia"/>
                <w:snapToGrid w:val="0"/>
                <w:kern w:val="0"/>
                <w:szCs w:val="21"/>
              </w:rPr>
              <w:t>注：输出空气开关至面板配线使用</w:t>
            </w:r>
            <w:r>
              <w:rPr>
                <w:rFonts w:ascii="宋体" w:hAnsi="宋体"/>
                <w:snapToGrid w:val="0"/>
                <w:kern w:val="0"/>
                <w:szCs w:val="21"/>
              </w:rPr>
              <w:t>6mm</w:t>
            </w:r>
            <w:r>
              <w:rPr>
                <w:rFonts w:ascii="宋体" w:hAnsi="宋体" w:cs="宋体" w:hint="eastAsia"/>
                <w:snapToGrid w:val="0"/>
                <w:kern w:val="0"/>
                <w:szCs w:val="21"/>
              </w:rPr>
              <w:t>²。</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highlight w:val="yellow"/>
              </w:rPr>
            </w:pPr>
          </w:p>
        </w:tc>
        <w:tc>
          <w:tcPr>
            <w:tcW w:w="3560" w:type="pct"/>
            <w:vAlign w:val="center"/>
          </w:tcPr>
          <w:p w:rsidR="007900F6">
            <w:p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3.</w:t>
            </w:r>
            <w:r>
              <w:rPr>
                <w:rFonts w:ascii="宋体" w:hAnsi="宋体"/>
                <w:snapToGrid w:val="0"/>
                <w:kern w:val="0"/>
                <w:szCs w:val="21"/>
              </w:rPr>
              <w:t>8</w:t>
            </w:r>
            <w:r>
              <w:rPr>
                <w:rFonts w:ascii="宋体" w:hAnsi="宋体" w:hint="eastAsia"/>
                <w:snapToGrid w:val="0"/>
                <w:kern w:val="0"/>
                <w:szCs w:val="21"/>
              </w:rPr>
              <w:t xml:space="preserve">.4 </w:t>
            </w:r>
            <w:r>
              <w:rPr>
                <w:rFonts w:ascii="宋体" w:hAnsi="宋体" w:hint="eastAsia"/>
                <w:snapToGrid w:val="0"/>
                <w:szCs w:val="21"/>
              </w:rPr>
              <w:t>▲</w:t>
            </w:r>
            <w:r>
              <w:rPr>
                <w:rFonts w:ascii="宋体" w:hAnsi="宋体" w:hint="eastAsia"/>
                <w:snapToGrid w:val="0"/>
                <w:kern w:val="0"/>
                <w:szCs w:val="21"/>
              </w:rPr>
              <w:t>基本要求：</w:t>
            </w:r>
          </w:p>
          <w:p w:rsidR="007900F6">
            <w:pPr>
              <w:numPr>
                <w:ilvl w:val="0"/>
                <w:numId w:val="65"/>
              </w:numPr>
              <w:adjustRightInd w:val="0"/>
              <w:snapToGrid w:val="0"/>
              <w:spacing w:line="360" w:lineRule="auto"/>
              <w:ind w:left="0" w:firstLine="0"/>
              <w:jc w:val="left"/>
              <w:rPr>
                <w:rFonts w:ascii="宋体" w:hAnsi="宋体"/>
                <w:snapToGrid w:val="0"/>
                <w:kern w:val="0"/>
                <w:szCs w:val="21"/>
              </w:rPr>
            </w:pPr>
            <w:r>
              <w:rPr>
                <w:rFonts w:ascii="宋体" w:hAnsi="宋体"/>
                <w:snapToGrid w:val="0"/>
                <w:kern w:val="0"/>
                <w:szCs w:val="21"/>
              </w:rPr>
              <w:t>UPS不间断电源</w:t>
            </w:r>
            <w:r>
              <w:rPr>
                <w:rFonts w:ascii="宋体" w:hAnsi="宋体" w:hint="eastAsia"/>
                <w:snapToGrid w:val="0"/>
                <w:kern w:val="0"/>
                <w:szCs w:val="21"/>
              </w:rPr>
              <w:t>配有手动和自动维修旁路。</w:t>
            </w:r>
          </w:p>
          <w:p w:rsidR="007900F6">
            <w:pPr>
              <w:numPr>
                <w:ilvl w:val="0"/>
                <w:numId w:val="65"/>
              </w:numPr>
              <w:adjustRightInd w:val="0"/>
              <w:snapToGrid w:val="0"/>
              <w:spacing w:line="360" w:lineRule="auto"/>
              <w:ind w:left="0" w:firstLine="0"/>
              <w:jc w:val="left"/>
              <w:rPr>
                <w:rFonts w:ascii="宋体" w:hAnsi="宋体"/>
                <w:snapToGrid w:val="0"/>
                <w:kern w:val="0"/>
                <w:szCs w:val="21"/>
              </w:rPr>
            </w:pPr>
            <w:r>
              <w:rPr>
                <w:rFonts w:ascii="宋体" w:hAnsi="宋体"/>
                <w:snapToGrid w:val="0"/>
                <w:kern w:val="0"/>
                <w:szCs w:val="21"/>
              </w:rPr>
              <w:t>UPS不间断电源</w:t>
            </w:r>
            <w:r>
              <w:rPr>
                <w:rFonts w:ascii="宋体" w:hAnsi="宋体" w:hint="eastAsia"/>
                <w:snapToGrid w:val="0"/>
                <w:kern w:val="0"/>
                <w:szCs w:val="21"/>
              </w:rPr>
              <w:t>配有电输入输出控制开关。</w:t>
            </w:r>
          </w:p>
          <w:p w:rsidR="007900F6">
            <w:pPr>
              <w:numPr>
                <w:ilvl w:val="0"/>
                <w:numId w:val="65"/>
              </w:numPr>
              <w:adjustRightInd w:val="0"/>
              <w:snapToGrid w:val="0"/>
              <w:spacing w:line="360" w:lineRule="auto"/>
              <w:ind w:left="0" w:firstLine="0"/>
              <w:jc w:val="left"/>
              <w:rPr>
                <w:rFonts w:ascii="宋体" w:hAnsi="宋体"/>
                <w:snapToGrid w:val="0"/>
                <w:kern w:val="0"/>
                <w:szCs w:val="21"/>
              </w:rPr>
            </w:pPr>
            <w:r>
              <w:rPr>
                <w:rFonts w:ascii="宋体" w:hAnsi="宋体"/>
                <w:snapToGrid w:val="0"/>
                <w:kern w:val="0"/>
                <w:szCs w:val="21"/>
              </w:rPr>
              <w:t>UPS不间断电源</w:t>
            </w:r>
            <w:r>
              <w:rPr>
                <w:rFonts w:ascii="宋体" w:hAnsi="宋体" w:hint="eastAsia"/>
                <w:snapToGrid w:val="0"/>
                <w:kern w:val="0"/>
                <w:szCs w:val="21"/>
              </w:rPr>
              <w:t>配有电池保险保护装置。</w:t>
            </w:r>
          </w:p>
          <w:p w:rsidR="007900F6">
            <w:pPr>
              <w:numPr>
                <w:ilvl w:val="0"/>
                <w:numId w:val="65"/>
              </w:numPr>
              <w:adjustRightInd w:val="0"/>
              <w:snapToGrid w:val="0"/>
              <w:spacing w:line="360" w:lineRule="auto"/>
              <w:ind w:left="0" w:firstLine="0"/>
              <w:jc w:val="left"/>
              <w:rPr>
                <w:rFonts w:ascii="宋体" w:hAnsi="宋体"/>
                <w:snapToGrid w:val="0"/>
                <w:kern w:val="0"/>
                <w:szCs w:val="21"/>
              </w:rPr>
            </w:pPr>
            <w:r>
              <w:rPr>
                <w:rFonts w:ascii="宋体" w:hAnsi="宋体"/>
                <w:snapToGrid w:val="0"/>
                <w:kern w:val="0"/>
                <w:szCs w:val="21"/>
              </w:rPr>
              <w:t xml:space="preserve">UPS 工作环境温度为0-40°C，为确保UPS 稳定高效的运行，温度最好控制在20-30°C </w:t>
            </w:r>
            <w:r>
              <w:rPr>
                <w:rFonts w:ascii="宋体" w:hAnsi="宋体" w:hint="eastAsia"/>
                <w:snapToGrid w:val="0"/>
                <w:kern w:val="0"/>
                <w:szCs w:val="21"/>
              </w:rPr>
              <w:t>之间。</w:t>
            </w:r>
          </w:p>
          <w:p w:rsidR="007900F6">
            <w:pPr>
              <w:numPr>
                <w:ilvl w:val="0"/>
                <w:numId w:val="65"/>
              </w:numPr>
              <w:adjustRightInd w:val="0"/>
              <w:snapToGrid w:val="0"/>
              <w:spacing w:line="360" w:lineRule="auto"/>
              <w:ind w:left="0" w:firstLine="0"/>
              <w:jc w:val="left"/>
              <w:rPr>
                <w:rFonts w:ascii="宋体" w:hAnsi="宋体"/>
                <w:snapToGrid w:val="0"/>
                <w:kern w:val="0"/>
                <w:szCs w:val="21"/>
              </w:rPr>
            </w:pPr>
            <w:r>
              <w:rPr>
                <w:rFonts w:ascii="宋体" w:hAnsi="宋体" w:cs="宋体" w:hint="eastAsia"/>
                <w:snapToGrid w:val="0"/>
                <w:kern w:val="0"/>
                <w:szCs w:val="21"/>
              </w:rPr>
              <w:t>请将</w:t>
            </w:r>
            <w:r>
              <w:rPr>
                <w:rFonts w:ascii="宋体" w:hAnsi="宋体" w:cs="宋体"/>
                <w:snapToGrid w:val="0"/>
                <w:kern w:val="0"/>
                <w:szCs w:val="21"/>
              </w:rPr>
              <w:t xml:space="preserve"> UPS </w:t>
            </w:r>
            <w:r>
              <w:rPr>
                <w:rFonts w:ascii="宋体" w:hAnsi="宋体" w:cs="宋体" w:hint="eastAsia"/>
                <w:snapToGrid w:val="0"/>
                <w:kern w:val="0"/>
                <w:szCs w:val="21"/>
              </w:rPr>
              <w:t>的输入输出线引至</w:t>
            </w:r>
            <w:r>
              <w:rPr>
                <w:rFonts w:ascii="宋体" w:hAnsi="宋体" w:cs="宋体"/>
                <w:snapToGrid w:val="0"/>
                <w:kern w:val="0"/>
                <w:szCs w:val="21"/>
              </w:rPr>
              <w:t xml:space="preserve">UPS </w:t>
            </w:r>
            <w:r>
              <w:rPr>
                <w:rFonts w:ascii="宋体" w:hAnsi="宋体" w:cs="宋体" w:hint="eastAsia"/>
                <w:snapToGrid w:val="0"/>
                <w:kern w:val="0"/>
                <w:szCs w:val="21"/>
              </w:rPr>
              <w:t>放置处，开关箱装至</w:t>
            </w:r>
            <w:r>
              <w:rPr>
                <w:rFonts w:ascii="宋体" w:hAnsi="宋体" w:cs="宋体"/>
                <w:snapToGrid w:val="0"/>
                <w:kern w:val="0"/>
                <w:szCs w:val="21"/>
              </w:rPr>
              <w:t xml:space="preserve">UPS </w:t>
            </w:r>
            <w:r>
              <w:rPr>
                <w:rFonts w:ascii="宋体" w:hAnsi="宋体" w:cs="宋体" w:hint="eastAsia"/>
                <w:snapToGrid w:val="0"/>
                <w:kern w:val="0"/>
                <w:szCs w:val="21"/>
              </w:rPr>
              <w:t>安装位置旁边，离地高</w:t>
            </w:r>
            <w:r>
              <w:rPr>
                <w:rFonts w:ascii="宋体" w:hAnsi="宋体" w:hint="eastAsia"/>
                <w:snapToGrid w:val="0"/>
                <w:kern w:val="0"/>
                <w:szCs w:val="21"/>
              </w:rPr>
              <w:t>度</w:t>
            </w:r>
            <w:r>
              <w:rPr>
                <w:rFonts w:ascii="宋体" w:hAnsi="宋体"/>
                <w:snapToGrid w:val="0"/>
                <w:kern w:val="0"/>
                <w:szCs w:val="21"/>
              </w:rPr>
              <w:t xml:space="preserve">100cm </w:t>
            </w:r>
            <w:r>
              <w:rPr>
                <w:rFonts w:ascii="宋体" w:hAnsi="宋体" w:hint="eastAsia"/>
                <w:snapToGrid w:val="0"/>
                <w:kern w:val="0"/>
                <w:szCs w:val="21"/>
              </w:rPr>
              <w:t>左右。</w:t>
            </w:r>
            <w:r>
              <w:rPr>
                <w:rFonts w:ascii="宋体" w:hAnsi="宋体"/>
                <w:snapToGrid w:val="0"/>
                <w:kern w:val="0"/>
                <w:szCs w:val="21"/>
              </w:rPr>
              <w:t xml:space="preserve">UPS </w:t>
            </w:r>
            <w:r>
              <w:rPr>
                <w:rFonts w:ascii="宋体" w:hAnsi="宋体" w:hint="eastAsia"/>
                <w:snapToGrid w:val="0"/>
                <w:kern w:val="0"/>
                <w:szCs w:val="21"/>
              </w:rPr>
              <w:t>主机与电池箱安放在一起，周围至少预留</w:t>
            </w:r>
            <w:r>
              <w:rPr>
                <w:rFonts w:ascii="宋体" w:hAnsi="宋体"/>
                <w:snapToGrid w:val="0"/>
                <w:kern w:val="0"/>
                <w:szCs w:val="21"/>
              </w:rPr>
              <w:t>30cm</w:t>
            </w:r>
            <w:r>
              <w:rPr>
                <w:rFonts w:ascii="宋体" w:hAnsi="宋体" w:hint="eastAsia"/>
                <w:snapToGrid w:val="0"/>
                <w:kern w:val="0"/>
                <w:szCs w:val="21"/>
              </w:rPr>
              <w:t>以上的位置空间方便日后维护。</w:t>
            </w:r>
          </w:p>
          <w:p w:rsidR="007900F6">
            <w:pPr>
              <w:numPr>
                <w:ilvl w:val="0"/>
                <w:numId w:val="65"/>
              </w:numPr>
              <w:adjustRightInd w:val="0"/>
              <w:snapToGrid w:val="0"/>
              <w:spacing w:line="360" w:lineRule="auto"/>
              <w:ind w:left="0" w:firstLine="0"/>
              <w:jc w:val="left"/>
              <w:rPr>
                <w:rFonts w:ascii="宋体" w:hAnsi="宋体"/>
                <w:snapToGrid w:val="0"/>
                <w:kern w:val="0"/>
                <w:szCs w:val="21"/>
              </w:rPr>
            </w:pPr>
            <w:r>
              <w:rPr>
                <w:rFonts w:ascii="宋体" w:hAnsi="宋体"/>
                <w:snapToGrid w:val="0"/>
                <w:kern w:val="0"/>
                <w:szCs w:val="21"/>
              </w:rPr>
              <w:t>UPS不间断电源</w:t>
            </w:r>
            <w:r>
              <w:rPr>
                <w:rFonts w:ascii="宋体" w:hAnsi="宋体" w:hint="eastAsia"/>
                <w:snapToGrid w:val="0"/>
                <w:kern w:val="0"/>
                <w:szCs w:val="21"/>
              </w:rPr>
              <w:t>具有</w:t>
            </w:r>
            <w:r>
              <w:rPr>
                <w:rFonts w:ascii="宋体" w:hAnsi="宋体"/>
                <w:snapToGrid w:val="0"/>
                <w:kern w:val="0"/>
                <w:szCs w:val="21"/>
              </w:rPr>
              <w:t>超宽输入电压抗扰范围</w:t>
            </w:r>
            <w:r>
              <w:rPr>
                <w:rFonts w:ascii="宋体" w:hAnsi="宋体" w:hint="eastAsia"/>
                <w:snapToGrid w:val="0"/>
                <w:kern w:val="0"/>
                <w:szCs w:val="21"/>
              </w:rPr>
              <w:t>，</w:t>
            </w:r>
            <w:r>
              <w:rPr>
                <w:rFonts w:ascii="宋体" w:hAnsi="宋体"/>
                <w:snapToGrid w:val="0"/>
                <w:kern w:val="0"/>
                <w:szCs w:val="21"/>
              </w:rPr>
              <w:t>适应恶劣电网环境</w:t>
            </w:r>
            <w:r>
              <w:rPr>
                <w:rFonts w:ascii="宋体" w:hAnsi="宋体" w:hint="eastAsia"/>
                <w:snapToGrid w:val="0"/>
                <w:kern w:val="0"/>
                <w:szCs w:val="21"/>
              </w:rPr>
              <w:t>。</w:t>
            </w:r>
          </w:p>
          <w:p w:rsidR="007900F6">
            <w:pPr>
              <w:numPr>
                <w:ilvl w:val="0"/>
                <w:numId w:val="65"/>
              </w:numPr>
              <w:adjustRightInd w:val="0"/>
              <w:snapToGrid w:val="0"/>
              <w:spacing w:line="360" w:lineRule="auto"/>
              <w:ind w:left="0" w:firstLine="0"/>
              <w:jc w:val="left"/>
              <w:rPr>
                <w:rFonts w:ascii="宋体" w:hAnsi="宋体"/>
                <w:snapToGrid w:val="0"/>
                <w:kern w:val="0"/>
                <w:szCs w:val="21"/>
              </w:rPr>
            </w:pPr>
            <w:r>
              <w:rPr>
                <w:rFonts w:ascii="宋体" w:hAnsi="宋体" w:hint="eastAsia"/>
                <w:snapToGrid w:val="0"/>
                <w:kern w:val="0"/>
                <w:szCs w:val="21"/>
              </w:rPr>
              <w:t>具有输出隔离变压器</w:t>
            </w:r>
            <w:r>
              <w:rPr>
                <w:rFonts w:ascii="宋体" w:hAnsi="宋体"/>
                <w:snapToGrid w:val="0"/>
                <w:kern w:val="0"/>
                <w:szCs w:val="21"/>
              </w:rPr>
              <w:t>,保证UP</w:t>
            </w:r>
            <w:r>
              <w:rPr>
                <w:rFonts w:ascii="宋体" w:hAnsi="宋体" w:hint="eastAsia"/>
                <w:snapToGrid w:val="0"/>
                <w:kern w:val="0"/>
                <w:szCs w:val="21"/>
              </w:rPr>
              <w:t>S</w:t>
            </w:r>
            <w:r>
              <w:rPr>
                <w:rFonts w:ascii="宋体" w:hAnsi="宋体"/>
                <w:snapToGrid w:val="0"/>
                <w:kern w:val="0"/>
                <w:szCs w:val="21"/>
              </w:rPr>
              <w:t>输出侧与市电的完全隔离</w:t>
            </w:r>
            <w:r>
              <w:rPr>
                <w:rFonts w:ascii="宋体" w:hAnsi="宋体" w:hint="eastAsia"/>
                <w:snapToGrid w:val="0"/>
                <w:kern w:val="0"/>
                <w:szCs w:val="21"/>
              </w:rPr>
              <w:t>。</w:t>
            </w:r>
          </w:p>
          <w:p w:rsidR="007900F6">
            <w:pPr>
              <w:numPr>
                <w:ilvl w:val="0"/>
                <w:numId w:val="65"/>
              </w:numPr>
              <w:adjustRightInd w:val="0"/>
              <w:snapToGrid w:val="0"/>
              <w:spacing w:line="360" w:lineRule="auto"/>
              <w:ind w:left="0" w:firstLine="0"/>
              <w:jc w:val="left"/>
              <w:rPr>
                <w:rFonts w:ascii="宋体" w:hAnsi="宋体"/>
                <w:snapToGrid w:val="0"/>
                <w:kern w:val="0"/>
                <w:szCs w:val="21"/>
              </w:rPr>
            </w:pPr>
            <w:r>
              <w:rPr>
                <w:rFonts w:ascii="宋体" w:hAnsi="宋体" w:hint="eastAsia"/>
                <w:snapToGrid w:val="0"/>
                <w:kern w:val="0"/>
                <w:szCs w:val="21"/>
              </w:rPr>
              <w:t>有良好的防爆能力，蓄电池外部遇明火时，电池内部不会引燃、引爆。</w:t>
            </w:r>
          </w:p>
          <w:p w:rsidR="007900F6">
            <w:pPr>
              <w:numPr>
                <w:ilvl w:val="0"/>
                <w:numId w:val="65"/>
              </w:numPr>
              <w:snapToGrid w:val="0"/>
              <w:spacing w:line="360" w:lineRule="auto"/>
              <w:rPr>
                <w:rFonts w:ascii="宋体" w:hAnsi="宋体"/>
                <w:snapToGrid w:val="0"/>
                <w:kern w:val="0"/>
                <w:szCs w:val="21"/>
              </w:rPr>
            </w:pPr>
            <w:r>
              <w:rPr>
                <w:rFonts w:ascii="宋体" w:hAnsi="宋体" w:hint="eastAsia"/>
                <w:snapToGrid w:val="0"/>
                <w:kern w:val="0"/>
                <w:szCs w:val="21"/>
              </w:rPr>
              <w:t>所有固态的电力部件和电子装置的最高工作电压，电流和</w:t>
            </w:r>
            <w:r>
              <w:rPr>
                <w:rFonts w:ascii="宋体" w:hAnsi="宋体"/>
                <w:snapToGrid w:val="0"/>
                <w:kern w:val="0"/>
                <w:szCs w:val="21"/>
              </w:rPr>
              <w:t>di/dt 率不得超过其制造厂商制定额定值的75％ 。固态组件外壳的工作温度不得超过其额定工作温度的75％。电解液电容器须为计算机级，其工作电压须低于额定电压之75％。</w:t>
            </w:r>
          </w:p>
          <w:p w:rsidR="007900F6">
            <w:pPr>
              <w:numPr>
                <w:ilvl w:val="0"/>
                <w:numId w:val="65"/>
              </w:numPr>
              <w:snapToGrid w:val="0"/>
              <w:spacing w:line="360" w:lineRule="auto"/>
              <w:rPr>
                <w:rFonts w:ascii="宋体" w:hAnsi="宋体"/>
                <w:snapToGrid w:val="0"/>
                <w:kern w:val="0"/>
                <w:szCs w:val="21"/>
              </w:rPr>
            </w:pPr>
            <w:r>
              <w:rPr>
                <w:rFonts w:ascii="宋体" w:hAnsi="宋体" w:hint="eastAsia"/>
                <w:snapToGrid w:val="0"/>
                <w:kern w:val="0"/>
                <w:szCs w:val="21"/>
              </w:rPr>
              <w:t>整流器</w:t>
            </w:r>
            <w:r>
              <w:rPr>
                <w:rFonts w:ascii="宋体" w:hAnsi="宋体"/>
                <w:snapToGrid w:val="0"/>
                <w:kern w:val="0"/>
                <w:szCs w:val="21"/>
              </w:rPr>
              <w:t>/充电器组件﹐须具备以下的性能。即当UPS 运行于使用蓄电池供电或被切断电源后，交流电源恢复至交流输入母线，此时在输入端上所需的初始电流不能超过额定负载电流之20％。经15 秒钟后此电流将逐渐增加至100％满载电流。</w:t>
            </w:r>
          </w:p>
        </w:tc>
      </w:tr>
      <w:tr>
        <w:tblPrEx>
          <w:tblW w:w="5000" w:type="pct"/>
          <w:jc w:val="center"/>
          <w:tblInd w:w="0" w:type="dxa"/>
          <w:tblLook w:val="0000"/>
        </w:tblPrEx>
        <w:trPr>
          <w:jc w:val="center"/>
        </w:trPr>
        <w:tc>
          <w:tcPr>
            <w:tcW w:w="728" w:type="pct"/>
            <w:vMerge w:val="restart"/>
            <w:vAlign w:val="center"/>
          </w:tcPr>
          <w:p w:rsidR="007900F6">
            <w:pPr>
              <w:adjustRightInd w:val="0"/>
              <w:snapToGrid w:val="0"/>
              <w:spacing w:line="360" w:lineRule="auto"/>
              <w:jc w:val="left"/>
              <w:rPr>
                <w:rFonts w:ascii="宋体" w:hAnsi="宋体"/>
                <w:snapToGrid w:val="0"/>
                <w:kern w:val="0"/>
                <w:szCs w:val="21"/>
                <w:lang w:val="zh-TW"/>
              </w:rPr>
            </w:pPr>
            <w:r>
              <w:rPr>
                <w:rFonts w:ascii="宋体" w:hAnsi="宋体" w:hint="eastAsia"/>
                <w:snapToGrid w:val="0"/>
                <w:kern w:val="0"/>
                <w:szCs w:val="21"/>
                <w:lang w:val="zh-TW"/>
              </w:rPr>
              <w:t>4.给排水系统</w:t>
            </w: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rPr>
            </w:pPr>
            <w:r>
              <w:rPr>
                <w:rFonts w:ascii="宋体" w:hAnsi="宋体" w:hint="eastAsia"/>
                <w:bCs/>
                <w:snapToGrid w:val="0"/>
                <w:kern w:val="0"/>
                <w:szCs w:val="21"/>
              </w:rPr>
              <w:t>4.1给排水</w:t>
            </w:r>
          </w:p>
        </w:tc>
        <w:tc>
          <w:tcPr>
            <w:tcW w:w="3560" w:type="pct"/>
            <w:vAlign w:val="center"/>
          </w:tcPr>
          <w:p w:rsidR="007900F6">
            <w:pPr>
              <w:numPr>
                <w:ilvl w:val="0"/>
                <w:numId w:val="66"/>
              </w:numPr>
              <w:adjustRightInd w:val="0"/>
              <w:snapToGrid w:val="0"/>
              <w:spacing w:line="360" w:lineRule="auto"/>
              <w:jc w:val="left"/>
              <w:rPr>
                <w:rFonts w:ascii="宋体" w:hAnsi="宋体" w:cs="宋体"/>
                <w:snapToGrid w:val="0"/>
                <w:kern w:val="0"/>
                <w:szCs w:val="21"/>
              </w:rPr>
            </w:pPr>
          </w:p>
          <w:p w:rsidR="007900F6">
            <w:pPr>
              <w:pStyle w:val="ListParagraph"/>
              <w:numPr>
                <w:ilvl w:val="0"/>
                <w:numId w:val="67"/>
              </w:numPr>
              <w:adjustRightInd w:val="0"/>
              <w:snapToGrid w:val="0"/>
              <w:ind w:firstLineChars="0"/>
              <w:jc w:val="left"/>
              <w:rPr>
                <w:rFonts w:ascii="宋体" w:hAnsi="宋体"/>
                <w:snapToGrid w:val="0"/>
                <w:kern w:val="0"/>
                <w:sz w:val="21"/>
                <w:szCs w:val="21"/>
              </w:rPr>
            </w:pPr>
            <w:r>
              <w:rPr>
                <w:rFonts w:ascii="宋体" w:hAnsi="宋体" w:hint="eastAsia"/>
                <w:snapToGrid w:val="0"/>
                <w:kern w:val="0"/>
                <w:sz w:val="21"/>
                <w:szCs w:val="21"/>
              </w:rPr>
              <w:t>加装给水管需配备新的水表。</w:t>
            </w:r>
          </w:p>
          <w:p w:rsidR="007900F6">
            <w:pPr>
              <w:pStyle w:val="ListParagraph"/>
              <w:numPr>
                <w:ilvl w:val="0"/>
                <w:numId w:val="67"/>
              </w:numPr>
              <w:adjustRightInd w:val="0"/>
              <w:snapToGrid w:val="0"/>
              <w:ind w:firstLineChars="0"/>
              <w:jc w:val="left"/>
              <w:rPr>
                <w:rFonts w:ascii="宋体" w:hAnsi="宋体"/>
                <w:snapToGrid w:val="0"/>
                <w:kern w:val="0"/>
                <w:sz w:val="21"/>
                <w:szCs w:val="21"/>
                <w:shd w:val="clear" w:color="auto" w:fill="9BBB59"/>
              </w:rPr>
            </w:pPr>
            <w:r>
              <w:rPr>
                <w:rFonts w:ascii="宋体" w:hAnsi="宋体" w:hint="eastAsia"/>
                <w:snapToGrid w:val="0"/>
                <w:kern w:val="0"/>
                <w:sz w:val="21"/>
                <w:szCs w:val="21"/>
                <w:highlight w:val="cyan"/>
                <w:shd w:val="clear" w:color="auto" w:fill="9BBB59"/>
              </w:rPr>
              <w:t>综合实验室的制冰机、紧急喷淋器的排水方式为通过抽水泵抽到天花，经过功能柱再到水槽（制冰机放在不锈钢架子上，抽水泵放置于制冰机下，给排水具体详情请查看工程图）。</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numPr>
                <w:ilvl w:val="0"/>
                <w:numId w:val="66"/>
              </w:num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室内生活给水管道采用PP-R,采用电热熔连接。实验室废水采用</w:t>
            </w:r>
            <w:r>
              <w:rPr>
                <w:rFonts w:ascii="宋体" w:hAnsi="宋体" w:cs="宋体" w:hint="eastAsia"/>
                <w:snapToGrid w:val="0"/>
                <w:kern w:val="0"/>
                <w:szCs w:val="21"/>
              </w:rPr>
              <w:t>PVC-U聚氯乙烯</w:t>
            </w:r>
            <w:r>
              <w:rPr>
                <w:rFonts w:ascii="宋体" w:hAnsi="宋体" w:cs="宋体" w:hint="eastAsia"/>
                <w:snapToGrid w:val="0"/>
                <w:kern w:val="0"/>
                <w:szCs w:val="21"/>
                <w:shd w:val="clear" w:color="auto" w:fill="FFFFFF"/>
              </w:rPr>
              <w:t>塑料管</w:t>
            </w:r>
            <w:r>
              <w:rPr>
                <w:rFonts w:ascii="宋体" w:hAnsi="宋体" w:cs="宋体" w:hint="eastAsia"/>
                <w:snapToGrid w:val="0"/>
                <w:kern w:val="0"/>
                <w:szCs w:val="21"/>
                <w:lang w:val="zh-CN"/>
              </w:rPr>
              <w:t>。采用</w:t>
            </w:r>
            <w:r>
              <w:rPr>
                <w:rFonts w:ascii="宋体" w:hAnsi="宋体" w:cs="宋体" w:hint="eastAsia"/>
                <w:snapToGrid w:val="0"/>
                <w:kern w:val="0"/>
                <w:szCs w:val="21"/>
              </w:rPr>
              <w:t>粘接连接</w:t>
            </w:r>
            <w:r>
              <w:rPr>
                <w:rFonts w:ascii="宋体" w:hAnsi="宋体" w:cs="宋体" w:hint="eastAsia"/>
                <w:snapToGrid w:val="0"/>
                <w:kern w:val="0"/>
                <w:szCs w:val="21"/>
                <w:lang w:val="zh-CN"/>
              </w:rPr>
              <w:t>。</w:t>
            </w:r>
          </w:p>
          <w:p w:rsidR="007900F6">
            <w:p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所有管材、管件应符合国家标准、规范及设计要求：</w:t>
            </w:r>
          </w:p>
          <w:p w:rsidR="007900F6">
            <w:p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质量标准：符合GB/T18742.2；GB/T5836.1。</w:t>
            </w:r>
          </w:p>
          <w:p w:rsidR="007900F6">
            <w:p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卫生标准：符合GB/T17219。</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snapToGrid w:val="0"/>
                <w:kern w:val="0"/>
                <w:szCs w:val="21"/>
              </w:rPr>
            </w:pPr>
          </w:p>
        </w:tc>
        <w:tc>
          <w:tcPr>
            <w:tcW w:w="3560" w:type="pct"/>
            <w:vAlign w:val="center"/>
          </w:tcPr>
          <w:p w:rsidR="007900F6">
            <w:pPr>
              <w:numPr>
                <w:ilvl w:val="0"/>
                <w:numId w:val="66"/>
              </w:numPr>
              <w:adjustRightInd w:val="0"/>
              <w:snapToGrid w:val="0"/>
              <w:spacing w:line="360" w:lineRule="auto"/>
              <w:jc w:val="left"/>
              <w:rPr>
                <w:rFonts w:ascii="宋体" w:hAnsi="宋体" w:cs="宋体"/>
                <w:snapToGrid w:val="0"/>
                <w:kern w:val="0"/>
                <w:szCs w:val="21"/>
              </w:rPr>
            </w:pPr>
            <w:r>
              <w:fldChar w:fldCharType="begin"/>
            </w:r>
            <w:r>
              <w:instrText xml:space="preserve"> HYPERLINK "http://baike.baidu.com/view/1488180.htm" \t "_blank"</w:instrText>
            </w:r>
            <w:r>
              <w:instrText xml:space="preserve"> </w:instrText>
            </w:r>
            <w:r>
              <w:fldChar w:fldCharType="separate"/>
            </w:r>
            <w:r>
              <w:rPr>
                <w:rFonts w:ascii="宋体" w:hAnsi="宋体" w:cs="宋体" w:hint="eastAsia"/>
                <w:snapToGrid w:val="0"/>
                <w:kern w:val="0"/>
                <w:szCs w:val="21"/>
                <w:lang w:eastAsia="zh-TW"/>
              </w:rPr>
              <w:t>聚氯乙烯</w:t>
            </w:r>
            <w:r>
              <w:rPr>
                <w:rFonts w:ascii="宋体" w:hAnsi="宋体" w:cs="宋体" w:hint="eastAsia"/>
                <w:snapToGrid w:val="0"/>
                <w:kern w:val="0"/>
                <w:szCs w:val="21"/>
                <w:lang w:eastAsia="zh-TW"/>
              </w:rPr>
              <w:fldChar w:fldCharType="end"/>
            </w:r>
            <w:r>
              <w:rPr>
                <w:rFonts w:ascii="宋体" w:hAnsi="宋体" w:cs="宋体" w:hint="eastAsia"/>
                <w:snapToGrid w:val="0"/>
                <w:kern w:val="0"/>
                <w:szCs w:val="21"/>
                <w:lang w:eastAsia="zh-TW"/>
              </w:rPr>
              <w:t>（PVC-U）管材</w:t>
            </w:r>
          </w:p>
          <w:p w:rsidR="007900F6">
            <w:pPr>
              <w:numPr>
                <w:ilvl w:val="0"/>
                <w:numId w:val="68"/>
              </w:numPr>
              <w:adjustRightInd w:val="0"/>
              <w:snapToGrid w:val="0"/>
              <w:spacing w:line="360" w:lineRule="auto"/>
              <w:jc w:val="left"/>
              <w:rPr>
                <w:rFonts w:ascii="宋体" w:hAnsi="宋体" w:cs="宋体"/>
                <w:snapToGrid w:val="0"/>
                <w:kern w:val="0"/>
                <w:szCs w:val="21"/>
                <w:lang w:eastAsia="zh-TW"/>
              </w:rPr>
            </w:pPr>
            <w:r>
              <w:rPr>
                <w:rFonts w:ascii="宋体" w:hAnsi="宋体" w:cs="宋体" w:hint="eastAsia"/>
                <w:snapToGrid w:val="0"/>
                <w:kern w:val="0"/>
                <w:szCs w:val="21"/>
                <w:lang w:val="zh-CN"/>
              </w:rPr>
              <w:t>UPVC管的连接方式有承插胶圈连接、粘合连接以及</w:t>
            </w:r>
            <w:r>
              <w:fldChar w:fldCharType="begin"/>
            </w:r>
            <w:r>
              <w:instrText xml:space="preserve"> HYPERLINK "https://baike.baidu.com/item/%E6%B3%95%E5%85%B0%E8%BF%9E%E6%8E%A5" \t "_blank" </w:instrText>
            </w:r>
            <w:r>
              <w:fldChar w:fldCharType="separate"/>
            </w:r>
            <w:r>
              <w:rPr>
                <w:rFonts w:ascii="宋体" w:hAnsi="宋体" w:cs="宋体" w:hint="eastAsia"/>
                <w:snapToGrid w:val="0"/>
                <w:kern w:val="0"/>
                <w:szCs w:val="21"/>
                <w:lang w:val="zh-CN"/>
              </w:rPr>
              <w:t>法兰连接</w:t>
            </w:r>
            <w:r>
              <w:rPr>
                <w:rFonts w:ascii="宋体" w:hAnsi="宋体" w:cs="宋体" w:hint="eastAsia"/>
                <w:snapToGrid w:val="0"/>
                <w:kern w:val="0"/>
                <w:szCs w:val="21"/>
                <w:lang w:val="zh-CN"/>
              </w:rPr>
              <w:fldChar w:fldCharType="end"/>
            </w:r>
            <w:r>
              <w:rPr>
                <w:rFonts w:ascii="宋体" w:hAnsi="宋体" w:cs="宋体" w:hint="eastAsia"/>
                <w:snapToGrid w:val="0"/>
                <w:kern w:val="0"/>
                <w:szCs w:val="21"/>
                <w:lang w:val="zh-CN"/>
              </w:rPr>
              <w:t>等，公称外径dn&lt;=63mm时，采用承插式粘接连接；公称外径dn&gt; 63mm时，采用承插式弹性橡胶密封圈柔性连接；当与公称直径dn &gt; 100mm其他金属管材的连接、与法兰式阀门等管道附件的连接时，采用法兰连接；管道与卫生器具配件、丝扣式阀门等管道附件的连接，须采用内嵌铜丝接头的注塑管件或在管口用不锈钢圈加固的注塑管件丝扣连接。</w:t>
            </w:r>
          </w:p>
          <w:p w:rsidR="007900F6">
            <w:pPr>
              <w:numPr>
                <w:ilvl w:val="0"/>
                <w:numId w:val="6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UPVC</w:t>
            </w:r>
            <w:r>
              <w:rPr>
                <w:rFonts w:ascii="宋体" w:hAnsi="宋体" w:cs="宋体" w:hint="eastAsia"/>
                <w:snapToGrid w:val="0"/>
                <w:kern w:val="0"/>
                <w:szCs w:val="21"/>
                <w:lang w:val="zh-CN"/>
              </w:rPr>
              <w:t>排水管有不同的承压等级</w:t>
            </w:r>
            <w:r>
              <w:rPr>
                <w:rFonts w:ascii="宋体" w:hAnsi="宋体" w:cs="宋体" w:hint="eastAsia"/>
                <w:snapToGrid w:val="0"/>
                <w:kern w:val="0"/>
                <w:szCs w:val="21"/>
              </w:rPr>
              <w:t>，</w:t>
            </w:r>
            <w:r>
              <w:rPr>
                <w:rFonts w:ascii="宋体" w:hAnsi="宋体" w:cs="宋体" w:hint="eastAsia"/>
                <w:snapToGrid w:val="0"/>
                <w:kern w:val="0"/>
                <w:szCs w:val="21"/>
                <w:lang w:val="zh-CN"/>
              </w:rPr>
              <w:t>承受压力的</w:t>
            </w:r>
            <w:r>
              <w:rPr>
                <w:rFonts w:ascii="宋体" w:hAnsi="宋体" w:cs="宋体" w:hint="eastAsia"/>
                <w:snapToGrid w:val="0"/>
                <w:kern w:val="0"/>
                <w:szCs w:val="21"/>
              </w:rPr>
              <w:t xml:space="preserve"> </w:t>
            </w:r>
            <w:r>
              <w:rPr>
                <w:rFonts w:ascii="宋体" w:hAnsi="宋体" w:cs="宋体" w:hint="eastAsia"/>
                <w:snapToGrid w:val="0"/>
                <w:kern w:val="0"/>
                <w:szCs w:val="21"/>
                <w:lang w:val="zh-CN"/>
              </w:rPr>
              <w:t>常见有</w:t>
            </w:r>
            <w:r>
              <w:rPr>
                <w:rFonts w:ascii="宋体" w:hAnsi="宋体" w:cs="宋体" w:hint="eastAsia"/>
                <w:snapToGrid w:val="0"/>
                <w:kern w:val="0"/>
                <w:szCs w:val="21"/>
              </w:rPr>
              <w:t xml:space="preserve">0.65MPA 0.8MPA 1.0MPA 1.25MPA 1.6MPA 2.0MPA </w:t>
            </w:r>
            <w:r>
              <w:rPr>
                <w:rFonts w:ascii="宋体" w:hAnsi="宋体" w:cs="宋体" w:hint="eastAsia"/>
                <w:snapToGrid w:val="0"/>
                <w:kern w:val="0"/>
                <w:szCs w:val="21"/>
                <w:lang w:val="zh-CN"/>
              </w:rPr>
              <w:t>等几种压力等级。</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cs="宋体"/>
                <w:snapToGrid w:val="0"/>
                <w:kern w:val="0"/>
                <w:szCs w:val="21"/>
              </w:rPr>
            </w:pPr>
          </w:p>
        </w:tc>
        <w:tc>
          <w:tcPr>
            <w:tcW w:w="3560" w:type="pct"/>
            <w:vAlign w:val="center"/>
          </w:tcPr>
          <w:p w:rsidR="007900F6">
            <w:pPr>
              <w:numPr>
                <w:ilvl w:val="0"/>
                <w:numId w:val="6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无规共聚聚丙烯（PP-R）管材</w:t>
            </w:r>
          </w:p>
          <w:p w:rsidR="007900F6">
            <w:pPr>
              <w:numPr>
                <w:ilvl w:val="0"/>
                <w:numId w:val="6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技术标准要求如下：</w:t>
            </w:r>
          </w:p>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冷热水用无规共聚聚丙烯（PP-R）管及管材的生产应符合GB/T18742.1-20</w:t>
            </w:r>
            <w:r>
              <w:rPr>
                <w:rFonts w:ascii="宋体" w:hAnsi="宋体" w:cs="宋体"/>
                <w:snapToGrid w:val="0"/>
                <w:kern w:val="0"/>
                <w:szCs w:val="21"/>
              </w:rPr>
              <w:t>17</w:t>
            </w:r>
            <w:r>
              <w:rPr>
                <w:rFonts w:ascii="宋体" w:hAnsi="宋体" w:cs="宋体" w:hint="eastAsia"/>
                <w:snapToGrid w:val="0"/>
                <w:kern w:val="0"/>
                <w:szCs w:val="21"/>
              </w:rPr>
              <w:t>的规定中主要规格参数及性能及性能要求。</w:t>
            </w:r>
          </w:p>
          <w:p w:rsidR="007900F6">
            <w:pPr>
              <w:numPr>
                <w:ilvl w:val="0"/>
                <w:numId w:val="6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卫生要求：生活饮用水输配水设备及防护材料的安全性评价标准  GB/T 17219-1998管材不允许使用再生料。</w:t>
            </w:r>
          </w:p>
          <w:p w:rsidR="007900F6">
            <w:pPr>
              <w:numPr>
                <w:ilvl w:val="0"/>
                <w:numId w:val="69"/>
              </w:numPr>
              <w:adjustRightInd w:val="0"/>
              <w:snapToGrid w:val="0"/>
              <w:spacing w:line="360" w:lineRule="auto"/>
              <w:jc w:val="left"/>
              <w:rPr>
                <w:rFonts w:ascii="宋体" w:hAnsi="宋体" w:cs="宋体"/>
                <w:snapToGrid w:val="0"/>
                <w:kern w:val="0"/>
                <w:szCs w:val="21"/>
                <w:lang w:eastAsia="zh-TW"/>
              </w:rPr>
            </w:pPr>
            <w:r>
              <w:rPr>
                <w:rFonts w:ascii="宋体" w:hAnsi="宋体" w:cs="宋体" w:hint="eastAsia"/>
                <w:snapToGrid w:val="0"/>
                <w:kern w:val="0"/>
                <w:szCs w:val="21"/>
              </w:rPr>
              <w:t>连接方式：符合设计、规范的要求。</w:t>
            </w:r>
          </w:p>
          <w:p w:rsidR="007900F6">
            <w:pPr>
              <w:numPr>
                <w:ilvl w:val="0"/>
                <w:numId w:val="69"/>
              </w:numPr>
              <w:adjustRightInd w:val="0"/>
              <w:snapToGrid w:val="0"/>
              <w:spacing w:line="360" w:lineRule="auto"/>
              <w:ind w:left="0" w:firstLine="0"/>
              <w:jc w:val="left"/>
              <w:rPr>
                <w:rFonts w:ascii="宋体" w:hAnsi="宋体" w:cs="宋体"/>
                <w:snapToGrid w:val="0"/>
                <w:kern w:val="0"/>
                <w:szCs w:val="21"/>
              </w:rPr>
            </w:pPr>
            <w:r>
              <w:rPr>
                <w:rFonts w:ascii="宋体" w:hAnsi="宋体" w:cs="宋体" w:hint="eastAsia"/>
                <w:snapToGrid w:val="0"/>
                <w:kern w:val="0"/>
                <w:szCs w:val="21"/>
              </w:rPr>
              <w:t>管道从压力等级来分主要分为0.6MPa，0.8MPa，1.0MPa，1.25MPa，1.6MPa</w:t>
            </w:r>
          </w:p>
        </w:tc>
      </w:tr>
      <w:tr>
        <w:tblPrEx>
          <w:tblW w:w="5000" w:type="pct"/>
          <w:jc w:val="center"/>
          <w:tblInd w:w="0" w:type="dxa"/>
          <w:tblLook w:val="0000"/>
        </w:tblPrEx>
        <w:trPr>
          <w:jc w:val="center"/>
        </w:trPr>
        <w:tc>
          <w:tcPr>
            <w:tcW w:w="728" w:type="pct"/>
            <w:vMerge w:val="restart"/>
            <w:vAlign w:val="center"/>
          </w:tcPr>
          <w:p w:rsidR="007900F6">
            <w:pPr>
              <w:adjustRightInd w:val="0"/>
              <w:snapToGrid w:val="0"/>
              <w:spacing w:line="360" w:lineRule="auto"/>
              <w:jc w:val="left"/>
              <w:rPr>
                <w:rFonts w:ascii="宋体" w:hAnsi="宋体"/>
                <w:snapToGrid w:val="0"/>
                <w:kern w:val="0"/>
                <w:szCs w:val="21"/>
                <w:lang w:val="zh-TW" w:eastAsia="zh-TW"/>
              </w:rPr>
            </w:pPr>
            <w:r>
              <w:rPr>
                <w:rFonts w:ascii="宋体" w:hAnsi="宋体" w:cs="宋体" w:hint="eastAsia"/>
                <w:b/>
                <w:bCs/>
                <w:snapToGrid w:val="0"/>
                <w:kern w:val="0"/>
                <w:szCs w:val="21"/>
              </w:rPr>
              <w:t>5.供气系统</w:t>
            </w:r>
          </w:p>
        </w:tc>
        <w:tc>
          <w:tcPr>
            <w:tcW w:w="712" w:type="pct"/>
            <w:vAlign w:val="center"/>
          </w:tcPr>
          <w:p w:rsidR="007900F6">
            <w:pPr>
              <w:adjustRightInd w:val="0"/>
              <w:snapToGrid w:val="0"/>
              <w:spacing w:line="360" w:lineRule="auto"/>
              <w:jc w:val="left"/>
              <w:rPr>
                <w:rFonts w:ascii="宋体" w:hAnsi="宋体"/>
                <w:bCs/>
                <w:snapToGrid w:val="0"/>
                <w:kern w:val="0"/>
                <w:szCs w:val="21"/>
                <w:lang w:eastAsia="zh-TW"/>
              </w:rPr>
            </w:pPr>
            <w:r>
              <w:rPr>
                <w:rFonts w:ascii="宋体" w:hAnsi="宋体" w:cs="宋体" w:hint="eastAsia"/>
                <w:b/>
                <w:bCs/>
                <w:snapToGrid w:val="0"/>
                <w:kern w:val="0"/>
                <w:szCs w:val="21"/>
              </w:rPr>
              <w:t>5.1设计</w:t>
            </w:r>
            <w:r>
              <w:rPr>
                <w:rFonts w:ascii="宋体" w:hAnsi="宋体" w:cs="宋体" w:hint="eastAsia"/>
                <w:b/>
                <w:bCs/>
                <w:snapToGrid w:val="0"/>
                <w:kern w:val="0"/>
                <w:szCs w:val="21"/>
                <w:lang w:val="zh-CN"/>
              </w:rPr>
              <w:t>概况</w:t>
            </w:r>
          </w:p>
        </w:tc>
        <w:tc>
          <w:tcPr>
            <w:tcW w:w="3560" w:type="pct"/>
            <w:vAlign w:val="center"/>
          </w:tcPr>
          <w:p w:rsidR="007900F6">
            <w:pPr>
              <w:numPr>
                <w:ilvl w:val="0"/>
                <w:numId w:val="70"/>
              </w:num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设计范围及内容：实验室集中供气系统设计及气瓶室设计。</w:t>
            </w:r>
          </w:p>
          <w:p w:rsidR="007900F6">
            <w:pPr>
              <w:numPr>
                <w:ilvl w:val="0"/>
                <w:numId w:val="7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本项目所用气体包括</w:t>
            </w:r>
            <w:r>
              <w:rPr>
                <w:rFonts w:ascii="宋体" w:hAnsi="宋体" w:cs="宋体" w:hint="eastAsia"/>
                <w:snapToGrid w:val="0"/>
                <w:kern w:val="0"/>
                <w:szCs w:val="21"/>
              </w:rPr>
              <w:t>:氮气（N2），二氧化碳（CO2)</w:t>
            </w:r>
            <w:r>
              <w:rPr>
                <w:rFonts w:ascii="宋体" w:hAnsi="宋体" w:cs="宋体" w:hint="eastAsia"/>
                <w:snapToGrid w:val="0"/>
                <w:kern w:val="0"/>
                <w:szCs w:val="21"/>
                <w:lang w:val="zh-CN"/>
              </w:rPr>
              <w:t>。</w:t>
            </w:r>
          </w:p>
          <w:p w:rsidR="007900F6">
            <w:pPr>
              <w:numPr>
                <w:ilvl w:val="0"/>
                <w:numId w:val="70"/>
              </w:num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为了保证用气的纯度、压力和安全性要求，同时方便操作和使用，采用集中供气的方式供气。</w:t>
            </w:r>
          </w:p>
          <w:p w:rsidR="007900F6">
            <w:pPr>
              <w:numPr>
                <w:ilvl w:val="0"/>
                <w:numId w:val="70"/>
              </w:num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气体管道采用全自动轨道焊接的方式连接。</w:t>
            </w:r>
          </w:p>
          <w:p w:rsidR="007900F6">
            <w:pPr>
              <w:numPr>
                <w:ilvl w:val="0"/>
                <w:numId w:val="70"/>
              </w:num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气体从钢瓶出来经过一级减压（压力为1.0-1.2MPa左右）以后通往各用气点，每个用气点配置一个二级减压阀和球阀。</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lang w:eastAsia="zh-TW"/>
              </w:rPr>
            </w:pPr>
            <w:r>
              <w:rPr>
                <w:rFonts w:ascii="宋体" w:hAnsi="宋体" w:cs="宋体" w:hint="eastAsia"/>
                <w:b/>
                <w:bCs/>
                <w:snapToGrid w:val="0"/>
                <w:kern w:val="0"/>
                <w:szCs w:val="21"/>
              </w:rPr>
              <w:t>5.2工程设计</w:t>
            </w:r>
          </w:p>
        </w:tc>
        <w:tc>
          <w:tcPr>
            <w:tcW w:w="3560" w:type="pct"/>
            <w:vAlign w:val="center"/>
          </w:tcPr>
          <w:p w:rsidR="007900F6">
            <w:pPr>
              <w:numPr>
                <w:ilvl w:val="0"/>
                <w:numId w:val="71"/>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气瓶室需时刻保持良好的通风状态。气瓶室地面采用环氧树脂自流坪，防止静电的导入，防火门也需接地使用。</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lang w:eastAsia="zh-TW"/>
              </w:rPr>
            </w:pPr>
          </w:p>
        </w:tc>
        <w:tc>
          <w:tcPr>
            <w:tcW w:w="3560" w:type="pct"/>
            <w:vAlign w:val="center"/>
          </w:tcPr>
          <w:p w:rsidR="007900F6">
            <w:pPr>
              <w:numPr>
                <w:ilvl w:val="0"/>
                <w:numId w:val="71"/>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供气系统要求采用两级减压的方式进行供气。供气汇流排第一次减压，气体由15Mpa减 压到1.0Mpa-1.2Mpa，再输送到各用气实验室；二级减压装置统一安装在房间里（配有球阀和二级减压器）；二级减压器对终端的输出压力进行精确调整(0.01Mpa)，得到稳定的压力，可以满足仪器对使用压力的精确要求；气体经过二级减压后，再连接各台仪器，末端配置不锈钢变径接头。</w:t>
            </w:r>
          </w:p>
        </w:tc>
      </w:tr>
      <w:tr>
        <w:tblPrEx>
          <w:tblW w:w="5000" w:type="pct"/>
          <w:jc w:val="center"/>
          <w:tblInd w:w="0" w:type="dxa"/>
          <w:tblLook w:val="0000"/>
        </w:tblPrEx>
        <w:trPr>
          <w:trHeight w:val="1548"/>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lang w:eastAsia="zh-TW"/>
              </w:rPr>
            </w:pPr>
          </w:p>
        </w:tc>
        <w:tc>
          <w:tcPr>
            <w:tcW w:w="3560" w:type="pct"/>
            <w:vAlign w:val="center"/>
          </w:tcPr>
          <w:p w:rsidR="007900F6">
            <w:pPr>
              <w:numPr>
                <w:ilvl w:val="0"/>
                <w:numId w:val="71"/>
              </w:numPr>
              <w:adjustRightInd w:val="0"/>
              <w:snapToGrid w:val="0"/>
              <w:spacing w:line="360" w:lineRule="auto"/>
              <w:jc w:val="left"/>
              <w:rPr>
                <w:rFonts w:ascii="宋体" w:hAnsi="宋体" w:cs="宋体"/>
                <w:snapToGrid w:val="0"/>
                <w:kern w:val="0"/>
                <w:szCs w:val="21"/>
              </w:rPr>
            </w:pPr>
          </w:p>
          <w:p w:rsidR="007900F6">
            <w:pPr>
              <w:numPr>
                <w:ilvl w:val="0"/>
                <w:numId w:val="7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因用气终端多，用气量大，采用半自动切换汇流排供气，提供不间断的供气，充分满足实验室的使用要求；</w:t>
            </w:r>
          </w:p>
          <w:p w:rsidR="007900F6">
            <w:pPr>
              <w:numPr>
                <w:ilvl w:val="0"/>
                <w:numId w:val="7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所有气体的汇流排都需要气体吹扫管路。易燃、氧化气体排气管路不能并在一起</w:t>
            </w:r>
          </w:p>
          <w:p w:rsidR="007900F6">
            <w:pPr>
              <w:numPr>
                <w:ilvl w:val="0"/>
                <w:numId w:val="7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气体的设计压力均为1.0-1.2MPa，使用压力为0.1-0.8MPa；</w:t>
            </w:r>
          </w:p>
          <w:p w:rsidR="007900F6">
            <w:pPr>
              <w:numPr>
                <w:ilvl w:val="0"/>
                <w:numId w:val="72"/>
              </w:num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汇流排和终端需标明气体的种类和气体的流动方向。管道穿墙应敷设在套管内，套管内的管道不得有焊缝；管道与套管之间应采用不燃材料密封。气体管路的支架间隔不大于1.5米，所有弯曲处都要分别在两侧独立进行支撑；</w:t>
            </w:r>
          </w:p>
          <w:p w:rsidR="007900F6">
            <w:pPr>
              <w:numPr>
                <w:ilvl w:val="0"/>
                <w:numId w:val="7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仪器、仪表的配件为各气体的专用品，不得代用或混淆使用；氧气的装置禁止接触到油脂和粉尘颗粒；所有产品均需包装良好，包装在使用前不得打开或被破坏，避免空气和杂质进入污染材料；</w:t>
            </w:r>
          </w:p>
          <w:p w:rsidR="007900F6">
            <w:pPr>
              <w:numPr>
                <w:ilvl w:val="0"/>
                <w:numId w:val="72"/>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管道沿走廊吊顶以上敷设。管道进入用气房间后，沿墙角下行，管道敷设在实验台的背板上面，终端减压器的安装高度为距离楼层地面0.8m。</w:t>
            </w:r>
          </w:p>
        </w:tc>
      </w:tr>
      <w:tr>
        <w:tblPrEx>
          <w:tblW w:w="5000" w:type="pct"/>
          <w:jc w:val="center"/>
          <w:tblInd w:w="0" w:type="dxa"/>
          <w:tblLook w:val="0000"/>
        </w:tblPrEx>
        <w:trPr>
          <w:trHeight w:val="132"/>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Align w:val="center"/>
          </w:tcPr>
          <w:p w:rsidR="007900F6">
            <w:pPr>
              <w:adjustRightInd w:val="0"/>
              <w:snapToGrid w:val="0"/>
              <w:spacing w:line="360" w:lineRule="auto"/>
              <w:jc w:val="left"/>
              <w:rPr>
                <w:rFonts w:ascii="宋体" w:hAnsi="宋体"/>
                <w:bCs/>
                <w:snapToGrid w:val="0"/>
                <w:kern w:val="0"/>
                <w:szCs w:val="21"/>
                <w:lang w:eastAsia="zh-TW"/>
              </w:rPr>
            </w:pPr>
            <w:r>
              <w:rPr>
                <w:rFonts w:ascii="宋体" w:hAnsi="宋体" w:cs="宋体" w:hint="eastAsia"/>
                <w:b/>
                <w:bCs/>
                <w:snapToGrid w:val="0"/>
                <w:kern w:val="0"/>
                <w:szCs w:val="21"/>
              </w:rPr>
              <w:t>5.3工程用材</w:t>
            </w:r>
          </w:p>
        </w:tc>
        <w:tc>
          <w:tcPr>
            <w:tcW w:w="3560" w:type="pct"/>
            <w:vAlign w:val="center"/>
          </w:tcPr>
          <w:p w:rsidR="007900F6">
            <w:pPr>
              <w:numPr>
                <w:ilvl w:val="0"/>
                <w:numId w:val="73"/>
              </w:numPr>
              <w:adjustRightInd w:val="0"/>
              <w:snapToGrid w:val="0"/>
              <w:spacing w:line="360" w:lineRule="auto"/>
              <w:jc w:val="left"/>
              <w:rPr>
                <w:rFonts w:ascii="宋体" w:hAnsi="宋体" w:cs="宋体"/>
                <w:snapToGrid w:val="0"/>
                <w:kern w:val="0"/>
                <w:szCs w:val="21"/>
              </w:rPr>
            </w:pPr>
          </w:p>
          <w:p w:rsidR="007900F6">
            <w:pPr>
              <w:numPr>
                <w:ilvl w:val="0"/>
                <w:numId w:val="7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半自动切换器和二级减压器均为S316L不锈钢材质，球阀、三通和转换接头等均为S316L不锈钢材质，高压软管（连接钢瓶和汇流排）为不锈钢波纹管。</w:t>
            </w:r>
          </w:p>
          <w:p w:rsidR="007900F6">
            <w:pPr>
              <w:numPr>
                <w:ilvl w:val="0"/>
                <w:numId w:val="7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管道系统：管道必须选用BA级别的S316L不锈钢管（S316L不锈钢能够防止实验室内的挥发性试剂的腐蚀；BA级处理保证管道内壁的光洁度，适用于99.999%的高纯气体输送，不会降低气体纯度）；同时要有明确标示，指示气体的流向。</w:t>
            </w:r>
          </w:p>
          <w:p w:rsidR="007900F6">
            <w:pPr>
              <w:numPr>
                <w:ilvl w:val="0"/>
                <w:numId w:val="7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管道壁厚的选择：1/2"*0.8mm,3/8"*0.8mm；1/4"*0.8mm。</w:t>
            </w:r>
          </w:p>
          <w:p w:rsidR="007900F6">
            <w:pPr>
              <w:numPr>
                <w:ilvl w:val="0"/>
                <w:numId w:val="7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管道的连接：汇流排、终端部分采用卡套连接，便于减压器和阀门的维护管理；管道与管道之间采用全自动轨道焊机进行无缝焊接。</w:t>
            </w:r>
          </w:p>
          <w:p w:rsidR="007900F6">
            <w:pPr>
              <w:numPr>
                <w:ilvl w:val="0"/>
                <w:numId w:val="74"/>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终端：在每台仪器之前，配置球阀和二级减压器（每种气体配置一个），根据仪器的接口配置转换接头。球阀用于控制每一个气路的开启与关闭；在仪器需要调整和维修时，能停止任何指定的仪器的气体供应；减压器用于显示和调整终端的压力。</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lang w:eastAsia="zh-TW"/>
              </w:rPr>
            </w:pPr>
            <w:r>
              <w:rPr>
                <w:rFonts w:ascii="宋体" w:hAnsi="宋体" w:cs="宋体" w:hint="eastAsia"/>
                <w:b/>
                <w:bCs/>
                <w:snapToGrid w:val="0"/>
                <w:kern w:val="0"/>
                <w:szCs w:val="21"/>
                <w:lang w:val="zh-CN"/>
              </w:rPr>
              <w:t>5.4其他</w:t>
            </w:r>
          </w:p>
        </w:tc>
        <w:tc>
          <w:tcPr>
            <w:tcW w:w="3560" w:type="pct"/>
            <w:vAlign w:val="center"/>
          </w:tcPr>
          <w:p w:rsidR="007900F6">
            <w:pPr>
              <w:numPr>
                <w:ilvl w:val="0"/>
                <w:numId w:val="75"/>
              </w:num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气体管路每间隔1-1.5m采用管码固定，根据气体管路弯曲的直径，设置合适的支架位置</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lang w:eastAsia="zh-TW"/>
              </w:rPr>
            </w:pPr>
          </w:p>
        </w:tc>
        <w:tc>
          <w:tcPr>
            <w:tcW w:w="3560" w:type="pct"/>
            <w:vAlign w:val="center"/>
          </w:tcPr>
          <w:p w:rsidR="007900F6">
            <w:pPr>
              <w:numPr>
                <w:ilvl w:val="0"/>
                <w:numId w:val="75"/>
              </w:num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整个管路安装完毕后，对整个系统进行强度测试、密封性测试。</w:t>
            </w:r>
          </w:p>
          <w:p w:rsidR="007900F6">
            <w:pPr>
              <w:numPr>
                <w:ilvl w:val="1"/>
                <w:numId w:val="76"/>
              </w:numPr>
              <w:adjustRightInd w:val="0"/>
              <w:snapToGrid w:val="0"/>
              <w:spacing w:line="360" w:lineRule="auto"/>
              <w:jc w:val="left"/>
              <w:rPr>
                <w:rFonts w:ascii="宋体" w:hAnsi="宋体" w:cs="宋体"/>
                <w:snapToGrid w:val="0"/>
                <w:kern w:val="0"/>
                <w:szCs w:val="21"/>
                <w:lang w:val="zh-CN"/>
              </w:rPr>
            </w:pPr>
            <w:r>
              <w:rPr>
                <w:rFonts w:ascii="宋体" w:hAnsi="宋体" w:cs="宋体" w:hint="eastAsia"/>
                <w:snapToGrid w:val="0"/>
                <w:kern w:val="0"/>
                <w:szCs w:val="21"/>
                <w:lang w:val="zh-CN"/>
              </w:rPr>
              <w:t>强度测试：管道内充入高纯氮气，逐级升高压力（0.2MPa为一级），至1.5MPa为止，保持此压力30分钟，管道压力不下降为合格；</w:t>
            </w:r>
          </w:p>
          <w:p w:rsidR="007900F6">
            <w:pPr>
              <w:numPr>
                <w:ilvl w:val="1"/>
                <w:numId w:val="7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lang w:val="zh-CN"/>
              </w:rPr>
              <w:t>密封性测试：管道内充入高纯氮气，保持压力为1.38MPa（设计压力的1.15倍），密闭24小时，压力不下降为合格。</w:t>
            </w:r>
          </w:p>
        </w:tc>
      </w:tr>
      <w:tr>
        <w:tblPrEx>
          <w:tblW w:w="5000" w:type="pct"/>
          <w:jc w:val="center"/>
          <w:tblInd w:w="0" w:type="dxa"/>
          <w:tblLook w:val="0000"/>
        </w:tblPrEx>
        <w:trPr>
          <w:jc w:val="center"/>
        </w:trPr>
        <w:tc>
          <w:tcPr>
            <w:tcW w:w="728" w:type="pct"/>
            <w:vMerge w:val="restart"/>
            <w:vAlign w:val="center"/>
          </w:tcPr>
          <w:p w:rsidR="007900F6">
            <w:pPr>
              <w:adjustRightInd w:val="0"/>
              <w:snapToGrid w:val="0"/>
              <w:spacing w:line="360" w:lineRule="auto"/>
              <w:jc w:val="left"/>
              <w:rPr>
                <w:rFonts w:ascii="宋体" w:hAnsi="宋体"/>
                <w:snapToGrid w:val="0"/>
                <w:kern w:val="0"/>
                <w:szCs w:val="21"/>
                <w:lang w:val="zh-TW" w:eastAsia="zh-TW"/>
              </w:rPr>
            </w:pPr>
            <w:r>
              <w:rPr>
                <w:rFonts w:ascii="宋体" w:hAnsi="宋体" w:hint="eastAsia"/>
                <w:snapToGrid w:val="0"/>
                <w:kern w:val="0"/>
                <w:szCs w:val="21"/>
                <w:lang w:val="zh-TW"/>
              </w:rPr>
              <w:t>6.消防系统</w:t>
            </w:r>
          </w:p>
        </w:tc>
        <w:tc>
          <w:tcPr>
            <w:tcW w:w="712" w:type="pct"/>
            <w:vMerge w:val="restart"/>
            <w:vAlign w:val="center"/>
          </w:tcPr>
          <w:p w:rsidR="007900F6">
            <w:pPr>
              <w:adjustRightInd w:val="0"/>
              <w:snapToGrid w:val="0"/>
              <w:spacing w:line="360" w:lineRule="auto"/>
              <w:jc w:val="left"/>
              <w:rPr>
                <w:rFonts w:ascii="宋体" w:hAnsi="宋体"/>
                <w:bCs/>
                <w:snapToGrid w:val="0"/>
                <w:kern w:val="0"/>
                <w:szCs w:val="21"/>
                <w:lang w:eastAsia="zh-TW"/>
              </w:rPr>
            </w:pPr>
            <w:r>
              <w:rPr>
                <w:rFonts w:ascii="宋体" w:hAnsi="宋体" w:hint="eastAsia"/>
                <w:bCs/>
                <w:snapToGrid w:val="0"/>
                <w:kern w:val="0"/>
                <w:szCs w:val="21"/>
              </w:rPr>
              <w:t>6.1 配置情况</w:t>
            </w:r>
          </w:p>
        </w:tc>
        <w:tc>
          <w:tcPr>
            <w:tcW w:w="3560" w:type="pct"/>
            <w:vAlign w:val="center"/>
          </w:tcPr>
          <w:p w:rsidR="007900F6">
            <w:p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6.1.1 配备消防喇叭，灭火器，紧急出口标记（每个房间各1个，中央实验室2-3个）。（按国家标准建设防火设计规范布置所有消防设施）。</w:t>
            </w:r>
          </w:p>
          <w:p w:rsidR="007900F6">
            <w:p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shd w:val="clear" w:color="auto" w:fill="9BBB59"/>
              </w:rPr>
              <w:t>数据</w:t>
            </w:r>
            <w:r>
              <w:rPr>
                <w:rFonts w:ascii="宋体" w:hAnsi="宋体" w:hint="eastAsia"/>
                <w:snapToGrid w:val="0"/>
                <w:kern w:val="0"/>
                <w:szCs w:val="21"/>
              </w:rPr>
              <w:t>机房需要安装七氟丙烷灭火装置。</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rPr>
            </w:pPr>
          </w:p>
        </w:tc>
        <w:tc>
          <w:tcPr>
            <w:tcW w:w="712" w:type="pct"/>
            <w:vMerge/>
            <w:vAlign w:val="center"/>
          </w:tcPr>
          <w:p w:rsidR="007900F6">
            <w:pPr>
              <w:adjustRightInd w:val="0"/>
              <w:snapToGrid w:val="0"/>
              <w:spacing w:line="360" w:lineRule="auto"/>
              <w:jc w:val="left"/>
              <w:rPr>
                <w:rFonts w:ascii="宋体" w:hAnsi="宋体"/>
                <w:bCs/>
                <w:snapToGrid w:val="0"/>
                <w:kern w:val="0"/>
                <w:szCs w:val="21"/>
              </w:rPr>
            </w:pPr>
          </w:p>
        </w:tc>
        <w:tc>
          <w:tcPr>
            <w:tcW w:w="3560" w:type="pct"/>
            <w:vAlign w:val="center"/>
          </w:tcPr>
          <w:p w:rsidR="007900F6">
            <w:p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6.1.2 消防改造时需考虑接入大楼消防总系统配合问题，在需接入大楼消防系统时需由业主大楼指定的外聘的消防维保公司负责。请注意费用考虑。</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rPr>
            </w:pPr>
          </w:p>
        </w:tc>
        <w:tc>
          <w:tcPr>
            <w:tcW w:w="712" w:type="pct"/>
            <w:vAlign w:val="center"/>
          </w:tcPr>
          <w:p w:rsidR="007900F6">
            <w:pPr>
              <w:adjustRightInd w:val="0"/>
              <w:snapToGrid w:val="0"/>
              <w:spacing w:line="360" w:lineRule="auto"/>
              <w:jc w:val="left"/>
              <w:rPr>
                <w:rFonts w:ascii="宋体" w:hAnsi="宋体"/>
                <w:bCs/>
                <w:snapToGrid w:val="0"/>
                <w:kern w:val="0"/>
                <w:szCs w:val="21"/>
                <w:lang w:eastAsia="zh-TW"/>
              </w:rPr>
            </w:pPr>
            <w:r>
              <w:rPr>
                <w:rFonts w:ascii="宋体" w:hAnsi="宋体" w:hint="eastAsia"/>
                <w:bCs/>
                <w:snapToGrid w:val="0"/>
                <w:kern w:val="0"/>
                <w:szCs w:val="21"/>
              </w:rPr>
              <w:t>6.2 其它</w:t>
            </w:r>
          </w:p>
        </w:tc>
        <w:tc>
          <w:tcPr>
            <w:tcW w:w="3560" w:type="pct"/>
            <w:vAlign w:val="center"/>
          </w:tcPr>
          <w:p w:rsidR="007900F6">
            <w:p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主动与消防协调，做好消防联动工作，做到当确认火灾后，能切断有关部位的非消防电源。在有关的低压配电箱旁和配电房安装消防控制模块，中标方需在附近安装继电器箱，由继电器接受消防信号去切断非消防电源。</w:t>
            </w:r>
          </w:p>
        </w:tc>
      </w:tr>
      <w:tr>
        <w:tblPrEx>
          <w:tblW w:w="5000" w:type="pct"/>
          <w:jc w:val="center"/>
          <w:tblInd w:w="0" w:type="dxa"/>
          <w:tblLook w:val="0000"/>
        </w:tblPrEx>
        <w:trPr>
          <w:trHeight w:val="4212"/>
          <w:jc w:val="center"/>
        </w:trPr>
        <w:tc>
          <w:tcPr>
            <w:tcW w:w="728" w:type="pct"/>
            <w:vMerge w:val="restart"/>
            <w:vAlign w:val="center"/>
          </w:tcPr>
          <w:p w:rsidR="007900F6">
            <w:pPr>
              <w:adjustRightInd w:val="0"/>
              <w:snapToGrid w:val="0"/>
              <w:spacing w:line="360" w:lineRule="auto"/>
              <w:jc w:val="left"/>
              <w:rPr>
                <w:rFonts w:ascii="宋体" w:hAnsi="宋体"/>
                <w:snapToGrid w:val="0"/>
                <w:kern w:val="0"/>
                <w:szCs w:val="21"/>
                <w:lang w:val="zh-TW" w:eastAsia="zh-TW"/>
              </w:rPr>
            </w:pPr>
            <w:r>
              <w:rPr>
                <w:rFonts w:ascii="宋体" w:hAnsi="宋体" w:hint="eastAsia"/>
                <w:snapToGrid w:val="0"/>
                <w:kern w:val="0"/>
                <w:szCs w:val="21"/>
                <w:lang w:val="zh-TW"/>
              </w:rPr>
              <w:t>7.空调系统</w:t>
            </w:r>
          </w:p>
        </w:tc>
        <w:tc>
          <w:tcPr>
            <w:tcW w:w="712" w:type="pct"/>
            <w:vAlign w:val="center"/>
          </w:tcPr>
          <w:p w:rsidR="007900F6">
            <w:pPr>
              <w:adjustRightInd w:val="0"/>
              <w:snapToGrid w:val="0"/>
              <w:spacing w:line="360" w:lineRule="auto"/>
              <w:jc w:val="left"/>
              <w:rPr>
                <w:rFonts w:ascii="宋体" w:hAnsi="宋体"/>
                <w:bCs/>
                <w:snapToGrid w:val="0"/>
                <w:kern w:val="0"/>
                <w:szCs w:val="21"/>
                <w:lang w:eastAsia="zh-TW"/>
              </w:rPr>
            </w:pPr>
            <w:r>
              <w:rPr>
                <w:rFonts w:ascii="宋体" w:hAnsi="宋体" w:cs="宋体" w:hint="eastAsia"/>
                <w:snapToGrid w:val="0"/>
                <w:kern w:val="0"/>
                <w:szCs w:val="21"/>
              </w:rPr>
              <w:t>7.1室外参数：(选用地区：深圳)</w:t>
            </w:r>
          </w:p>
          <w:p w:rsidR="007900F6">
            <w:pPr>
              <w:adjustRightInd w:val="0"/>
              <w:snapToGrid w:val="0"/>
              <w:spacing w:line="360" w:lineRule="auto"/>
              <w:jc w:val="left"/>
              <w:rPr>
                <w:rFonts w:ascii="宋体" w:hAnsi="宋体"/>
                <w:bCs/>
                <w:snapToGrid w:val="0"/>
                <w:kern w:val="0"/>
                <w:szCs w:val="21"/>
                <w:lang w:eastAsia="zh-TW"/>
              </w:rPr>
            </w:pPr>
            <w:r>
              <w:rPr>
                <w:rFonts w:ascii="宋体" w:hAnsi="宋体" w:cs="宋体" w:hint="eastAsia"/>
                <w:snapToGrid w:val="0"/>
                <w:kern w:val="0"/>
                <w:szCs w:val="21"/>
              </w:rPr>
              <w:t>＆室内设计参数</w:t>
            </w:r>
          </w:p>
        </w:tc>
        <w:tc>
          <w:tcPr>
            <w:tcW w:w="3560" w:type="pct"/>
            <w:vAlign w:val="center"/>
          </w:tcPr>
          <w:p w:rsidR="007900F6">
            <w:p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室外参数：(选用地区：深圳)</w:t>
            </w:r>
          </w:p>
          <w:p w:rsidR="007900F6">
            <w:pPr>
              <w:numPr>
                <w:ilvl w:val="0"/>
                <w:numId w:val="7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夏季参数：空调室外干球计算温度：33.7℃；空调室外湿球计算温度：27.5℃；</w:t>
            </w:r>
          </w:p>
          <w:p w:rsidR="007900F6">
            <w:pPr>
              <w:numPr>
                <w:ilvl w:val="0"/>
                <w:numId w:val="7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室外通风计算温度：31.2℃；相对湿度：70%；大气压力：1002.4hPa；</w:t>
            </w:r>
          </w:p>
          <w:p w:rsidR="007900F6">
            <w:pPr>
              <w:numPr>
                <w:ilvl w:val="0"/>
                <w:numId w:val="7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冬季参数：空调室外干球计算温度：6.0℃；相对湿度：72%；</w:t>
            </w:r>
          </w:p>
          <w:p w:rsidR="007900F6">
            <w:pPr>
              <w:numPr>
                <w:ilvl w:val="0"/>
                <w:numId w:val="7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室外通风计算温度：14.9℃；大气压力：1016.6 hPa。</w:t>
            </w:r>
          </w:p>
          <w:p w:rsidR="007900F6">
            <w:pPr>
              <w:adjustRightInd w:val="0"/>
              <w:snapToGrid w:val="0"/>
              <w:spacing w:line="360" w:lineRule="auto"/>
              <w:jc w:val="left"/>
              <w:rPr>
                <w:rFonts w:ascii="宋体" w:hAnsi="宋体" w:cs="宋体"/>
                <w:b/>
                <w:snapToGrid w:val="0"/>
                <w:kern w:val="0"/>
                <w:szCs w:val="21"/>
              </w:rPr>
            </w:pPr>
            <w:r>
              <w:rPr>
                <w:rFonts w:ascii="宋体" w:hAnsi="宋体" w:cs="宋体" w:hint="eastAsia"/>
                <w:b/>
                <w:snapToGrid w:val="0"/>
                <w:kern w:val="0"/>
                <w:szCs w:val="21"/>
              </w:rPr>
              <w:t>室内设计参数</w:t>
            </w:r>
          </w:p>
          <w:p w:rsidR="007900F6">
            <w:pPr>
              <w:numPr>
                <w:ilvl w:val="0"/>
                <w:numId w:val="7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空气洁净等级表：</w:t>
            </w:r>
            <w:r>
              <w:rPr>
                <w:rFonts w:ascii="宋体" w:hAnsi="宋体" w:cs="宋体" w:hint="eastAsia"/>
                <w:snapToGrid w:val="0"/>
                <w:kern w:val="0"/>
                <w:szCs w:val="21"/>
                <w:highlight w:val="yellow"/>
              </w:rPr>
              <w:t>见附表1；</w:t>
            </w:r>
            <w:r>
              <w:rPr>
                <w:rFonts w:ascii="宋体" w:hAnsi="宋体" w:cs="宋体" w:hint="eastAsia"/>
                <w:snapToGrid w:val="0"/>
                <w:kern w:val="0"/>
                <w:szCs w:val="21"/>
                <w:shd w:val="clear" w:color="auto" w:fill="FFFFFF"/>
              </w:rPr>
              <w:t>洁净区环境指标：</w:t>
            </w:r>
            <w:r>
              <w:rPr>
                <w:rFonts w:ascii="宋体" w:hAnsi="宋体" w:cs="宋体" w:hint="eastAsia"/>
                <w:snapToGrid w:val="0"/>
                <w:kern w:val="0"/>
                <w:szCs w:val="21"/>
                <w:highlight w:val="yellow"/>
              </w:rPr>
              <w:t>见附表2</w:t>
            </w:r>
          </w:p>
          <w:p w:rsidR="007900F6">
            <w:pPr>
              <w:numPr>
                <w:ilvl w:val="0"/>
                <w:numId w:val="7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通风设计参数：排风支管内风速3-5m/s，干管内风速6-8m/s ，干管内风速8-12m/s ；</w:t>
            </w:r>
          </w:p>
          <w:p w:rsidR="007900F6">
            <w:pPr>
              <w:numPr>
                <w:ilvl w:val="0"/>
                <w:numId w:val="78"/>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通风设备设计风量：万向排气罩设计风量150~200m</w:t>
            </w:r>
            <w:r>
              <w:rPr>
                <w:rFonts w:ascii="宋体" w:hAnsi="宋体" w:cs="宋体" w:hint="eastAsia"/>
                <w:snapToGrid w:val="0"/>
                <w:kern w:val="0"/>
                <w:szCs w:val="21"/>
                <w:vertAlign w:val="superscript"/>
              </w:rPr>
              <w:t>3</w:t>
            </w:r>
            <w:r>
              <w:rPr>
                <w:rFonts w:ascii="宋体" w:hAnsi="宋体" w:cs="宋体" w:hint="eastAsia"/>
                <w:snapToGrid w:val="0"/>
                <w:kern w:val="0"/>
                <w:szCs w:val="21"/>
              </w:rPr>
              <w:t>/h；其它特殊的局部排风设备风量根据生产或实验工艺确定。</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Align w:val="center"/>
          </w:tcPr>
          <w:p w:rsidR="007900F6">
            <w:pPr>
              <w:adjustRightInd w:val="0"/>
              <w:snapToGrid w:val="0"/>
              <w:spacing w:line="360" w:lineRule="auto"/>
              <w:jc w:val="left"/>
              <w:rPr>
                <w:rFonts w:ascii="宋体" w:hAnsi="宋体"/>
                <w:bCs/>
                <w:snapToGrid w:val="0"/>
                <w:kern w:val="0"/>
                <w:szCs w:val="21"/>
                <w:lang w:eastAsia="zh-TW"/>
              </w:rPr>
            </w:pPr>
            <w:r>
              <w:rPr>
                <w:rFonts w:ascii="宋体" w:hAnsi="宋体" w:cs="宋体" w:hint="eastAsia"/>
                <w:bCs/>
                <w:snapToGrid w:val="0"/>
                <w:kern w:val="0"/>
                <w:szCs w:val="21"/>
              </w:rPr>
              <w:t>7.</w:t>
            </w:r>
            <w:r>
              <w:rPr>
                <w:rFonts w:ascii="宋体" w:hAnsi="宋体" w:cs="宋体"/>
                <w:bCs/>
                <w:snapToGrid w:val="0"/>
                <w:kern w:val="0"/>
                <w:szCs w:val="21"/>
              </w:rPr>
              <w:t>2</w:t>
            </w:r>
            <w:r>
              <w:rPr>
                <w:rFonts w:ascii="宋体" w:hAnsi="宋体" w:cs="宋体" w:hint="eastAsia"/>
                <w:bCs/>
                <w:snapToGrid w:val="0"/>
                <w:kern w:val="0"/>
                <w:szCs w:val="21"/>
              </w:rPr>
              <w:t>系统设计原则</w:t>
            </w:r>
          </w:p>
        </w:tc>
        <w:tc>
          <w:tcPr>
            <w:tcW w:w="3560" w:type="pct"/>
            <w:vAlign w:val="center"/>
          </w:tcPr>
          <w:p w:rsidR="007900F6">
            <w:pPr>
              <w:numPr>
                <w:ilvl w:val="0"/>
                <w:numId w:val="7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净化系统设计原则</w:t>
            </w:r>
          </w:p>
          <w:p w:rsidR="007900F6">
            <w:pPr>
              <w:numPr>
                <w:ilvl w:val="0"/>
                <w:numId w:val="7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运行班次或使用时间不同设置独立的空调系统；</w:t>
            </w:r>
          </w:p>
          <w:p w:rsidR="007900F6">
            <w:pPr>
              <w:numPr>
                <w:ilvl w:val="0"/>
                <w:numId w:val="7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生产过程中散发的物质对其它工序、设备交叉污染、对产品质量或操作人员健康、安全有影响的区域设置单独全新风净化空调系统；</w:t>
            </w:r>
          </w:p>
          <w:p w:rsidR="007900F6">
            <w:pPr>
              <w:numPr>
                <w:ilvl w:val="0"/>
                <w:numId w:val="79"/>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恒温恒湿净化空调系统与一般空调系统区分开；</w:t>
            </w:r>
          </w:p>
          <w:p w:rsidR="007900F6">
            <w:pPr>
              <w:numPr>
                <w:ilvl w:val="0"/>
                <w:numId w:val="79"/>
              </w:numPr>
              <w:adjustRightInd w:val="0"/>
              <w:snapToGrid w:val="0"/>
              <w:spacing w:line="360" w:lineRule="auto"/>
              <w:jc w:val="left"/>
              <w:rPr>
                <w:rFonts w:ascii="宋体" w:hAnsi="宋体"/>
                <w:snapToGrid w:val="0"/>
                <w:kern w:val="0"/>
                <w:szCs w:val="21"/>
              </w:rPr>
            </w:pPr>
            <w:r>
              <w:rPr>
                <w:rFonts w:ascii="宋体" w:hAnsi="宋体" w:cs="宋体" w:hint="eastAsia"/>
                <w:snapToGrid w:val="0"/>
                <w:kern w:val="0"/>
                <w:szCs w:val="21"/>
              </w:rPr>
              <w:t>设置专用净化空调机房：空调机房尽量靠近净化区域，有利于空调系统的运行与管理。</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restart"/>
            <w:vAlign w:val="center"/>
          </w:tcPr>
          <w:p w:rsidR="007900F6">
            <w:pPr>
              <w:adjustRightInd w:val="0"/>
              <w:snapToGrid w:val="0"/>
              <w:spacing w:line="360" w:lineRule="auto"/>
              <w:jc w:val="left"/>
              <w:rPr>
                <w:rFonts w:ascii="宋体" w:hAnsi="宋体" w:cs="宋体"/>
                <w:bCs/>
                <w:snapToGrid w:val="0"/>
                <w:kern w:val="0"/>
                <w:szCs w:val="21"/>
              </w:rPr>
            </w:pPr>
            <w:r>
              <w:rPr>
                <w:rFonts w:ascii="宋体" w:hAnsi="宋体" w:cs="宋体" w:hint="eastAsia"/>
                <w:bCs/>
                <w:snapToGrid w:val="0"/>
                <w:kern w:val="0"/>
                <w:szCs w:val="21"/>
              </w:rPr>
              <w:t>7.</w:t>
            </w:r>
            <w:r>
              <w:rPr>
                <w:rFonts w:ascii="宋体" w:hAnsi="宋体" w:cs="宋体"/>
                <w:bCs/>
                <w:snapToGrid w:val="0"/>
                <w:kern w:val="0"/>
                <w:szCs w:val="21"/>
              </w:rPr>
              <w:t>3</w:t>
            </w:r>
            <w:r>
              <w:rPr>
                <w:rFonts w:ascii="宋体" w:hAnsi="宋体" w:cs="宋体" w:hint="eastAsia"/>
                <w:bCs/>
                <w:snapToGrid w:val="0"/>
                <w:kern w:val="0"/>
                <w:szCs w:val="21"/>
              </w:rPr>
              <w:t>洁净室气流组织</w:t>
            </w:r>
          </w:p>
        </w:tc>
        <w:tc>
          <w:tcPr>
            <w:tcW w:w="3560" w:type="pct"/>
            <w:vAlign w:val="center"/>
          </w:tcPr>
          <w:p w:rsidR="007900F6">
            <w:pPr>
              <w:numPr>
                <w:ilvl w:val="0"/>
                <w:numId w:val="8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实验室净化空调系统：净化空调的气流组织目前通常分为垂直单向流及非单向流，对有单向流的洁净室需要有双回风墙回风，送风采用百级层流罩或FFU罩进行上送风，非单向流的洁净室采用回风柱侧回风，高效送风口上送风，回风柱要求对角均匀布置，如有更高要求的洁净室或恒温恒湿间，特别是温湿度要求非常均匀的空间，建议采用地板回风。洁净室采用洁净空调集中送风，送风方式上送下侧回，新风加装调节、净化空调机组出口加装调节阀、高效送风口送风主管及回（排）风口装风量调节阀。高效送风口的位置布置，尽可能减少气流停滞区域，确保室内可能被污染的区域的空气以最快速度流向回（排）风口，回（排）风口应靠近污染源、风口下边离地宜要保持合适高度，否则容易卷直地面灰尘，且回（排）风口的风速宜不大于2m/s。</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cs="宋体"/>
                <w:bCs/>
                <w:snapToGrid w:val="0"/>
                <w:kern w:val="0"/>
                <w:szCs w:val="21"/>
              </w:rPr>
            </w:pPr>
          </w:p>
        </w:tc>
        <w:tc>
          <w:tcPr>
            <w:tcW w:w="3560" w:type="pct"/>
            <w:vAlign w:val="center"/>
          </w:tcPr>
          <w:p w:rsidR="007900F6">
            <w:pPr>
              <w:numPr>
                <w:ilvl w:val="0"/>
                <w:numId w:val="8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洁净空调系统采用三级过滤净化，新风经过初效净化，到净化空调机组进行中效净化，到净化房间后经过高效过滤器后送到房间，新风量较大、灰尘较大的地方要加装中效过滤器。</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cs="宋体"/>
                <w:bCs/>
                <w:snapToGrid w:val="0"/>
                <w:kern w:val="0"/>
                <w:szCs w:val="21"/>
              </w:rPr>
            </w:pPr>
          </w:p>
        </w:tc>
        <w:tc>
          <w:tcPr>
            <w:tcW w:w="3560" w:type="pct"/>
            <w:vAlign w:val="center"/>
          </w:tcPr>
          <w:p w:rsidR="007900F6">
            <w:pPr>
              <w:numPr>
                <w:ilvl w:val="0"/>
                <w:numId w:val="8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洁净室需</w:t>
            </w:r>
            <w:r>
              <w:rPr>
                <w:rFonts w:ascii="宋体" w:hAnsi="宋体" w:cs="宋体"/>
                <w:snapToGrid w:val="0"/>
                <w:kern w:val="0"/>
                <w:szCs w:val="21"/>
              </w:rPr>
              <w:t>安装氧含量报警器</w:t>
            </w:r>
            <w:r>
              <w:rPr>
                <w:rFonts w:ascii="宋体" w:hAnsi="宋体" w:cs="宋体" w:hint="eastAsia"/>
                <w:snapToGrid w:val="0"/>
                <w:kern w:val="0"/>
                <w:szCs w:val="21"/>
              </w:rPr>
              <w:t>。</w:t>
            </w:r>
          </w:p>
        </w:tc>
      </w:tr>
      <w:tr>
        <w:tblPrEx>
          <w:tblW w:w="5000" w:type="pct"/>
          <w:jc w:val="center"/>
          <w:tblInd w:w="0" w:type="dxa"/>
          <w:tblLook w:val="0000"/>
        </w:tblPrEx>
        <w:trPr>
          <w:trHeight w:val="64"/>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cs="宋体"/>
                <w:bCs/>
                <w:snapToGrid w:val="0"/>
                <w:kern w:val="0"/>
                <w:szCs w:val="21"/>
              </w:rPr>
            </w:pPr>
          </w:p>
        </w:tc>
        <w:tc>
          <w:tcPr>
            <w:tcW w:w="3560" w:type="pct"/>
            <w:vAlign w:val="center"/>
          </w:tcPr>
          <w:p w:rsidR="007900F6">
            <w:pPr>
              <w:numPr>
                <w:ilvl w:val="0"/>
                <w:numId w:val="80"/>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洁净室空气净化流程：请查看</w:t>
            </w:r>
            <w:r>
              <w:rPr>
                <w:rFonts w:ascii="宋体" w:hAnsi="宋体" w:cs="宋体" w:hint="eastAsia"/>
                <w:snapToGrid w:val="0"/>
                <w:kern w:val="0"/>
                <w:szCs w:val="21"/>
                <w:highlight w:val="yellow"/>
              </w:rPr>
              <w:t>流程图1。</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restart"/>
            <w:vAlign w:val="center"/>
          </w:tcPr>
          <w:p w:rsidR="007900F6">
            <w:pPr>
              <w:adjustRightInd w:val="0"/>
              <w:snapToGrid w:val="0"/>
              <w:spacing w:line="360" w:lineRule="auto"/>
              <w:jc w:val="left"/>
              <w:rPr>
                <w:rFonts w:ascii="宋体" w:hAnsi="宋体" w:cs="宋体"/>
                <w:b/>
                <w:bCs/>
                <w:snapToGrid w:val="0"/>
                <w:kern w:val="0"/>
                <w:szCs w:val="21"/>
              </w:rPr>
            </w:pPr>
            <w:r>
              <w:rPr>
                <w:rFonts w:ascii="宋体" w:hAnsi="宋体" w:cs="宋体" w:hint="eastAsia"/>
                <w:b/>
                <w:bCs/>
                <w:snapToGrid w:val="0"/>
                <w:kern w:val="0"/>
                <w:szCs w:val="21"/>
              </w:rPr>
              <w:t>7.</w:t>
            </w:r>
            <w:r>
              <w:rPr>
                <w:rFonts w:ascii="宋体" w:hAnsi="宋体" w:cs="宋体"/>
                <w:b/>
                <w:bCs/>
                <w:snapToGrid w:val="0"/>
                <w:kern w:val="0"/>
                <w:szCs w:val="21"/>
              </w:rPr>
              <w:t>4</w:t>
            </w:r>
            <w:r>
              <w:rPr>
                <w:rFonts w:ascii="宋体" w:hAnsi="宋体" w:cs="宋体" w:hint="eastAsia"/>
                <w:b/>
                <w:bCs/>
                <w:snapToGrid w:val="0"/>
                <w:kern w:val="0"/>
                <w:szCs w:val="21"/>
              </w:rPr>
              <w:t>空调系统具体划分描述</w:t>
            </w:r>
          </w:p>
        </w:tc>
        <w:tc>
          <w:tcPr>
            <w:tcW w:w="3560" w:type="pct"/>
            <w:vAlign w:val="center"/>
          </w:tcPr>
          <w:p w:rsidR="007900F6">
            <w:pPr>
              <w:numPr>
                <w:ilvl w:val="0"/>
                <w:numId w:val="81"/>
              </w:num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w:t>
            </w:r>
            <w:r>
              <w:rPr>
                <w:rFonts w:ascii="宋体" w:hAnsi="宋体" w:cs="宋体" w:hint="eastAsia"/>
                <w:snapToGrid w:val="0"/>
                <w:kern w:val="0"/>
                <w:szCs w:val="21"/>
              </w:rPr>
              <w:t>室内环境设计参数：</w:t>
            </w:r>
          </w:p>
          <w:p w:rsidR="007900F6">
            <w:pPr>
              <w:numPr>
                <w:ilvl w:val="0"/>
                <w:numId w:val="82"/>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仪器室1~</w:t>
            </w:r>
            <w:r>
              <w:rPr>
                <w:rFonts w:ascii="宋体" w:hAnsi="宋体"/>
                <w:snapToGrid w:val="0"/>
                <w:kern w:val="0"/>
                <w:szCs w:val="21"/>
              </w:rPr>
              <w:t>3</w:t>
            </w:r>
            <w:r>
              <w:rPr>
                <w:rFonts w:ascii="宋体" w:hAnsi="宋体" w:hint="eastAsia"/>
                <w:snapToGrid w:val="0"/>
                <w:kern w:val="0"/>
                <w:szCs w:val="21"/>
              </w:rPr>
              <w:t>+综合实验室+机房：设计温湿度</w:t>
            </w:r>
            <w:r>
              <w:rPr>
                <w:rFonts w:ascii="宋体" w:hAnsi="宋体"/>
                <w:snapToGrid w:val="0"/>
                <w:kern w:val="0"/>
                <w:szCs w:val="21"/>
              </w:rPr>
              <w:t>22±1℃/50%±10%</w:t>
            </w:r>
            <w:r>
              <w:rPr>
                <w:rFonts w:ascii="宋体" w:hAnsi="宋体" w:hint="eastAsia"/>
                <w:snapToGrid w:val="0"/>
                <w:kern w:val="0"/>
                <w:szCs w:val="21"/>
              </w:rPr>
              <w:t>，</w:t>
            </w:r>
            <w:r>
              <w:rPr>
                <w:rFonts w:ascii="宋体" w:hAnsi="宋体"/>
                <w:snapToGrid w:val="0"/>
                <w:kern w:val="0"/>
                <w:szCs w:val="21"/>
              </w:rPr>
              <w:t>湿度</w:t>
            </w:r>
            <w:r>
              <w:rPr>
                <w:rFonts w:ascii="宋体" w:hAnsi="宋体" w:hint="eastAsia"/>
                <w:snapToGrid w:val="0"/>
                <w:kern w:val="0"/>
                <w:szCs w:val="21"/>
              </w:rPr>
              <w:t>控制</w:t>
            </w:r>
            <w:r>
              <w:rPr>
                <w:rFonts w:ascii="宋体" w:hAnsi="宋体"/>
                <w:snapToGrid w:val="0"/>
                <w:kern w:val="0"/>
                <w:szCs w:val="21"/>
              </w:rPr>
              <w:t>范围18~25°C/30~60%</w:t>
            </w:r>
            <w:r>
              <w:rPr>
                <w:rFonts w:ascii="宋体" w:hAnsi="宋体" w:hint="eastAsia"/>
                <w:snapToGrid w:val="0"/>
                <w:kern w:val="0"/>
                <w:szCs w:val="21"/>
              </w:rPr>
              <w:t>，</w:t>
            </w:r>
            <w:r>
              <w:rPr>
                <w:rFonts w:ascii="宋体" w:hAnsi="宋体" w:cs="宋体" w:hint="eastAsia"/>
                <w:snapToGrid w:val="0"/>
                <w:kern w:val="0"/>
                <w:szCs w:val="21"/>
              </w:rPr>
              <w:t>换气次数：20次。</w:t>
            </w:r>
            <w:r>
              <w:rPr>
                <w:rFonts w:ascii="宋体" w:hAnsi="宋体" w:hint="eastAsia"/>
                <w:snapToGrid w:val="0"/>
                <w:kern w:val="0"/>
                <w:szCs w:val="21"/>
              </w:rPr>
              <w:t>。空调机组安装在屋顶，注意选择室外型机组。</w:t>
            </w:r>
          </w:p>
          <w:p w:rsidR="007900F6">
            <w:pPr>
              <w:numPr>
                <w:ilvl w:val="0"/>
                <w:numId w:val="82"/>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仪器室1~</w:t>
            </w:r>
            <w:r>
              <w:rPr>
                <w:rFonts w:ascii="宋体" w:hAnsi="宋体"/>
                <w:snapToGrid w:val="0"/>
                <w:kern w:val="0"/>
                <w:szCs w:val="21"/>
              </w:rPr>
              <w:t>3</w:t>
            </w:r>
            <w:r>
              <w:rPr>
                <w:rFonts w:ascii="宋体" w:hAnsi="宋体" w:hint="eastAsia"/>
                <w:snapToGrid w:val="0"/>
                <w:kern w:val="0"/>
                <w:szCs w:val="21"/>
              </w:rPr>
              <w:t>使用一套空调机组，综合实验室+机房使用一套空调机组，两套机组分别设置温湿度传感器，保证温湿度在设定范围内。空调机组采用变频风机，根据室内负荷实现变风量运行。</w:t>
            </w:r>
          </w:p>
          <w:p w:rsidR="007900F6">
            <w:pPr>
              <w:numPr>
                <w:ilvl w:val="0"/>
                <w:numId w:val="82"/>
              </w:numPr>
              <w:adjustRightInd w:val="0"/>
              <w:snapToGrid w:val="0"/>
              <w:spacing w:line="360" w:lineRule="auto"/>
              <w:jc w:val="left"/>
              <w:rPr>
                <w:rFonts w:ascii="宋体" w:hAnsi="宋体" w:cs="宋体"/>
                <w:snapToGrid w:val="0"/>
                <w:color w:val="FF0000"/>
                <w:kern w:val="0"/>
                <w:szCs w:val="21"/>
              </w:rPr>
            </w:pPr>
            <w:r>
              <w:rPr>
                <w:rFonts w:ascii="宋体" w:hAnsi="宋体" w:hint="eastAsia"/>
                <w:snapToGrid w:val="0"/>
                <w:kern w:val="0"/>
                <w:szCs w:val="21"/>
              </w:rPr>
              <w:t>细胞室：独立安装恒温恒湿空调，冷热源独立，设计温湿度</w:t>
            </w:r>
            <w:r>
              <w:rPr>
                <w:rFonts w:ascii="宋体" w:hAnsi="宋体"/>
                <w:snapToGrid w:val="0"/>
                <w:kern w:val="0"/>
                <w:szCs w:val="21"/>
              </w:rPr>
              <w:t>22±1℃/50%±10%,</w:t>
            </w:r>
            <w:r>
              <w:rPr>
                <w:rFonts w:ascii="宋体" w:hAnsi="宋体" w:hint="eastAsia"/>
                <w:snapToGrid w:val="0"/>
                <w:kern w:val="0"/>
                <w:szCs w:val="21"/>
              </w:rPr>
              <w:t>，</w:t>
            </w:r>
            <w:r>
              <w:rPr>
                <w:rFonts w:ascii="宋体" w:hAnsi="宋体"/>
                <w:snapToGrid w:val="0"/>
                <w:kern w:val="0"/>
                <w:szCs w:val="21"/>
              </w:rPr>
              <w:t>温湿度</w:t>
            </w:r>
            <w:r>
              <w:rPr>
                <w:rFonts w:ascii="宋体" w:hAnsi="宋体" w:hint="eastAsia"/>
                <w:snapToGrid w:val="0"/>
                <w:kern w:val="0"/>
                <w:szCs w:val="21"/>
              </w:rPr>
              <w:t>控制</w:t>
            </w:r>
            <w:r>
              <w:rPr>
                <w:rFonts w:ascii="宋体" w:hAnsi="宋体"/>
                <w:snapToGrid w:val="0"/>
                <w:kern w:val="0"/>
                <w:szCs w:val="21"/>
              </w:rPr>
              <w:t>范围18~25°C/30~60%</w:t>
            </w:r>
            <w:r>
              <w:rPr>
                <w:rFonts w:ascii="宋体" w:hAnsi="宋体" w:hint="eastAsia"/>
                <w:snapToGrid w:val="0"/>
                <w:kern w:val="0"/>
                <w:szCs w:val="21"/>
              </w:rPr>
              <w:t>。细胞室需按I</w:t>
            </w:r>
            <w:r>
              <w:rPr>
                <w:rFonts w:ascii="宋体" w:hAnsi="宋体"/>
                <w:snapToGrid w:val="0"/>
                <w:kern w:val="0"/>
                <w:szCs w:val="21"/>
              </w:rPr>
              <w:t>SO8</w:t>
            </w:r>
            <w:r>
              <w:rPr>
                <w:rFonts w:ascii="宋体" w:hAnsi="宋体" w:hint="eastAsia"/>
                <w:snapToGrid w:val="0"/>
                <w:kern w:val="0"/>
                <w:szCs w:val="21"/>
              </w:rPr>
              <w:t>级，也即1</w:t>
            </w:r>
            <w:r>
              <w:rPr>
                <w:rFonts w:ascii="宋体" w:hAnsi="宋体"/>
                <w:snapToGrid w:val="0"/>
                <w:kern w:val="0"/>
                <w:szCs w:val="21"/>
              </w:rPr>
              <w:t>00000</w:t>
            </w:r>
            <w:r>
              <w:rPr>
                <w:rFonts w:ascii="宋体" w:hAnsi="宋体" w:hint="eastAsia"/>
                <w:snapToGrid w:val="0"/>
                <w:kern w:val="0"/>
                <w:szCs w:val="21"/>
              </w:rPr>
              <w:t>级洁净度进行设计，</w:t>
            </w:r>
            <w:r>
              <w:rPr>
                <w:rFonts w:ascii="宋体" w:hAnsi="宋体" w:cs="宋体" w:hint="eastAsia"/>
                <w:snapToGrid w:val="0"/>
                <w:kern w:val="0"/>
                <w:szCs w:val="21"/>
              </w:rPr>
              <w:t>换气次数：25次。</w:t>
            </w:r>
            <w:r>
              <w:rPr>
                <w:rFonts w:ascii="宋体" w:hAnsi="宋体" w:cs="宋体" w:hint="eastAsia"/>
                <w:snapToGrid w:val="0"/>
                <w:color w:val="FF0000"/>
                <w:kern w:val="0"/>
                <w:szCs w:val="21"/>
              </w:rPr>
              <w:t>施工完成后，请施工方提供第三方检测机构检测报告，检测报告内容包括洁净度，温湿度等要求。</w:t>
            </w:r>
          </w:p>
          <w:p w:rsidR="007900F6">
            <w:pPr>
              <w:numPr>
                <w:ilvl w:val="0"/>
                <w:numId w:val="82"/>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各个空调区域需设置温湿度控制和监控面板。</w:t>
            </w:r>
          </w:p>
          <w:p w:rsidR="007900F6">
            <w:pPr>
              <w:numPr>
                <w:ilvl w:val="0"/>
                <w:numId w:val="82"/>
              </w:numPr>
              <w:adjustRightInd w:val="0"/>
              <w:snapToGrid w:val="0"/>
              <w:spacing w:line="360" w:lineRule="auto"/>
              <w:jc w:val="left"/>
              <w:rPr>
                <w:rFonts w:ascii="宋体" w:hAnsi="宋体" w:cs="宋体"/>
                <w:snapToGrid w:val="0"/>
                <w:kern w:val="0"/>
                <w:szCs w:val="21"/>
              </w:rPr>
            </w:pPr>
            <w:r>
              <w:rPr>
                <w:rFonts w:ascii="宋体" w:hAnsi="宋体" w:hint="eastAsia"/>
                <w:snapToGrid w:val="0"/>
                <w:kern w:val="0"/>
                <w:szCs w:val="21"/>
              </w:rPr>
              <w:t>数据机房另外设置机密空调</w:t>
            </w:r>
            <w:r>
              <w:rPr>
                <w:rFonts w:ascii="宋体" w:hAnsi="宋体" w:cs="宋体" w:hint="eastAsia"/>
                <w:snapToGrid w:val="0"/>
                <w:kern w:val="0"/>
                <w:szCs w:val="21"/>
              </w:rPr>
              <w:t>。</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cs="宋体"/>
                <w:b/>
                <w:bCs/>
                <w:snapToGrid w:val="0"/>
                <w:kern w:val="0"/>
                <w:szCs w:val="21"/>
              </w:rPr>
            </w:pPr>
          </w:p>
        </w:tc>
        <w:tc>
          <w:tcPr>
            <w:tcW w:w="3560" w:type="pct"/>
            <w:vAlign w:val="center"/>
          </w:tcPr>
          <w:p w:rsidR="007900F6">
            <w:pPr>
              <w:numPr>
                <w:ilvl w:val="0"/>
                <w:numId w:val="81"/>
              </w:numPr>
              <w:adjustRightInd w:val="0"/>
              <w:snapToGrid w:val="0"/>
              <w:spacing w:line="360" w:lineRule="auto"/>
              <w:jc w:val="left"/>
              <w:rPr>
                <w:rFonts w:ascii="宋体" w:hAnsi="宋体" w:cs="宋体"/>
                <w:snapToGrid w:val="0"/>
                <w:kern w:val="0"/>
                <w:szCs w:val="21"/>
                <w:lang w:val="en-GB"/>
              </w:rPr>
            </w:pPr>
            <w:r>
              <w:rPr>
                <w:rFonts w:ascii="宋体" w:hAnsi="宋体" w:cs="宋体" w:hint="eastAsia"/>
                <w:snapToGrid w:val="0"/>
                <w:kern w:val="0"/>
                <w:szCs w:val="21"/>
                <w:lang w:val="en-GB"/>
              </w:rPr>
              <w:t>空调系统概况：</w:t>
            </w:r>
          </w:p>
          <w:p w:rsidR="007900F6">
            <w:pPr>
              <w:numPr>
                <w:ilvl w:val="0"/>
                <w:numId w:val="8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细胞室洁净区域采用一次回风型净化空调机组，独立开关。</w:t>
            </w:r>
          </w:p>
          <w:p w:rsidR="007900F6">
            <w:pPr>
              <w:numPr>
                <w:ilvl w:val="0"/>
                <w:numId w:val="8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普通实验室恒温恒湿区域采用一次回风型恒温恒湿空调机组，独立开关。</w:t>
            </w:r>
          </w:p>
          <w:p w:rsidR="007900F6">
            <w:pPr>
              <w:numPr>
                <w:ilvl w:val="0"/>
                <w:numId w:val="8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空调机组放置屋面，并做防雨处理。</w:t>
            </w:r>
          </w:p>
          <w:p w:rsidR="007900F6">
            <w:pPr>
              <w:numPr>
                <w:ilvl w:val="0"/>
                <w:numId w:val="83"/>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空调机组接入两套冷源（变频室外机组</w:t>
            </w:r>
            <w:r>
              <w:rPr>
                <w:rFonts w:ascii="宋体" w:hAnsi="宋体"/>
                <w:snapToGrid w:val="0"/>
                <w:kern w:val="0"/>
                <w:szCs w:val="21"/>
              </w:rPr>
              <w:t>+大楼冷冻水）</w:t>
            </w:r>
            <w:r>
              <w:rPr>
                <w:rFonts w:ascii="宋体" w:hAnsi="宋体" w:hint="eastAsia"/>
                <w:snapToGrid w:val="0"/>
                <w:kern w:val="0"/>
                <w:szCs w:val="21"/>
              </w:rPr>
              <w:t>，夏季工作时间周一至周五9:</w:t>
            </w:r>
            <w:r>
              <w:rPr>
                <w:rFonts w:ascii="宋体" w:hAnsi="宋体"/>
                <w:snapToGrid w:val="0"/>
                <w:kern w:val="0"/>
                <w:szCs w:val="21"/>
              </w:rPr>
              <w:t>00</w:t>
            </w:r>
            <w:r>
              <w:rPr>
                <w:rFonts w:ascii="宋体" w:hAnsi="宋体" w:hint="eastAsia"/>
                <w:snapToGrid w:val="0"/>
                <w:kern w:val="0"/>
                <w:szCs w:val="21"/>
              </w:rPr>
              <w:t>~</w:t>
            </w:r>
            <w:r>
              <w:rPr>
                <w:rFonts w:ascii="宋体" w:hAnsi="宋体"/>
                <w:snapToGrid w:val="0"/>
                <w:kern w:val="0"/>
                <w:szCs w:val="21"/>
              </w:rPr>
              <w:t>17</w:t>
            </w:r>
            <w:r>
              <w:rPr>
                <w:rFonts w:ascii="宋体" w:hAnsi="宋体" w:hint="eastAsia"/>
                <w:snapToGrid w:val="0"/>
                <w:kern w:val="0"/>
                <w:szCs w:val="21"/>
              </w:rPr>
              <w:t>:</w:t>
            </w:r>
            <w:r>
              <w:rPr>
                <w:rFonts w:ascii="宋体" w:hAnsi="宋体"/>
                <w:snapToGrid w:val="0"/>
                <w:kern w:val="0"/>
                <w:szCs w:val="21"/>
              </w:rPr>
              <w:t>30</w:t>
            </w:r>
            <w:r>
              <w:rPr>
                <w:rFonts w:ascii="宋体" w:hAnsi="宋体" w:hint="eastAsia"/>
                <w:snapToGrid w:val="0"/>
                <w:kern w:val="0"/>
                <w:szCs w:val="21"/>
              </w:rPr>
              <w:t>可使用大楼冷冻水管，夏季非工作时间及冬季等大楼冷冻水温无法满足制冷要求的时段，启动独立室外机组提供冷/热源，采用大楼冷冻水温及室内温度作为切换控制参数。需注意冰箱和机柜散热负荷。各实验室需设置温湿度监测面板。</w:t>
            </w:r>
          </w:p>
          <w:p w:rsidR="007900F6">
            <w:pPr>
              <w:numPr>
                <w:ilvl w:val="0"/>
                <w:numId w:val="83"/>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大楼冷冻水管（D</w:t>
            </w:r>
            <w:r>
              <w:rPr>
                <w:rFonts w:ascii="宋体" w:hAnsi="宋体"/>
                <w:snapToGrid w:val="0"/>
                <w:kern w:val="0"/>
                <w:szCs w:val="21"/>
              </w:rPr>
              <w:t>N100</w:t>
            </w:r>
            <w:r>
              <w:rPr>
                <w:rFonts w:ascii="宋体" w:hAnsi="宋体" w:hint="eastAsia"/>
                <w:snapToGrid w:val="0"/>
                <w:kern w:val="0"/>
                <w:szCs w:val="21"/>
              </w:rPr>
              <w:t>）于7楼空调机房接管，并通过机房水管井上升至屋面。</w:t>
            </w:r>
          </w:p>
          <w:p w:rsidR="007900F6">
            <w:pPr>
              <w:numPr>
                <w:ilvl w:val="0"/>
                <w:numId w:val="83"/>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室外机放在屋面，即8层。</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cs="宋体"/>
                <w:b/>
                <w:bCs/>
                <w:snapToGrid w:val="0"/>
                <w:kern w:val="0"/>
                <w:szCs w:val="21"/>
              </w:rPr>
            </w:pPr>
          </w:p>
        </w:tc>
        <w:tc>
          <w:tcPr>
            <w:tcW w:w="3560" w:type="pct"/>
            <w:vAlign w:val="center"/>
          </w:tcPr>
          <w:p w:rsidR="007900F6">
            <w:pPr>
              <w:numPr>
                <w:ilvl w:val="0"/>
                <w:numId w:val="81"/>
              </w:numPr>
              <w:adjustRightInd w:val="0"/>
              <w:snapToGrid w:val="0"/>
              <w:spacing w:line="360" w:lineRule="auto"/>
              <w:jc w:val="left"/>
              <w:rPr>
                <w:rFonts w:ascii="宋体" w:hAnsi="宋体" w:cs="宋体"/>
                <w:snapToGrid w:val="0"/>
                <w:kern w:val="0"/>
                <w:szCs w:val="21"/>
                <w:lang w:val="en-GB"/>
              </w:rPr>
            </w:pPr>
            <w:r>
              <w:rPr>
                <w:rFonts w:ascii="宋体" w:hAnsi="宋体" w:cs="宋体" w:hint="eastAsia"/>
                <w:snapToGrid w:val="0"/>
                <w:kern w:val="0"/>
                <w:szCs w:val="21"/>
              </w:rPr>
              <w:t>工艺</w:t>
            </w:r>
            <w:r>
              <w:rPr>
                <w:rFonts w:ascii="宋体" w:hAnsi="宋体" w:cs="宋体" w:hint="eastAsia"/>
                <w:snapToGrid w:val="0"/>
                <w:kern w:val="0"/>
                <w:szCs w:val="21"/>
                <w:lang w:val="en-GB"/>
              </w:rPr>
              <w:t>通风系统</w:t>
            </w:r>
            <w:r>
              <w:rPr>
                <w:rFonts w:ascii="宋体" w:hAnsi="宋体" w:cs="宋体" w:hint="eastAsia"/>
                <w:snapToGrid w:val="0"/>
                <w:kern w:val="0"/>
                <w:szCs w:val="21"/>
              </w:rPr>
              <w:t>概况</w:t>
            </w:r>
            <w:r>
              <w:rPr>
                <w:rFonts w:ascii="宋体" w:hAnsi="宋体" w:cs="宋体" w:hint="eastAsia"/>
                <w:snapToGrid w:val="0"/>
                <w:kern w:val="0"/>
                <w:szCs w:val="21"/>
                <w:lang w:val="en-GB"/>
              </w:rPr>
              <w:t>：</w:t>
            </w:r>
          </w:p>
          <w:p w:rsidR="007900F6">
            <w:pPr>
              <w:numPr>
                <w:ilvl w:val="0"/>
                <w:numId w:val="84"/>
              </w:numPr>
              <w:adjustRightInd w:val="0"/>
              <w:snapToGrid w:val="0"/>
              <w:spacing w:line="360" w:lineRule="auto"/>
              <w:jc w:val="left"/>
              <w:rPr>
                <w:rFonts w:ascii="宋体" w:hAnsi="宋体"/>
                <w:snapToGrid w:val="0"/>
                <w:kern w:val="0"/>
                <w:szCs w:val="21"/>
              </w:rPr>
            </w:pPr>
            <w:r>
              <w:rPr>
                <w:rFonts w:ascii="宋体" w:hAnsi="宋体" w:hint="eastAsia"/>
                <w:snapToGrid w:val="0"/>
                <w:kern w:val="0"/>
                <w:szCs w:val="21"/>
              </w:rPr>
              <w:t>四层主要通风设备：万向罩</w:t>
            </w:r>
            <w:r>
              <w:rPr>
                <w:rFonts w:ascii="宋体" w:hAnsi="宋体"/>
                <w:snapToGrid w:val="0"/>
                <w:kern w:val="0"/>
                <w:szCs w:val="21"/>
              </w:rPr>
              <w:t>1个。</w:t>
            </w:r>
          </w:p>
          <w:p w:rsidR="007900F6">
            <w:pPr>
              <w:numPr>
                <w:ilvl w:val="0"/>
                <w:numId w:val="84"/>
              </w:numPr>
              <w:adjustRightInd w:val="0"/>
              <w:snapToGrid w:val="0"/>
              <w:spacing w:line="360" w:lineRule="auto"/>
              <w:jc w:val="left"/>
              <w:rPr>
                <w:rFonts w:ascii="宋体" w:hAnsi="宋体" w:cs="宋体"/>
                <w:snapToGrid w:val="0"/>
                <w:kern w:val="0"/>
                <w:szCs w:val="21"/>
                <w:lang w:val="en-GB"/>
              </w:rPr>
            </w:pPr>
            <w:r>
              <w:rPr>
                <w:rFonts w:ascii="宋体" w:hAnsi="宋体" w:hint="eastAsia"/>
                <w:snapToGrid w:val="0"/>
                <w:kern w:val="0"/>
                <w:szCs w:val="21"/>
              </w:rPr>
              <w:t>设备排风采用低噪声管道离心风机，当层排风。</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cs="宋体"/>
                <w:b/>
                <w:bCs/>
                <w:snapToGrid w:val="0"/>
                <w:kern w:val="0"/>
                <w:szCs w:val="21"/>
              </w:rPr>
            </w:pPr>
          </w:p>
        </w:tc>
        <w:tc>
          <w:tcPr>
            <w:tcW w:w="3560" w:type="pct"/>
            <w:vAlign w:val="center"/>
          </w:tcPr>
          <w:p w:rsidR="007900F6">
            <w:pPr>
              <w:numPr>
                <w:ilvl w:val="0"/>
                <w:numId w:val="81"/>
              </w:numPr>
              <w:adjustRightInd w:val="0"/>
              <w:snapToGrid w:val="0"/>
              <w:spacing w:line="360" w:lineRule="auto"/>
              <w:jc w:val="left"/>
              <w:rPr>
                <w:rFonts w:ascii="宋体" w:hAnsi="宋体" w:cs="宋体"/>
                <w:snapToGrid w:val="0"/>
                <w:kern w:val="0"/>
                <w:szCs w:val="21"/>
                <w:lang w:val="fr-CA"/>
              </w:rPr>
            </w:pPr>
          </w:p>
          <w:p w:rsidR="007900F6">
            <w:pPr>
              <w:numPr>
                <w:ilvl w:val="0"/>
                <w:numId w:val="85"/>
              </w:numPr>
              <w:adjustRightInd w:val="0"/>
              <w:snapToGrid w:val="0"/>
              <w:spacing w:line="360" w:lineRule="auto"/>
              <w:jc w:val="left"/>
              <w:rPr>
                <w:rFonts w:ascii="宋体" w:hAnsi="宋体" w:cs="宋体"/>
                <w:snapToGrid w:val="0"/>
                <w:kern w:val="0"/>
                <w:szCs w:val="21"/>
                <w:lang w:val="fr-CA"/>
              </w:rPr>
            </w:pPr>
            <w:r>
              <w:rPr>
                <w:rFonts w:ascii="宋体" w:hAnsi="宋体" w:cs="宋体" w:hint="eastAsia"/>
                <w:snapToGrid w:val="0"/>
                <w:kern w:val="0"/>
                <w:szCs w:val="21"/>
              </w:rPr>
              <w:t>细胞</w:t>
            </w:r>
            <w:r>
              <w:rPr>
                <w:rFonts w:ascii="宋体" w:hAnsi="宋体" w:cs="宋体" w:hint="eastAsia"/>
                <w:snapToGrid w:val="0"/>
                <w:kern w:val="0"/>
                <w:szCs w:val="21"/>
                <w:lang w:val="fr-CA"/>
              </w:rPr>
              <w:t>洁净室送风方式为独立空调集中管道上送风，下侧回风，每个送、回口都必须要安装风量调节阀，通过调节阀门的大小控制房间的送、</w:t>
            </w:r>
            <w:r>
              <w:rPr>
                <w:rFonts w:ascii="宋体" w:hAnsi="宋体" w:cs="宋体" w:hint="eastAsia"/>
                <w:snapToGrid w:val="0"/>
                <w:kern w:val="0"/>
                <w:szCs w:val="21"/>
              </w:rPr>
              <w:t>回</w:t>
            </w:r>
            <w:r>
              <w:rPr>
                <w:rFonts w:ascii="宋体" w:hAnsi="宋体" w:cs="宋体" w:hint="eastAsia"/>
                <w:snapToGrid w:val="0"/>
                <w:kern w:val="0"/>
                <w:szCs w:val="21"/>
                <w:lang w:val="fr-CA"/>
              </w:rPr>
              <w:t>风量，确保洁净实验室内的压差。送风经过初、中、高效过滤后才能送到房间。</w:t>
            </w:r>
          </w:p>
          <w:p w:rsidR="007900F6">
            <w:pPr>
              <w:numPr>
                <w:ilvl w:val="0"/>
                <w:numId w:val="85"/>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恒温恒湿实验室送风方式为独立空调集中管道上送风、上回风，每个送、回风口都必须安装风量调节阀，通过调节阀门的大小控制房间的送、回风量。</w:t>
            </w:r>
          </w:p>
        </w:tc>
      </w:tr>
      <w:tr>
        <w:tblPrEx>
          <w:tblW w:w="5000" w:type="pct"/>
          <w:jc w:val="center"/>
          <w:tblInd w:w="0" w:type="dxa"/>
          <w:tblLook w:val="0000"/>
        </w:tblPrEx>
        <w:trPr>
          <w:trHeight w:val="1411"/>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cs="宋体"/>
                <w:b/>
                <w:bCs/>
                <w:snapToGrid w:val="0"/>
                <w:kern w:val="0"/>
                <w:szCs w:val="21"/>
              </w:rPr>
            </w:pPr>
          </w:p>
        </w:tc>
        <w:tc>
          <w:tcPr>
            <w:tcW w:w="3560" w:type="pct"/>
            <w:vAlign w:val="center"/>
          </w:tcPr>
          <w:p w:rsidR="007900F6">
            <w:pPr>
              <w:numPr>
                <w:ilvl w:val="0"/>
                <w:numId w:val="81"/>
              </w:numPr>
              <w:adjustRightInd w:val="0"/>
              <w:snapToGrid w:val="0"/>
              <w:spacing w:line="360" w:lineRule="auto"/>
              <w:jc w:val="left"/>
              <w:rPr>
                <w:rFonts w:ascii="宋体" w:hAnsi="宋体" w:cs="宋体"/>
                <w:snapToGrid w:val="0"/>
                <w:kern w:val="0"/>
                <w:szCs w:val="21"/>
                <w:lang w:val="fr-CA"/>
              </w:rPr>
            </w:pPr>
            <w:r>
              <w:rPr>
                <w:rFonts w:ascii="宋体" w:hAnsi="宋体" w:cs="宋体" w:hint="eastAsia"/>
                <w:snapToGrid w:val="0"/>
                <w:kern w:val="0"/>
                <w:szCs w:val="21"/>
                <w:lang w:val="fr-CA"/>
              </w:rPr>
              <w:t>新风口需安装新风百叶。新风管设有电动风阀，并与风机互联。穿越变形缝和沉降缝处的风管两面侧，以及与风机进出口联接处应设置软接，其用料须符合洁净要求。风管在穿越防火分区或楼层时必须设置防火阀。所有净化空调系统从制作到施工安装环节均需采取密封防漏措施。</w:t>
            </w:r>
          </w:p>
        </w:tc>
      </w:tr>
      <w:tr>
        <w:tblPrEx>
          <w:tblW w:w="5000" w:type="pct"/>
          <w:jc w:val="center"/>
          <w:tblInd w:w="0" w:type="dxa"/>
          <w:tblLook w:val="0000"/>
        </w:tblPrEx>
        <w:trPr>
          <w:trHeight w:val="931"/>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Align w:val="center"/>
          </w:tcPr>
          <w:p w:rsidR="007900F6">
            <w:pPr>
              <w:adjustRightInd w:val="0"/>
              <w:snapToGrid w:val="0"/>
              <w:spacing w:line="360" w:lineRule="auto"/>
              <w:jc w:val="left"/>
              <w:rPr>
                <w:rFonts w:ascii="宋体" w:hAnsi="宋体" w:cs="宋体"/>
                <w:b/>
                <w:bCs/>
                <w:snapToGrid w:val="0"/>
                <w:kern w:val="0"/>
                <w:szCs w:val="21"/>
              </w:rPr>
            </w:pPr>
            <w:r>
              <w:rPr>
                <w:rFonts w:ascii="宋体" w:hAnsi="宋体" w:cs="宋体" w:hint="eastAsia"/>
                <w:b/>
                <w:bCs/>
                <w:snapToGrid w:val="0"/>
                <w:kern w:val="0"/>
                <w:szCs w:val="21"/>
              </w:rPr>
              <w:t>7.</w:t>
            </w:r>
            <w:r>
              <w:rPr>
                <w:rFonts w:ascii="宋体" w:hAnsi="宋体" w:cs="宋体"/>
                <w:b/>
                <w:bCs/>
                <w:snapToGrid w:val="0"/>
                <w:kern w:val="0"/>
                <w:szCs w:val="21"/>
              </w:rPr>
              <w:t>5</w:t>
            </w:r>
            <w:r>
              <w:rPr>
                <w:rFonts w:ascii="宋体" w:hAnsi="宋体" w:cs="宋体" w:hint="eastAsia"/>
                <w:b/>
                <w:bCs/>
                <w:snapToGrid w:val="0"/>
                <w:kern w:val="0"/>
                <w:szCs w:val="21"/>
              </w:rPr>
              <w:t>工艺空调系统的控制</w:t>
            </w:r>
          </w:p>
        </w:tc>
        <w:tc>
          <w:tcPr>
            <w:tcW w:w="3560" w:type="pct"/>
            <w:vAlign w:val="center"/>
          </w:tcPr>
          <w:p w:rsidR="007900F6">
            <w:pPr>
              <w:numPr>
                <w:ilvl w:val="0"/>
                <w:numId w:val="86"/>
              </w:numPr>
              <w:adjustRightInd w:val="0"/>
              <w:snapToGrid w:val="0"/>
              <w:spacing w:line="360" w:lineRule="auto"/>
              <w:jc w:val="left"/>
              <w:rPr>
                <w:rFonts w:ascii="宋体" w:hAnsi="宋体" w:cs="宋体"/>
                <w:snapToGrid w:val="0"/>
                <w:kern w:val="0"/>
                <w:szCs w:val="21"/>
                <w:lang w:val="fr-CA"/>
              </w:rPr>
            </w:pPr>
            <w:r>
              <w:rPr>
                <w:rFonts w:ascii="宋体" w:hAnsi="宋体" w:cs="宋体" w:hint="eastAsia"/>
                <w:snapToGrid w:val="0"/>
                <w:kern w:val="0"/>
                <w:szCs w:val="21"/>
                <w:lang w:val="zh-CN"/>
              </w:rPr>
              <w:t>洁净室入口处设置触摸屏，实现人机画面控制。</w:t>
            </w:r>
          </w:p>
          <w:p w:rsidR="007900F6">
            <w:pPr>
              <w:numPr>
                <w:ilvl w:val="0"/>
                <w:numId w:val="86"/>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洁净室内设置温湿度、压力传感器，通过触摸屏实现监控。</w:t>
            </w:r>
          </w:p>
          <w:p w:rsidR="007900F6">
            <w:pPr>
              <w:numPr>
                <w:ilvl w:val="0"/>
                <w:numId w:val="86"/>
              </w:numPr>
              <w:adjustRightInd w:val="0"/>
              <w:snapToGrid w:val="0"/>
              <w:spacing w:line="360" w:lineRule="auto"/>
              <w:jc w:val="left"/>
              <w:rPr>
                <w:rFonts w:ascii="宋体" w:hAnsi="宋体" w:cs="宋体"/>
                <w:snapToGrid w:val="0"/>
                <w:kern w:val="0"/>
                <w:szCs w:val="21"/>
                <w:lang w:val="fr-CA"/>
              </w:rPr>
            </w:pPr>
            <w:r>
              <w:rPr>
                <w:rFonts w:ascii="宋体" w:hAnsi="宋体" w:cs="宋体" w:hint="eastAsia"/>
                <w:snapToGrid w:val="0"/>
                <w:kern w:val="0"/>
                <w:szCs w:val="21"/>
              </w:rPr>
              <w:t>工艺</w:t>
            </w:r>
            <w:r>
              <w:rPr>
                <w:rFonts w:ascii="宋体" w:hAnsi="宋体" w:cs="宋体" w:hint="eastAsia"/>
                <w:snapToGrid w:val="0"/>
                <w:kern w:val="0"/>
                <w:szCs w:val="21"/>
                <w:lang w:val="zh-CN"/>
              </w:rPr>
              <w:t>空调系统设置</w:t>
            </w:r>
            <w:r>
              <w:rPr>
                <w:rFonts w:ascii="宋体" w:hAnsi="宋体" w:cs="宋体" w:hint="eastAsia"/>
                <w:snapToGrid w:val="0"/>
                <w:kern w:val="0"/>
                <w:szCs w:val="21"/>
              </w:rPr>
              <w:t>电动比例积分三通阀和电子膨胀</w:t>
            </w:r>
            <w:r>
              <w:rPr>
                <w:rFonts w:ascii="宋体" w:hAnsi="宋体" w:cs="宋体" w:hint="eastAsia"/>
                <w:snapToGrid w:val="0"/>
                <w:kern w:val="0"/>
                <w:szCs w:val="21"/>
                <w:lang w:val="zh-CN"/>
              </w:rPr>
              <w:t>阀实现温湿度控制。</w:t>
            </w:r>
          </w:p>
          <w:p w:rsidR="007900F6">
            <w:pPr>
              <w:numPr>
                <w:ilvl w:val="0"/>
                <w:numId w:val="86"/>
              </w:numPr>
              <w:adjustRightInd w:val="0"/>
              <w:snapToGrid w:val="0"/>
              <w:spacing w:line="360" w:lineRule="auto"/>
              <w:jc w:val="left"/>
              <w:rPr>
                <w:rFonts w:ascii="宋体" w:hAnsi="宋体" w:cs="宋体"/>
                <w:snapToGrid w:val="0"/>
                <w:kern w:val="0"/>
                <w:szCs w:val="21"/>
                <w:lang w:val="fr-CA"/>
              </w:rPr>
            </w:pPr>
            <w:r>
              <w:rPr>
                <w:rFonts w:ascii="宋体" w:hAnsi="宋体" w:cs="宋体" w:hint="eastAsia"/>
                <w:snapToGrid w:val="0"/>
                <w:kern w:val="0"/>
                <w:szCs w:val="21"/>
                <w:lang w:val="zh-CN"/>
              </w:rPr>
              <w:t>触摸屏中央控制系统实行全自动监控与调节，实时参数跟踪，做到系统运行安全稳定。</w:t>
            </w:r>
          </w:p>
          <w:p w:rsidR="007900F6">
            <w:pPr>
              <w:numPr>
                <w:ilvl w:val="0"/>
                <w:numId w:val="86"/>
              </w:numPr>
              <w:adjustRightInd w:val="0"/>
              <w:snapToGrid w:val="0"/>
              <w:spacing w:line="360" w:lineRule="auto"/>
              <w:jc w:val="left"/>
              <w:rPr>
                <w:rFonts w:ascii="宋体" w:hAnsi="宋体" w:cs="宋体"/>
                <w:snapToGrid w:val="0"/>
                <w:kern w:val="0"/>
                <w:szCs w:val="21"/>
                <w:lang w:val="fr-CA"/>
              </w:rPr>
            </w:pPr>
            <w:r>
              <w:rPr>
                <w:rFonts w:ascii="宋体" w:hAnsi="宋体" w:cs="宋体" w:hint="eastAsia"/>
                <w:snapToGrid w:val="0"/>
                <w:kern w:val="0"/>
                <w:szCs w:val="21"/>
              </w:rPr>
              <w:t>工艺</w:t>
            </w:r>
            <w:r>
              <w:rPr>
                <w:rFonts w:ascii="宋体" w:hAnsi="宋体" w:cs="宋体" w:hint="eastAsia"/>
                <w:snapToGrid w:val="0"/>
                <w:kern w:val="0"/>
                <w:szCs w:val="21"/>
                <w:lang w:val="zh-CN"/>
              </w:rPr>
              <w:t>空调中应对空调机组运行参数实时显示和记录，并设置报警功能。</w:t>
            </w:r>
          </w:p>
          <w:p w:rsidR="007900F6">
            <w:pPr>
              <w:numPr>
                <w:ilvl w:val="0"/>
                <w:numId w:val="86"/>
              </w:numPr>
              <w:adjustRightInd w:val="0"/>
              <w:snapToGrid w:val="0"/>
              <w:spacing w:line="360" w:lineRule="auto"/>
              <w:jc w:val="left"/>
              <w:rPr>
                <w:rFonts w:ascii="宋体" w:hAnsi="宋体" w:cs="宋体"/>
                <w:snapToGrid w:val="0"/>
                <w:kern w:val="0"/>
                <w:szCs w:val="21"/>
                <w:lang w:val="fr-CA"/>
              </w:rPr>
            </w:pPr>
            <w:r>
              <w:rPr>
                <w:rFonts w:ascii="宋体" w:hAnsi="宋体" w:cs="宋体" w:hint="eastAsia"/>
                <w:snapToGrid w:val="0"/>
                <w:kern w:val="0"/>
                <w:szCs w:val="21"/>
              </w:rPr>
              <w:t>装设在空调机组入口处的常闭电动风阀与送风机连锁，送风机启动，新风阀完全打开，送风机停机，新风阀将被关闭。</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restart"/>
            <w:vAlign w:val="center"/>
          </w:tcPr>
          <w:p w:rsidR="007900F6">
            <w:pPr>
              <w:adjustRightInd w:val="0"/>
              <w:snapToGrid w:val="0"/>
              <w:spacing w:line="360" w:lineRule="auto"/>
              <w:jc w:val="left"/>
              <w:rPr>
                <w:rFonts w:ascii="宋体" w:hAnsi="宋体" w:cs="宋体"/>
                <w:b/>
                <w:bCs/>
                <w:snapToGrid w:val="0"/>
                <w:kern w:val="0"/>
                <w:szCs w:val="21"/>
              </w:rPr>
            </w:pPr>
            <w:r>
              <w:rPr>
                <w:rFonts w:ascii="宋体" w:hAnsi="宋体" w:cs="宋体" w:hint="eastAsia"/>
                <w:b/>
                <w:bCs/>
                <w:snapToGrid w:val="0"/>
                <w:kern w:val="0"/>
                <w:szCs w:val="21"/>
              </w:rPr>
              <w:t>7.</w:t>
            </w:r>
            <w:r>
              <w:rPr>
                <w:rFonts w:ascii="宋体" w:hAnsi="宋体" w:cs="宋体"/>
                <w:b/>
                <w:bCs/>
                <w:snapToGrid w:val="0"/>
                <w:kern w:val="0"/>
                <w:szCs w:val="21"/>
              </w:rPr>
              <w:t>6</w:t>
            </w:r>
            <w:r>
              <w:rPr>
                <w:rFonts w:ascii="宋体" w:hAnsi="宋体" w:cs="宋体" w:hint="eastAsia"/>
                <w:b/>
                <w:bCs/>
                <w:snapToGrid w:val="0"/>
                <w:kern w:val="0"/>
                <w:szCs w:val="21"/>
              </w:rPr>
              <w:t>主要设备材料及技术要求</w:t>
            </w:r>
          </w:p>
        </w:tc>
        <w:tc>
          <w:tcPr>
            <w:tcW w:w="3560" w:type="pct"/>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7.</w:t>
            </w:r>
            <w:r>
              <w:rPr>
                <w:rFonts w:ascii="宋体" w:hAnsi="宋体" w:cs="宋体"/>
                <w:snapToGrid w:val="0"/>
                <w:kern w:val="0"/>
                <w:szCs w:val="21"/>
              </w:rPr>
              <w:t>6</w:t>
            </w:r>
            <w:r>
              <w:rPr>
                <w:rFonts w:ascii="宋体" w:hAnsi="宋体" w:cs="宋体" w:hint="eastAsia"/>
                <w:snapToGrid w:val="0"/>
                <w:kern w:val="0"/>
                <w:szCs w:val="21"/>
              </w:rPr>
              <w:t>.1 直膨式恒温恒湿空气处理组</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cs="宋体"/>
                <w:b/>
                <w:bCs/>
                <w:snapToGrid w:val="0"/>
                <w:kern w:val="0"/>
                <w:szCs w:val="21"/>
              </w:rPr>
            </w:pPr>
          </w:p>
        </w:tc>
        <w:tc>
          <w:tcPr>
            <w:tcW w:w="3560" w:type="pct"/>
            <w:vAlign w:val="center"/>
          </w:tcPr>
          <w:p w:rsidR="007900F6">
            <w:p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技术要求：</w:t>
            </w:r>
          </w:p>
          <w:p w:rsidR="007900F6">
            <w:pPr>
              <w:numPr>
                <w:ilvl w:val="0"/>
                <w:numId w:val="8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组合式空气处理机组箱体结构须采用铝合金无框架迷宫式密封框架结构，具良好的密封性能：在-400pa条件下漏风率≤0.15L/(s*m²)，达到L1级标准；在700pa条件下漏风率≤0.22L/(s*m²)，达到L1级标准；在3000Pa压力下，箱体变形量≤2.1mm/m；提供第三方依据EN1886标准出具的检测报告；机组要求有良好的保温性能和防冷桥性能，应符合EN1886标准中防外部凝露试验的有关要求，冷桥因子达到TB1级或以上，箱体传热系数达T1级或以上；</w:t>
            </w:r>
            <w:r>
              <w:rPr>
                <w:rFonts w:ascii="宋体" w:hAnsi="宋体" w:cs="宋体"/>
                <w:snapToGrid w:val="0"/>
                <w:kern w:val="0"/>
                <w:szCs w:val="21"/>
              </w:rPr>
              <w:t>参与投标的厂家需提供满足以上要求的</w:t>
            </w:r>
            <w:r>
              <w:rPr>
                <w:rFonts w:ascii="宋体" w:hAnsi="宋体" w:cs="宋体" w:hint="eastAsia"/>
                <w:snapToGrid w:val="0"/>
                <w:kern w:val="0"/>
                <w:szCs w:val="21"/>
              </w:rPr>
              <w:t>有效期内</w:t>
            </w:r>
            <w:r>
              <w:rPr>
                <w:rFonts w:ascii="宋体" w:hAnsi="宋体" w:cs="宋体"/>
                <w:snapToGrid w:val="0"/>
                <w:kern w:val="0"/>
                <w:szCs w:val="21"/>
              </w:rPr>
              <w:t>相应</w:t>
            </w:r>
            <w:r>
              <w:rPr>
                <w:rFonts w:ascii="宋体" w:hAnsi="宋体" w:cs="宋体" w:hint="eastAsia"/>
                <w:snapToGrid w:val="0"/>
                <w:kern w:val="0"/>
                <w:szCs w:val="21"/>
              </w:rPr>
              <w:t>报告</w:t>
            </w:r>
            <w:r>
              <w:rPr>
                <w:rFonts w:ascii="宋体" w:hAnsi="宋体" w:cs="宋体"/>
                <w:snapToGrid w:val="0"/>
                <w:kern w:val="0"/>
                <w:szCs w:val="21"/>
              </w:rPr>
              <w:t>证书复印件用于佐证</w:t>
            </w:r>
            <w:r>
              <w:rPr>
                <w:rFonts w:ascii="宋体" w:hAnsi="宋体" w:cs="宋体" w:hint="eastAsia"/>
                <w:snapToGrid w:val="0"/>
                <w:kern w:val="0"/>
                <w:szCs w:val="21"/>
              </w:rPr>
              <w:t>并加盖生产厂家公章，原件备查。</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Merge/>
            <w:vAlign w:val="center"/>
          </w:tcPr>
          <w:p w:rsidR="007900F6">
            <w:pPr>
              <w:adjustRightInd w:val="0"/>
              <w:snapToGrid w:val="0"/>
              <w:spacing w:line="360" w:lineRule="auto"/>
              <w:jc w:val="left"/>
              <w:rPr>
                <w:rFonts w:ascii="宋体" w:hAnsi="宋体" w:cs="宋体"/>
                <w:b/>
                <w:bCs/>
                <w:snapToGrid w:val="0"/>
                <w:kern w:val="0"/>
                <w:szCs w:val="21"/>
              </w:rPr>
            </w:pPr>
          </w:p>
        </w:tc>
        <w:tc>
          <w:tcPr>
            <w:tcW w:w="3560" w:type="pct"/>
            <w:vAlign w:val="center"/>
          </w:tcPr>
          <w:p w:rsidR="007900F6">
            <w:pPr>
              <w:numPr>
                <w:ilvl w:val="0"/>
                <w:numId w:val="87"/>
              </w:numPr>
              <w:adjustRightInd w:val="0"/>
              <w:snapToGrid w:val="0"/>
              <w:spacing w:line="360" w:lineRule="auto"/>
              <w:jc w:val="left"/>
              <w:rPr>
                <w:rFonts w:ascii="宋体" w:hAnsi="宋体" w:cs="宋体"/>
                <w:snapToGrid w:val="0"/>
                <w:kern w:val="0"/>
                <w:szCs w:val="21"/>
              </w:rPr>
            </w:pPr>
            <w:r>
              <w:rPr>
                <w:rFonts w:ascii="宋体" w:hAnsi="宋体" w:cs="宋体" w:hint="eastAsia"/>
                <w:snapToGrid w:val="0"/>
                <w:kern w:val="0"/>
                <w:szCs w:val="21"/>
              </w:rPr>
              <w:t>▲组合式净化风柜须具备通过CRAA产品认证证书。</w:t>
            </w:r>
            <w:r>
              <w:rPr>
                <w:rFonts w:ascii="宋体" w:hAnsi="宋体"/>
                <w:snapToGrid w:val="0"/>
                <w:kern w:val="0"/>
                <w:szCs w:val="21"/>
              </w:rPr>
              <w:t>参与投标的厂家需提供满足以上要求的</w:t>
            </w:r>
            <w:r>
              <w:rPr>
                <w:rFonts w:ascii="宋体" w:hAnsi="宋体" w:hint="eastAsia"/>
                <w:snapToGrid w:val="0"/>
                <w:kern w:val="0"/>
                <w:szCs w:val="21"/>
              </w:rPr>
              <w:t>有效期内</w:t>
            </w:r>
            <w:r>
              <w:rPr>
                <w:rFonts w:ascii="宋体" w:hAnsi="宋体"/>
                <w:snapToGrid w:val="0"/>
                <w:kern w:val="0"/>
                <w:szCs w:val="21"/>
              </w:rPr>
              <w:t>相应</w:t>
            </w:r>
            <w:r>
              <w:rPr>
                <w:rFonts w:ascii="宋体" w:hAnsi="宋体" w:hint="eastAsia"/>
                <w:snapToGrid w:val="0"/>
                <w:kern w:val="0"/>
                <w:szCs w:val="21"/>
              </w:rPr>
              <w:t>报告</w:t>
            </w:r>
            <w:r>
              <w:rPr>
                <w:rFonts w:ascii="宋体" w:hAnsi="宋体"/>
                <w:snapToGrid w:val="0"/>
                <w:kern w:val="0"/>
                <w:szCs w:val="21"/>
              </w:rPr>
              <w:t>证书复印件用于佐证</w:t>
            </w:r>
            <w:r>
              <w:rPr>
                <w:rFonts w:ascii="宋体" w:hAnsi="宋体" w:hint="eastAsia"/>
                <w:snapToGrid w:val="0"/>
                <w:kern w:val="0"/>
                <w:szCs w:val="21"/>
              </w:rPr>
              <w:t>并加盖生产厂家公章，原件备查。</w:t>
            </w:r>
          </w:p>
        </w:tc>
      </w:tr>
      <w:tr>
        <w:tblPrEx>
          <w:tblW w:w="5000" w:type="pct"/>
          <w:jc w:val="center"/>
          <w:tblInd w:w="0" w:type="dxa"/>
          <w:tblLook w:val="0000"/>
        </w:tblPrEx>
        <w:trPr>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Align w:val="center"/>
          </w:tcPr>
          <w:p w:rsidR="007900F6">
            <w:pPr>
              <w:adjustRightInd w:val="0"/>
              <w:snapToGrid w:val="0"/>
              <w:spacing w:line="360" w:lineRule="auto"/>
              <w:jc w:val="left"/>
              <w:rPr>
                <w:rFonts w:ascii="宋体" w:hAnsi="宋体" w:cs="宋体"/>
                <w:b/>
                <w:bCs/>
                <w:snapToGrid w:val="0"/>
                <w:kern w:val="0"/>
                <w:szCs w:val="21"/>
              </w:rPr>
            </w:pPr>
          </w:p>
        </w:tc>
        <w:tc>
          <w:tcPr>
            <w:tcW w:w="3560" w:type="pct"/>
            <w:vAlign w:val="center"/>
          </w:tcPr>
          <w:p w:rsidR="007900F6">
            <w:pPr>
              <w:numPr>
                <w:ilvl w:val="0"/>
                <w:numId w:val="87"/>
              </w:numPr>
              <w:adjustRightInd w:val="0"/>
              <w:snapToGrid w:val="0"/>
              <w:spacing w:line="360" w:lineRule="auto"/>
              <w:jc w:val="left"/>
              <w:rPr>
                <w:rFonts w:ascii="宋体" w:hAnsi="宋体" w:cs="宋体"/>
                <w:snapToGrid w:val="0"/>
                <w:kern w:val="0"/>
                <w:szCs w:val="21"/>
              </w:rPr>
            </w:pPr>
            <w:r>
              <w:rPr>
                <w:rFonts w:ascii="宋体" w:hAnsi="宋体" w:hint="eastAsia"/>
                <w:snapToGrid w:val="0"/>
                <w:szCs w:val="21"/>
              </w:rPr>
              <w:t>▲</w:t>
            </w:r>
            <w:r>
              <w:rPr>
                <w:rFonts w:ascii="宋体" w:hAnsi="宋体" w:hint="eastAsia"/>
                <w:szCs w:val="21"/>
              </w:rPr>
              <w:t>发泡夹芯板经检测，阻燃性能达到GB 8624-2012《建筑材料及制品燃烧性能分级》B1（难燃）级，提供第三方出具的检测报告。须加盖设备制造厂商公章的的复印件文件。</w:t>
            </w:r>
          </w:p>
        </w:tc>
      </w:tr>
      <w:tr>
        <w:tblPrEx>
          <w:tblW w:w="5000" w:type="pct"/>
          <w:jc w:val="center"/>
          <w:tblInd w:w="0" w:type="dxa"/>
          <w:tblLook w:val="0000"/>
        </w:tblPrEx>
        <w:trPr>
          <w:trHeight w:val="272"/>
          <w:jc w:val="center"/>
        </w:trPr>
        <w:tc>
          <w:tcPr>
            <w:tcW w:w="728" w:type="pct"/>
            <w:vMerge/>
            <w:vAlign w:val="center"/>
          </w:tcPr>
          <w:p w:rsidR="007900F6">
            <w:pPr>
              <w:adjustRightInd w:val="0"/>
              <w:snapToGrid w:val="0"/>
              <w:spacing w:line="360" w:lineRule="auto"/>
              <w:jc w:val="left"/>
              <w:rPr>
                <w:rFonts w:ascii="宋体" w:hAnsi="宋体"/>
                <w:snapToGrid w:val="0"/>
                <w:kern w:val="0"/>
                <w:szCs w:val="21"/>
                <w:lang w:val="zh-TW" w:eastAsia="zh-TW"/>
              </w:rPr>
            </w:pPr>
          </w:p>
        </w:tc>
        <w:tc>
          <w:tcPr>
            <w:tcW w:w="712" w:type="pct"/>
            <w:vAlign w:val="center"/>
          </w:tcPr>
          <w:p w:rsidR="007900F6">
            <w:pPr>
              <w:adjustRightInd w:val="0"/>
              <w:snapToGrid w:val="0"/>
              <w:spacing w:line="360" w:lineRule="auto"/>
              <w:jc w:val="left"/>
              <w:rPr>
                <w:rFonts w:ascii="宋体" w:hAnsi="宋体" w:cs="宋体"/>
                <w:b/>
                <w:bCs/>
                <w:snapToGrid w:val="0"/>
                <w:kern w:val="0"/>
                <w:szCs w:val="21"/>
              </w:rPr>
            </w:pPr>
            <w:r>
              <w:rPr>
                <w:rFonts w:ascii="宋体" w:hAnsi="宋体" w:hint="eastAsia"/>
                <w:b/>
                <w:snapToGrid w:val="0"/>
                <w:kern w:val="0"/>
                <w:szCs w:val="21"/>
              </w:rPr>
              <w:t>7.</w:t>
            </w:r>
            <w:r>
              <w:rPr>
                <w:rFonts w:ascii="宋体" w:hAnsi="宋体"/>
                <w:b/>
                <w:snapToGrid w:val="0"/>
                <w:kern w:val="0"/>
                <w:szCs w:val="21"/>
              </w:rPr>
              <w:t>7</w:t>
            </w:r>
            <w:r>
              <w:rPr>
                <w:rFonts w:ascii="宋体" w:hAnsi="宋体" w:hint="eastAsia"/>
                <w:b/>
                <w:snapToGrid w:val="0"/>
                <w:kern w:val="0"/>
                <w:szCs w:val="21"/>
              </w:rPr>
              <w:t>节能要求</w:t>
            </w:r>
          </w:p>
        </w:tc>
        <w:tc>
          <w:tcPr>
            <w:tcW w:w="3560" w:type="pct"/>
            <w:vAlign w:val="center"/>
          </w:tcPr>
          <w:p w:rsidR="007900F6">
            <w:pPr>
              <w:adjustRightInd w:val="0"/>
              <w:snapToGrid w:val="0"/>
              <w:spacing w:line="360" w:lineRule="auto"/>
              <w:ind w:left="420"/>
              <w:jc w:val="left"/>
              <w:rPr>
                <w:rFonts w:ascii="宋体" w:hAnsi="宋体"/>
                <w:snapToGrid w:val="0"/>
                <w:kern w:val="0"/>
                <w:szCs w:val="21"/>
              </w:rPr>
            </w:pPr>
            <w:r>
              <w:rPr>
                <w:rFonts w:ascii="宋体" w:hAnsi="宋体" w:cs="宋体" w:hint="eastAsia"/>
                <w:snapToGrid w:val="0"/>
                <w:kern w:val="0"/>
                <w:szCs w:val="21"/>
                <w:highlight w:val="green"/>
              </w:rPr>
              <w:t>▲</w:t>
            </w:r>
            <w:r>
              <w:rPr>
                <w:rFonts w:ascii="宋体" w:hAnsi="宋体" w:hint="eastAsia"/>
                <w:snapToGrid w:val="0"/>
                <w:kern w:val="0"/>
                <w:szCs w:val="21"/>
                <w:highlight w:val="green"/>
              </w:rPr>
              <w:t>节能要求：</w:t>
            </w:r>
          </w:p>
          <w:p w:rsidR="007900F6">
            <w:pPr>
              <w:numPr>
                <w:ilvl w:val="0"/>
                <w:numId w:val="88"/>
              </w:numPr>
              <w:adjustRightInd w:val="0"/>
              <w:snapToGrid w:val="0"/>
              <w:spacing w:line="360" w:lineRule="auto"/>
              <w:jc w:val="left"/>
              <w:rPr>
                <w:rFonts w:ascii="宋体" w:hAnsi="宋体"/>
                <w:snapToGrid w:val="0"/>
                <w:kern w:val="0"/>
                <w:szCs w:val="21"/>
                <w:highlight w:val="green"/>
              </w:rPr>
            </w:pPr>
            <w:r>
              <w:rPr>
                <w:rFonts w:ascii="宋体" w:hAnsi="宋体" w:hint="eastAsia"/>
                <w:snapToGrid w:val="0"/>
                <w:kern w:val="0"/>
                <w:szCs w:val="21"/>
                <w:highlight w:val="green"/>
              </w:rPr>
              <w:t>要求选用高能效的分体</w:t>
            </w:r>
            <w:r>
              <w:rPr>
                <w:rFonts w:ascii="宋体" w:hAnsi="宋体"/>
                <w:snapToGrid w:val="0"/>
                <w:kern w:val="0"/>
                <w:szCs w:val="21"/>
                <w:highlight w:val="green"/>
              </w:rPr>
              <w:t>空调</w:t>
            </w:r>
            <w:r>
              <w:rPr>
                <w:rFonts w:ascii="宋体" w:hAnsi="宋体" w:hint="eastAsia"/>
                <w:snapToGrid w:val="0"/>
                <w:kern w:val="0"/>
                <w:szCs w:val="21"/>
                <w:highlight w:val="green"/>
              </w:rPr>
              <w:t>，空调室外机有充足的空间散热，保证室外机有良好的工作工况。</w:t>
            </w:r>
          </w:p>
          <w:p w:rsidR="007900F6">
            <w:pPr>
              <w:numPr>
                <w:ilvl w:val="0"/>
                <w:numId w:val="88"/>
              </w:numPr>
              <w:adjustRightInd w:val="0"/>
              <w:snapToGrid w:val="0"/>
              <w:spacing w:line="360" w:lineRule="auto"/>
              <w:jc w:val="left"/>
              <w:rPr>
                <w:rFonts w:ascii="宋体" w:hAnsi="宋体" w:cs="宋体"/>
                <w:snapToGrid w:val="0"/>
                <w:kern w:val="0"/>
                <w:szCs w:val="21"/>
                <w:highlight w:val="green"/>
              </w:rPr>
            </w:pPr>
            <w:r>
              <w:rPr>
                <w:rFonts w:ascii="宋体" w:hAnsi="宋体" w:hint="eastAsia"/>
                <w:snapToGrid w:val="0"/>
                <w:kern w:val="0"/>
                <w:szCs w:val="21"/>
                <w:highlight w:val="green"/>
              </w:rPr>
              <w:t>风管和冷媒管的绝热材料和厚度符合节能标准的要求。</w:t>
            </w:r>
          </w:p>
          <w:p w:rsidR="007900F6">
            <w:pPr>
              <w:numPr>
                <w:ilvl w:val="0"/>
                <w:numId w:val="88"/>
              </w:numPr>
              <w:adjustRightInd w:val="0"/>
              <w:snapToGrid w:val="0"/>
              <w:spacing w:line="360" w:lineRule="auto"/>
              <w:jc w:val="left"/>
              <w:rPr>
                <w:rFonts w:ascii="宋体" w:hAnsi="宋体"/>
                <w:snapToGrid w:val="0"/>
                <w:kern w:val="0"/>
                <w:szCs w:val="21"/>
                <w:highlight w:val="green"/>
              </w:rPr>
            </w:pPr>
            <w:r>
              <w:rPr>
                <w:rFonts w:ascii="宋体" w:hAnsi="宋体"/>
                <w:snapToGrid w:val="0"/>
                <w:kern w:val="0"/>
                <w:szCs w:val="21"/>
                <w:highlight w:val="green"/>
              </w:rPr>
              <w:t>设定</w:t>
            </w:r>
            <w:r>
              <w:rPr>
                <w:rFonts w:ascii="宋体" w:hAnsi="宋体" w:hint="eastAsia"/>
                <w:snapToGrid w:val="0"/>
                <w:kern w:val="0"/>
                <w:szCs w:val="21"/>
                <w:highlight w:val="green"/>
              </w:rPr>
              <w:t>合理</w:t>
            </w:r>
            <w:r>
              <w:rPr>
                <w:rFonts w:ascii="宋体" w:hAnsi="宋体"/>
                <w:snapToGrid w:val="0"/>
                <w:kern w:val="0"/>
                <w:szCs w:val="21"/>
                <w:highlight w:val="green"/>
              </w:rPr>
              <w:t>的</w:t>
            </w:r>
            <w:r>
              <w:rPr>
                <w:rFonts w:ascii="宋体" w:hAnsi="宋体" w:hint="eastAsia"/>
                <w:snapToGrid w:val="0"/>
                <w:kern w:val="0"/>
                <w:szCs w:val="21"/>
                <w:highlight w:val="green"/>
              </w:rPr>
              <w:t>默认温湿度参数，</w:t>
            </w:r>
            <w:r>
              <w:rPr>
                <w:rFonts w:ascii="宋体" w:hAnsi="宋体"/>
                <w:snapToGrid w:val="0"/>
                <w:kern w:val="0"/>
                <w:szCs w:val="21"/>
                <w:highlight w:val="green"/>
              </w:rPr>
              <w:t>以减少不合理的能耗损失。</w:t>
            </w:r>
          </w:p>
          <w:p w:rsidR="007900F6">
            <w:pPr>
              <w:numPr>
                <w:ilvl w:val="0"/>
                <w:numId w:val="88"/>
              </w:numPr>
              <w:adjustRightInd w:val="0"/>
              <w:snapToGrid w:val="0"/>
              <w:spacing w:line="360" w:lineRule="auto"/>
              <w:jc w:val="left"/>
              <w:rPr>
                <w:rFonts w:ascii="宋体" w:hAnsi="宋体"/>
                <w:snapToGrid w:val="0"/>
                <w:kern w:val="0"/>
                <w:szCs w:val="21"/>
                <w:highlight w:val="green"/>
              </w:rPr>
            </w:pPr>
            <w:r>
              <w:rPr>
                <w:rFonts w:ascii="宋体" w:hAnsi="宋体" w:hint="eastAsia"/>
                <w:snapToGrid w:val="0"/>
                <w:kern w:val="0"/>
                <w:szCs w:val="21"/>
                <w:highlight w:val="green"/>
              </w:rPr>
              <w:t>电机能效等级：不小于二级能效（IE</w:t>
            </w:r>
            <w:r>
              <w:rPr>
                <w:rFonts w:ascii="宋体" w:hAnsi="宋体"/>
                <w:snapToGrid w:val="0"/>
                <w:kern w:val="0"/>
                <w:szCs w:val="21"/>
                <w:highlight w:val="green"/>
              </w:rPr>
              <w:t>4</w:t>
            </w:r>
            <w:r>
              <w:rPr>
                <w:rFonts w:ascii="宋体" w:hAnsi="宋体" w:hint="eastAsia"/>
                <w:snapToGrid w:val="0"/>
                <w:kern w:val="0"/>
                <w:szCs w:val="21"/>
                <w:highlight w:val="green"/>
              </w:rPr>
              <w:t>）；</w:t>
            </w:r>
          </w:p>
          <w:p w:rsidR="007900F6">
            <w:pPr>
              <w:numPr>
                <w:ilvl w:val="0"/>
                <w:numId w:val="88"/>
              </w:numPr>
              <w:adjustRightInd w:val="0"/>
              <w:snapToGrid w:val="0"/>
              <w:spacing w:line="360" w:lineRule="auto"/>
              <w:jc w:val="left"/>
              <w:rPr>
                <w:rFonts w:ascii="宋体" w:hAnsi="宋体"/>
                <w:snapToGrid w:val="0"/>
                <w:kern w:val="0"/>
                <w:szCs w:val="21"/>
                <w:highlight w:val="green"/>
              </w:rPr>
            </w:pPr>
            <w:r>
              <w:rPr>
                <w:rFonts w:ascii="宋体" w:hAnsi="宋体" w:hint="eastAsia"/>
                <w:snapToGrid w:val="0"/>
                <w:kern w:val="0"/>
                <w:szCs w:val="21"/>
                <w:highlight w:val="green"/>
              </w:rPr>
              <w:t>风机能效等级：不小于2级能效；</w:t>
            </w:r>
          </w:p>
          <w:p w:rsidR="007900F6">
            <w:pPr>
              <w:numPr>
                <w:ilvl w:val="0"/>
                <w:numId w:val="88"/>
              </w:numPr>
              <w:adjustRightInd w:val="0"/>
              <w:snapToGrid w:val="0"/>
              <w:spacing w:line="360" w:lineRule="auto"/>
              <w:jc w:val="left"/>
              <w:rPr>
                <w:rFonts w:ascii="宋体" w:hAnsi="宋体"/>
                <w:snapToGrid w:val="0"/>
                <w:kern w:val="0"/>
                <w:szCs w:val="21"/>
                <w:highlight w:val="green"/>
              </w:rPr>
            </w:pPr>
            <w:r>
              <w:rPr>
                <w:rFonts w:ascii="宋体" w:hAnsi="宋体" w:hint="eastAsia"/>
                <w:snapToGrid w:val="0"/>
                <w:kern w:val="0"/>
                <w:szCs w:val="21"/>
                <w:highlight w:val="green"/>
              </w:rPr>
              <w:t>直膨式机组压缩机采用无极变频调节，空气处理机组采用变频风机及变频调速电机。</w:t>
            </w:r>
          </w:p>
          <w:p w:rsidR="007900F6">
            <w:pPr>
              <w:numPr>
                <w:ilvl w:val="0"/>
                <w:numId w:val="88"/>
              </w:numPr>
              <w:adjustRightInd w:val="0"/>
              <w:snapToGrid w:val="0"/>
              <w:spacing w:line="360" w:lineRule="auto"/>
              <w:jc w:val="left"/>
              <w:rPr>
                <w:rFonts w:ascii="宋体" w:hAnsi="宋体"/>
                <w:snapToGrid w:val="0"/>
                <w:kern w:val="0"/>
                <w:szCs w:val="21"/>
                <w:highlight w:val="green"/>
              </w:rPr>
            </w:pPr>
            <w:r>
              <w:rPr>
                <w:rFonts w:ascii="宋体" w:hAnsi="宋体" w:hint="eastAsia"/>
                <w:snapToGrid w:val="0"/>
                <w:kern w:val="0"/>
                <w:szCs w:val="21"/>
                <w:highlight w:val="green"/>
              </w:rPr>
              <w:t>室外机能效等级：1级。</w:t>
            </w:r>
          </w:p>
          <w:p w:rsidR="007900F6">
            <w:pPr>
              <w:numPr>
                <w:ilvl w:val="0"/>
                <w:numId w:val="88"/>
              </w:numPr>
              <w:adjustRightInd w:val="0"/>
              <w:snapToGrid w:val="0"/>
              <w:spacing w:line="360" w:lineRule="auto"/>
              <w:jc w:val="left"/>
              <w:rPr>
                <w:rFonts w:ascii="宋体" w:hAnsi="宋体"/>
                <w:snapToGrid w:val="0"/>
                <w:kern w:val="0"/>
                <w:szCs w:val="21"/>
              </w:rPr>
            </w:pPr>
            <w:r>
              <w:rPr>
                <w:rFonts w:ascii="宋体" w:hAnsi="宋体"/>
                <w:snapToGrid w:val="0"/>
                <w:kern w:val="0"/>
                <w:szCs w:val="21"/>
                <w:highlight w:val="green"/>
              </w:rPr>
              <w:t>参与投标的厂家需提供满足以上要求的</w:t>
            </w:r>
            <w:r>
              <w:rPr>
                <w:rFonts w:ascii="宋体" w:hAnsi="宋体" w:hint="eastAsia"/>
                <w:snapToGrid w:val="0"/>
                <w:kern w:val="0"/>
                <w:szCs w:val="21"/>
                <w:highlight w:val="green"/>
              </w:rPr>
              <w:t>有效期内</w:t>
            </w:r>
            <w:r>
              <w:rPr>
                <w:rFonts w:ascii="宋体" w:hAnsi="宋体"/>
                <w:snapToGrid w:val="0"/>
                <w:kern w:val="0"/>
                <w:szCs w:val="21"/>
                <w:highlight w:val="green"/>
              </w:rPr>
              <w:t>相应</w:t>
            </w:r>
            <w:r>
              <w:rPr>
                <w:rFonts w:ascii="宋体" w:hAnsi="宋体" w:hint="eastAsia"/>
                <w:snapToGrid w:val="0"/>
                <w:kern w:val="0"/>
                <w:szCs w:val="21"/>
                <w:highlight w:val="green"/>
              </w:rPr>
              <w:t>报告</w:t>
            </w:r>
            <w:r>
              <w:rPr>
                <w:rFonts w:ascii="宋体" w:hAnsi="宋体"/>
                <w:snapToGrid w:val="0"/>
                <w:kern w:val="0"/>
                <w:szCs w:val="21"/>
                <w:highlight w:val="green"/>
              </w:rPr>
              <w:t>证书复印件用于佐证</w:t>
            </w:r>
            <w:r>
              <w:rPr>
                <w:rFonts w:ascii="宋体" w:hAnsi="宋体" w:hint="eastAsia"/>
                <w:snapToGrid w:val="0"/>
                <w:kern w:val="0"/>
                <w:szCs w:val="21"/>
                <w:highlight w:val="green"/>
              </w:rPr>
              <w:t>并加盖生产厂家公章，原件备查。</w:t>
            </w:r>
          </w:p>
        </w:tc>
      </w:tr>
    </w:tbl>
    <w:p w:rsidR="007900F6">
      <w:pPr>
        <w:spacing w:line="360" w:lineRule="auto"/>
        <w:ind w:firstLine="480" w:firstLineChars="200"/>
        <w:rPr>
          <w:szCs w:val="21"/>
        </w:rPr>
      </w:pPr>
    </w:p>
    <w:p w:rsidR="007900F6">
      <w:pPr>
        <w:widowControl/>
        <w:jc w:val="center"/>
        <w:rPr>
          <w:rFonts w:ascii="宋体" w:hAnsi="宋体"/>
          <w:b/>
          <w:color w:val="000000"/>
          <w:kern w:val="0"/>
          <w:szCs w:val="21"/>
        </w:rPr>
      </w:pPr>
      <w:r>
        <w:rPr>
          <w:rFonts w:ascii="宋体" w:hAnsi="宋体" w:hint="eastAsia"/>
          <w:b/>
          <w:color w:val="000000"/>
          <w:kern w:val="0"/>
          <w:szCs w:val="21"/>
        </w:rPr>
        <w:t>附表1：空气洁净等级表：</w:t>
      </w:r>
    </w:p>
    <w:tbl>
      <w:tblPr>
        <w:tblStyle w:val="TableNormal"/>
        <w:tblW w:w="5209"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1"/>
        <w:gridCol w:w="1136"/>
        <w:gridCol w:w="1141"/>
        <w:gridCol w:w="1134"/>
        <w:gridCol w:w="1146"/>
        <w:gridCol w:w="1150"/>
        <w:gridCol w:w="1708"/>
      </w:tblGrid>
      <w:tr>
        <w:tblPrEx>
          <w:tblW w:w="5209"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18"/>
          <w:jc w:val="center"/>
        </w:trPr>
        <w:tc>
          <w:tcPr>
            <w:tcW w:w="828" w:type="pct"/>
            <w:vMerge w:val="restart"/>
            <w:tcBorders>
              <w:top w:val="single" w:sz="4" w:space="0" w:color="auto"/>
              <w:left w:val="single" w:sz="4" w:space="0" w:color="auto"/>
              <w:bottom w:val="single" w:sz="4" w:space="0" w:color="auto"/>
              <w:right w:val="single" w:sz="4" w:space="0" w:color="auto"/>
            </w:tcBorders>
            <w:vAlign w:val="center"/>
          </w:tcPr>
          <w:p w:rsidR="007900F6">
            <w:pPr>
              <w:keepNext/>
              <w:adjustRightInd w:val="0"/>
              <w:snapToGrid w:val="0"/>
              <w:spacing w:line="360" w:lineRule="auto"/>
              <w:outlineLvl w:val="1"/>
              <w:rPr>
                <w:rFonts w:ascii="宋体" w:hAnsi="宋体" w:cs="宋体"/>
                <w:kern w:val="0"/>
                <w:szCs w:val="21"/>
              </w:rPr>
            </w:pPr>
            <w:r>
              <w:rPr>
                <w:rFonts w:ascii="宋体" w:hAnsi="宋体" w:cs="宋体" w:hint="eastAsia"/>
                <w:kern w:val="0"/>
                <w:szCs w:val="21"/>
              </w:rPr>
              <w:t>洁净度级别</w:t>
            </w:r>
          </w:p>
        </w:tc>
        <w:tc>
          <w:tcPr>
            <w:tcW w:w="2564" w:type="pct"/>
            <w:gridSpan w:val="4"/>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悬浮粒子最大允许数/立方米</w:t>
            </w:r>
          </w:p>
        </w:tc>
        <w:tc>
          <w:tcPr>
            <w:tcW w:w="1608" w:type="pct"/>
            <w:gridSpan w:val="2"/>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微生物最大允许数</w:t>
            </w:r>
          </w:p>
        </w:tc>
      </w:tr>
      <w:tr>
        <w:tblPrEx>
          <w:tblW w:w="5209" w:type="pct"/>
          <w:jc w:val="center"/>
          <w:tblInd w:w="0" w:type="dxa"/>
          <w:tblLook w:val="0000"/>
        </w:tblPrEx>
        <w:trPr>
          <w:trHeight w:val="982"/>
          <w:jc w:val="center"/>
        </w:trPr>
        <w:tc>
          <w:tcPr>
            <w:tcW w:w="828" w:type="pct"/>
            <w:vMerge/>
            <w:tcBorders>
              <w:top w:val="single" w:sz="4" w:space="0" w:color="auto"/>
              <w:left w:val="single" w:sz="4" w:space="0" w:color="auto"/>
              <w:bottom w:val="single" w:sz="4" w:space="0" w:color="auto"/>
              <w:right w:val="single" w:sz="4" w:space="0" w:color="auto"/>
            </w:tcBorders>
            <w:vAlign w:val="center"/>
          </w:tcPr>
          <w:p w:rsidR="007900F6">
            <w:pPr>
              <w:widowControl/>
              <w:snapToGrid w:val="0"/>
              <w:spacing w:line="360" w:lineRule="auto"/>
              <w:rPr>
                <w:rFonts w:ascii="宋体" w:hAnsi="宋体" w:cs="宋体"/>
                <w:szCs w:val="21"/>
              </w:rPr>
            </w:pPr>
          </w:p>
        </w:tc>
        <w:tc>
          <w:tcPr>
            <w:tcW w:w="1281" w:type="pct"/>
            <w:gridSpan w:val="2"/>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静态</w:t>
            </w:r>
          </w:p>
        </w:tc>
        <w:tc>
          <w:tcPr>
            <w:tcW w:w="1283" w:type="pct"/>
            <w:gridSpan w:val="2"/>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动态</w:t>
            </w:r>
          </w:p>
        </w:tc>
        <w:tc>
          <w:tcPr>
            <w:tcW w:w="647"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浮游菌</w:t>
            </w:r>
          </w:p>
        </w:tc>
        <w:tc>
          <w:tcPr>
            <w:tcW w:w="960"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沉降菌（f90mm）</w:t>
            </w:r>
          </w:p>
        </w:tc>
      </w:tr>
      <w:tr>
        <w:tblPrEx>
          <w:tblW w:w="5209" w:type="pct"/>
          <w:jc w:val="center"/>
          <w:tblInd w:w="0" w:type="dxa"/>
          <w:tblLook w:val="0000"/>
        </w:tblPrEx>
        <w:trPr>
          <w:trHeight w:val="518"/>
          <w:jc w:val="center"/>
        </w:trPr>
        <w:tc>
          <w:tcPr>
            <w:tcW w:w="828" w:type="pct"/>
            <w:vMerge/>
            <w:tcBorders>
              <w:top w:val="single" w:sz="4" w:space="0" w:color="auto"/>
              <w:left w:val="single" w:sz="4" w:space="0" w:color="auto"/>
              <w:bottom w:val="single" w:sz="4" w:space="0" w:color="auto"/>
              <w:right w:val="single" w:sz="4" w:space="0" w:color="auto"/>
            </w:tcBorders>
            <w:vAlign w:val="center"/>
          </w:tcPr>
          <w:p w:rsidR="007900F6">
            <w:pPr>
              <w:widowControl/>
              <w:snapToGrid w:val="0"/>
              <w:spacing w:line="360" w:lineRule="auto"/>
              <w:rPr>
                <w:rFonts w:ascii="宋体" w:hAnsi="宋体" w:cs="宋体"/>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≥0.5μm</w:t>
            </w:r>
          </w:p>
        </w:tc>
        <w:tc>
          <w:tcPr>
            <w:tcW w:w="641"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≥5.0μm</w:t>
            </w:r>
          </w:p>
        </w:tc>
        <w:tc>
          <w:tcPr>
            <w:tcW w:w="638"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≥0.5μm</w:t>
            </w:r>
          </w:p>
        </w:tc>
        <w:tc>
          <w:tcPr>
            <w:tcW w:w="645"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≥5.0μm</w:t>
            </w:r>
          </w:p>
        </w:tc>
        <w:tc>
          <w:tcPr>
            <w:tcW w:w="647"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cfu/m3</w:t>
            </w:r>
          </w:p>
        </w:tc>
        <w:tc>
          <w:tcPr>
            <w:tcW w:w="960"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cfu /4小时</w:t>
            </w:r>
          </w:p>
        </w:tc>
      </w:tr>
      <w:tr>
        <w:tblPrEx>
          <w:tblW w:w="5209" w:type="pct"/>
          <w:jc w:val="center"/>
          <w:tblInd w:w="0" w:type="dxa"/>
          <w:tblLook w:val="0000"/>
        </w:tblPrEx>
        <w:trPr>
          <w:trHeight w:val="518"/>
          <w:jc w:val="center"/>
        </w:trPr>
        <w:tc>
          <w:tcPr>
            <w:tcW w:w="828"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ISO 5级或A</w:t>
            </w:r>
          </w:p>
        </w:tc>
        <w:tc>
          <w:tcPr>
            <w:tcW w:w="639"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3520</w:t>
            </w:r>
          </w:p>
        </w:tc>
        <w:tc>
          <w:tcPr>
            <w:tcW w:w="641"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20</w:t>
            </w:r>
          </w:p>
        </w:tc>
        <w:tc>
          <w:tcPr>
            <w:tcW w:w="638"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3520</w:t>
            </w:r>
          </w:p>
        </w:tc>
        <w:tc>
          <w:tcPr>
            <w:tcW w:w="645"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20</w:t>
            </w:r>
          </w:p>
        </w:tc>
        <w:tc>
          <w:tcPr>
            <w:tcW w:w="647"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&lt;</w:t>
            </w:r>
            <w:r>
              <w:rPr>
                <w:rFonts w:ascii="宋体" w:hAnsi="宋体" w:cs="宋体" w:hint="eastAsia"/>
                <w:szCs w:val="21"/>
              </w:rPr>
              <w:t>1</w:t>
            </w:r>
          </w:p>
        </w:tc>
        <w:tc>
          <w:tcPr>
            <w:tcW w:w="960"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&lt;1</w:t>
            </w:r>
          </w:p>
        </w:tc>
      </w:tr>
      <w:tr>
        <w:tblPrEx>
          <w:tblW w:w="5209" w:type="pct"/>
          <w:jc w:val="center"/>
          <w:tblInd w:w="0" w:type="dxa"/>
          <w:tblLook w:val="0000"/>
        </w:tblPrEx>
        <w:trPr>
          <w:trHeight w:val="518"/>
          <w:jc w:val="center"/>
        </w:trPr>
        <w:tc>
          <w:tcPr>
            <w:tcW w:w="828"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ISO 6级或B</w:t>
            </w:r>
          </w:p>
        </w:tc>
        <w:tc>
          <w:tcPr>
            <w:tcW w:w="639"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3520</w:t>
            </w:r>
          </w:p>
        </w:tc>
        <w:tc>
          <w:tcPr>
            <w:tcW w:w="641"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29</w:t>
            </w:r>
          </w:p>
        </w:tc>
        <w:tc>
          <w:tcPr>
            <w:tcW w:w="638"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352000</w:t>
            </w:r>
          </w:p>
        </w:tc>
        <w:tc>
          <w:tcPr>
            <w:tcW w:w="645"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2900</w:t>
            </w:r>
          </w:p>
        </w:tc>
        <w:tc>
          <w:tcPr>
            <w:tcW w:w="647"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10</w:t>
            </w:r>
          </w:p>
        </w:tc>
        <w:tc>
          <w:tcPr>
            <w:tcW w:w="960"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5</w:t>
            </w:r>
          </w:p>
        </w:tc>
      </w:tr>
      <w:tr>
        <w:tblPrEx>
          <w:tblW w:w="5209" w:type="pct"/>
          <w:jc w:val="center"/>
          <w:tblInd w:w="0" w:type="dxa"/>
          <w:tblLook w:val="0000"/>
        </w:tblPrEx>
        <w:trPr>
          <w:trHeight w:val="518"/>
          <w:jc w:val="center"/>
        </w:trPr>
        <w:tc>
          <w:tcPr>
            <w:tcW w:w="828"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ISO 7级或C</w:t>
            </w:r>
          </w:p>
        </w:tc>
        <w:tc>
          <w:tcPr>
            <w:tcW w:w="639"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352000</w:t>
            </w:r>
          </w:p>
        </w:tc>
        <w:tc>
          <w:tcPr>
            <w:tcW w:w="641"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2900</w:t>
            </w:r>
          </w:p>
        </w:tc>
        <w:tc>
          <w:tcPr>
            <w:tcW w:w="638"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3520000</w:t>
            </w:r>
          </w:p>
        </w:tc>
        <w:tc>
          <w:tcPr>
            <w:tcW w:w="645"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29000</w:t>
            </w:r>
          </w:p>
        </w:tc>
        <w:tc>
          <w:tcPr>
            <w:tcW w:w="647"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100</w:t>
            </w:r>
          </w:p>
        </w:tc>
        <w:tc>
          <w:tcPr>
            <w:tcW w:w="960"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50</w:t>
            </w:r>
          </w:p>
        </w:tc>
      </w:tr>
      <w:tr>
        <w:tblPrEx>
          <w:tblW w:w="5209" w:type="pct"/>
          <w:jc w:val="center"/>
          <w:tblInd w:w="0" w:type="dxa"/>
          <w:tblLook w:val="0000"/>
        </w:tblPrEx>
        <w:trPr>
          <w:trHeight w:val="538"/>
          <w:jc w:val="center"/>
        </w:trPr>
        <w:tc>
          <w:tcPr>
            <w:tcW w:w="828"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ISO 8级或D</w:t>
            </w:r>
          </w:p>
        </w:tc>
        <w:tc>
          <w:tcPr>
            <w:tcW w:w="639"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3520000</w:t>
            </w:r>
          </w:p>
        </w:tc>
        <w:tc>
          <w:tcPr>
            <w:tcW w:w="641"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29000</w:t>
            </w:r>
          </w:p>
        </w:tc>
        <w:tc>
          <w:tcPr>
            <w:tcW w:w="638"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不作规定</w:t>
            </w:r>
          </w:p>
        </w:tc>
        <w:tc>
          <w:tcPr>
            <w:tcW w:w="645"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不作规定</w:t>
            </w:r>
          </w:p>
        </w:tc>
        <w:tc>
          <w:tcPr>
            <w:tcW w:w="647"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200</w:t>
            </w:r>
          </w:p>
        </w:tc>
        <w:tc>
          <w:tcPr>
            <w:tcW w:w="960" w:type="pct"/>
            <w:tcBorders>
              <w:top w:val="single" w:sz="4" w:space="0" w:color="auto"/>
              <w:left w:val="single" w:sz="4" w:space="0" w:color="auto"/>
              <w:bottom w:val="single" w:sz="4" w:space="0" w:color="auto"/>
              <w:right w:val="single" w:sz="4" w:space="0" w:color="auto"/>
            </w:tcBorders>
            <w:vAlign w:val="center"/>
          </w:tcPr>
          <w:p w:rsidR="007900F6">
            <w:pPr>
              <w:snapToGrid w:val="0"/>
              <w:spacing w:line="360" w:lineRule="auto"/>
              <w:rPr>
                <w:rFonts w:ascii="宋体" w:hAnsi="宋体" w:cs="宋体"/>
                <w:szCs w:val="21"/>
              </w:rPr>
            </w:pPr>
            <w:r>
              <w:rPr>
                <w:rFonts w:ascii="宋体" w:hAnsi="宋体" w:cs="宋体" w:hint="eastAsia"/>
                <w:szCs w:val="21"/>
              </w:rPr>
              <w:t>100</w:t>
            </w:r>
          </w:p>
        </w:tc>
      </w:tr>
    </w:tbl>
    <w:p w:rsidR="007900F6">
      <w:pPr>
        <w:widowControl/>
        <w:jc w:val="left"/>
        <w:rPr>
          <w:rFonts w:ascii="宋体" w:hAnsi="宋体"/>
          <w:color w:val="000000"/>
          <w:kern w:val="0"/>
          <w:szCs w:val="21"/>
        </w:rPr>
      </w:pPr>
    </w:p>
    <w:p w:rsidR="007900F6">
      <w:pPr>
        <w:snapToGrid w:val="0"/>
        <w:spacing w:line="360" w:lineRule="auto"/>
        <w:contextualSpacing/>
        <w:jc w:val="center"/>
        <w:rPr>
          <w:rFonts w:ascii="宋体" w:hAnsi="宋体"/>
          <w:b/>
          <w:bCs/>
          <w:kern w:val="0"/>
          <w:szCs w:val="21"/>
        </w:rPr>
      </w:pPr>
      <w:r>
        <w:rPr>
          <w:rFonts w:ascii="宋体" w:hAnsi="宋体" w:hint="eastAsia"/>
          <w:b/>
          <w:kern w:val="0"/>
          <w:szCs w:val="21"/>
        </w:rPr>
        <w:t>附表2：洁净区环境指标：（有生产工艺要求的另行确定）</w:t>
      </w:r>
    </w:p>
    <w:tbl>
      <w:tblPr>
        <w:tblStyle w:val="TableNormal"/>
        <w:tblW w:w="875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9"/>
        <w:gridCol w:w="1824"/>
        <w:gridCol w:w="1652"/>
        <w:gridCol w:w="1500"/>
        <w:gridCol w:w="1684"/>
      </w:tblGrid>
      <w:tr>
        <w:tblPrEx>
          <w:tblW w:w="875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70"/>
          <w:jc w:val="center"/>
        </w:trPr>
        <w:tc>
          <w:tcPr>
            <w:tcW w:w="2099"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项目</w:t>
            </w:r>
          </w:p>
        </w:tc>
        <w:tc>
          <w:tcPr>
            <w:tcW w:w="3476" w:type="dxa"/>
            <w:gridSpan w:val="2"/>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夏季</w:t>
            </w:r>
          </w:p>
        </w:tc>
        <w:tc>
          <w:tcPr>
            <w:tcW w:w="3183" w:type="dxa"/>
            <w:gridSpan w:val="2"/>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冬季</w:t>
            </w:r>
          </w:p>
        </w:tc>
      </w:tr>
      <w:tr>
        <w:tblPrEx>
          <w:tblW w:w="8759" w:type="dxa"/>
          <w:jc w:val="center"/>
          <w:tblInd w:w="0" w:type="dxa"/>
          <w:tblLook w:val="0000"/>
        </w:tblPrEx>
        <w:trPr>
          <w:trHeight w:val="470"/>
          <w:jc w:val="center"/>
        </w:trPr>
        <w:tc>
          <w:tcPr>
            <w:tcW w:w="2099"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温度℃</w:t>
            </w:r>
          </w:p>
        </w:tc>
        <w:tc>
          <w:tcPr>
            <w:tcW w:w="3476" w:type="dxa"/>
            <w:gridSpan w:val="2"/>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20~24</w:t>
            </w:r>
          </w:p>
        </w:tc>
        <w:tc>
          <w:tcPr>
            <w:tcW w:w="3183" w:type="dxa"/>
            <w:gridSpan w:val="2"/>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18~26</w:t>
            </w:r>
          </w:p>
        </w:tc>
      </w:tr>
      <w:tr>
        <w:tblPrEx>
          <w:tblW w:w="8759" w:type="dxa"/>
          <w:jc w:val="center"/>
          <w:tblInd w:w="0" w:type="dxa"/>
          <w:tblLook w:val="0000"/>
        </w:tblPrEx>
        <w:trPr>
          <w:trHeight w:val="470"/>
          <w:jc w:val="center"/>
        </w:trPr>
        <w:tc>
          <w:tcPr>
            <w:tcW w:w="2099"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相对湿度％</w:t>
            </w:r>
          </w:p>
        </w:tc>
        <w:tc>
          <w:tcPr>
            <w:tcW w:w="3476" w:type="dxa"/>
            <w:gridSpan w:val="2"/>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45-60</w:t>
            </w:r>
          </w:p>
        </w:tc>
        <w:tc>
          <w:tcPr>
            <w:tcW w:w="3183" w:type="dxa"/>
            <w:gridSpan w:val="2"/>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45-65</w:t>
            </w:r>
          </w:p>
        </w:tc>
      </w:tr>
      <w:tr>
        <w:tblPrEx>
          <w:tblW w:w="8759" w:type="dxa"/>
          <w:jc w:val="center"/>
          <w:tblInd w:w="0" w:type="dxa"/>
          <w:tblLook w:val="0000"/>
        </w:tblPrEx>
        <w:trPr>
          <w:trHeight w:val="470"/>
          <w:jc w:val="center"/>
        </w:trPr>
        <w:tc>
          <w:tcPr>
            <w:tcW w:w="2099"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换气次数：次/h</w:t>
            </w:r>
          </w:p>
        </w:tc>
        <w:tc>
          <w:tcPr>
            <w:tcW w:w="1824"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0.36～0.54</w:t>
            </w:r>
          </w:p>
        </w:tc>
        <w:tc>
          <w:tcPr>
            <w:tcW w:w="1652"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50--60</w:t>
            </w:r>
          </w:p>
        </w:tc>
        <w:tc>
          <w:tcPr>
            <w:tcW w:w="1500"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15--25</w:t>
            </w:r>
          </w:p>
        </w:tc>
        <w:tc>
          <w:tcPr>
            <w:tcW w:w="1684"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10--15</w:t>
            </w:r>
          </w:p>
        </w:tc>
      </w:tr>
      <w:tr>
        <w:tblPrEx>
          <w:tblW w:w="8759" w:type="dxa"/>
          <w:jc w:val="center"/>
          <w:tblInd w:w="0" w:type="dxa"/>
          <w:tblLook w:val="0000"/>
        </w:tblPrEx>
        <w:trPr>
          <w:trHeight w:val="470"/>
          <w:jc w:val="center"/>
        </w:trPr>
        <w:tc>
          <w:tcPr>
            <w:tcW w:w="2099"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洁净度：级</w:t>
            </w:r>
          </w:p>
        </w:tc>
        <w:tc>
          <w:tcPr>
            <w:tcW w:w="1824"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A级</w:t>
            </w:r>
          </w:p>
        </w:tc>
        <w:tc>
          <w:tcPr>
            <w:tcW w:w="1652"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B级</w:t>
            </w:r>
          </w:p>
        </w:tc>
        <w:tc>
          <w:tcPr>
            <w:tcW w:w="1500" w:type="dxa"/>
            <w:vAlign w:val="center"/>
          </w:tcPr>
          <w:p w:rsidR="007900F6">
            <w:pPr>
              <w:snapToGrid w:val="0"/>
              <w:spacing w:line="360" w:lineRule="auto"/>
              <w:jc w:val="center"/>
              <w:rPr>
                <w:rFonts w:ascii="宋体" w:hAnsi="宋体"/>
                <w:bCs/>
                <w:color w:val="000000"/>
                <w:kern w:val="0"/>
                <w:szCs w:val="21"/>
              </w:rPr>
            </w:pPr>
            <w:r>
              <w:rPr>
                <w:rFonts w:ascii="宋体" w:hAnsi="宋体" w:hint="eastAsia"/>
                <w:bCs/>
                <w:color w:val="000000"/>
                <w:kern w:val="0"/>
                <w:szCs w:val="21"/>
              </w:rPr>
              <w:t>C级</w:t>
            </w:r>
          </w:p>
        </w:tc>
        <w:tc>
          <w:tcPr>
            <w:tcW w:w="1684"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D级</w:t>
            </w:r>
          </w:p>
        </w:tc>
      </w:tr>
      <w:tr>
        <w:tblPrEx>
          <w:tblW w:w="8759" w:type="dxa"/>
          <w:jc w:val="center"/>
          <w:tblInd w:w="0" w:type="dxa"/>
          <w:tblLook w:val="0000"/>
        </w:tblPrEx>
        <w:trPr>
          <w:trHeight w:val="470"/>
          <w:jc w:val="center"/>
        </w:trPr>
        <w:tc>
          <w:tcPr>
            <w:tcW w:w="2099"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最小压差 Pa</w:t>
            </w:r>
          </w:p>
        </w:tc>
        <w:tc>
          <w:tcPr>
            <w:tcW w:w="6659" w:type="dxa"/>
            <w:gridSpan w:val="4"/>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洁净区与非洁净区之间、不同级别洁净区之间的压差不低于10Pa</w:t>
            </w:r>
          </w:p>
        </w:tc>
      </w:tr>
      <w:tr>
        <w:tblPrEx>
          <w:tblW w:w="8759" w:type="dxa"/>
          <w:jc w:val="center"/>
          <w:tblInd w:w="0" w:type="dxa"/>
          <w:tblLook w:val="0000"/>
        </w:tblPrEx>
        <w:trPr>
          <w:trHeight w:val="480"/>
          <w:jc w:val="center"/>
        </w:trPr>
        <w:tc>
          <w:tcPr>
            <w:tcW w:w="2099" w:type="dxa"/>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噪音 dB(A)</w:t>
            </w:r>
          </w:p>
        </w:tc>
        <w:tc>
          <w:tcPr>
            <w:tcW w:w="6659" w:type="dxa"/>
            <w:gridSpan w:val="4"/>
            <w:vAlign w:val="center"/>
          </w:tcPr>
          <w:p w:rsidR="007900F6">
            <w:pPr>
              <w:snapToGrid w:val="0"/>
              <w:spacing w:line="360" w:lineRule="auto"/>
              <w:rPr>
                <w:rFonts w:ascii="宋体" w:hAnsi="宋体"/>
                <w:bCs/>
                <w:color w:val="000000"/>
                <w:kern w:val="0"/>
                <w:szCs w:val="21"/>
              </w:rPr>
            </w:pPr>
            <w:r>
              <w:rPr>
                <w:rFonts w:ascii="宋体" w:hAnsi="宋体" w:hint="eastAsia"/>
                <w:bCs/>
                <w:color w:val="000000"/>
                <w:kern w:val="0"/>
                <w:szCs w:val="21"/>
              </w:rPr>
              <w:t>单向流≤65   非单向流≤60</w:t>
            </w:r>
          </w:p>
        </w:tc>
      </w:tr>
    </w:tbl>
    <w:p w:rsidR="007900F6">
      <w:pPr>
        <w:snapToGrid w:val="0"/>
        <w:spacing w:line="360" w:lineRule="auto"/>
        <w:contextualSpacing/>
        <w:rPr>
          <w:rFonts w:ascii="宋体" w:hAnsi="宋体"/>
          <w:b/>
          <w:bCs/>
          <w:color w:val="000000"/>
          <w:kern w:val="0"/>
          <w:szCs w:val="21"/>
        </w:rPr>
      </w:pPr>
    </w:p>
    <w:p w:rsidR="007900F6">
      <w:pPr>
        <w:widowControl/>
        <w:jc w:val="left"/>
        <w:rPr>
          <w:rFonts w:ascii="宋体" w:hAnsi="宋体"/>
          <w:b/>
          <w:bCs/>
          <w:color w:val="000000"/>
          <w:kern w:val="0"/>
          <w:szCs w:val="21"/>
        </w:rPr>
      </w:pPr>
    </w:p>
    <w:p w:rsidR="007900F6">
      <w:pPr>
        <w:snapToGrid w:val="0"/>
        <w:spacing w:line="360" w:lineRule="auto"/>
        <w:contextualSpacing/>
        <w:jc w:val="center"/>
        <w:rPr>
          <w:rFonts w:ascii="宋体" w:hAnsi="宋体"/>
          <w:b/>
          <w:color w:val="000000"/>
          <w:kern w:val="0"/>
          <w:szCs w:val="21"/>
        </w:rPr>
      </w:pPr>
      <w:r>
        <w:rPr>
          <w:rFonts w:ascii="宋体" w:hAnsi="宋体" w:hint="eastAsia"/>
          <w:b/>
          <w:color w:val="000000"/>
          <w:kern w:val="0"/>
          <w:szCs w:val="21"/>
        </w:rPr>
        <w:t>流程图1：</w:t>
      </w:r>
    </w:p>
    <w:p w:rsidR="007900F6">
      <w:pPr>
        <w:snapToGrid w:val="0"/>
        <w:spacing w:line="360" w:lineRule="auto"/>
        <w:contextualSpacing/>
        <w:rPr>
          <w:rFonts w:ascii="宋体" w:hAnsi="宋体"/>
          <w:b/>
          <w:color w:val="000000"/>
          <w:kern w:val="0"/>
          <w:szCs w:val="21"/>
        </w:rPr>
      </w:pPr>
      <w:r>
        <w:rPr>
          <w:rFonts w:ascii="宋体" w:hAnsi="宋体"/>
          <w:color w:val="000000"/>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height:96.98pt;mso-wrap-distance-left:0;mso-wrap-distance-right:0;width:415.67pt" o:preferrelative="t" filled="f" stroked="f">
            <v:fill o:detectmouseclick="t"/>
            <v:imagedata r:id="rId4" o:title=""/>
            <v:path o:extrusionok="f"/>
            <o:lock v:ext="edit" aspectratio="t"/>
          </v:shape>
        </w:pict>
      </w:r>
    </w:p>
    <w:p w:rsidR="007900F6">
      <w:pPr>
        <w:widowControl/>
        <w:jc w:val="left"/>
        <w:rPr>
          <w:rFonts w:ascii="宋体" w:hAnsi="宋体"/>
          <w:b/>
          <w:bCs/>
          <w:color w:val="000000"/>
          <w:szCs w:val="21"/>
        </w:rPr>
      </w:pPr>
    </w:p>
    <w:tbl>
      <w:tblPr>
        <w:tblStyle w:val="TableNormal"/>
        <w:tblW w:w="9170" w:type="dxa"/>
        <w:tblInd w:w="0" w:type="dxa"/>
        <w:tblLook w:val="0000"/>
      </w:tblPr>
      <w:tblGrid>
        <w:gridCol w:w="1232"/>
        <w:gridCol w:w="2236"/>
        <w:gridCol w:w="174"/>
        <w:gridCol w:w="4110"/>
        <w:gridCol w:w="126"/>
        <w:gridCol w:w="1292"/>
      </w:tblGrid>
      <w:tr>
        <w:tblPrEx>
          <w:tblW w:w="9170" w:type="dxa"/>
          <w:tblInd w:w="0" w:type="dxa"/>
          <w:tblLook w:val="0000"/>
        </w:tblPrEx>
        <w:trPr>
          <w:trHeight w:val="409"/>
        </w:trPr>
        <w:tc>
          <w:tcPr>
            <w:tcW w:w="9170" w:type="dxa"/>
            <w:gridSpan w:val="6"/>
            <w:vMerge w:val="restart"/>
            <w:tcBorders>
              <w:top w:val="nil"/>
              <w:left w:val="nil"/>
              <w:bottom w:val="single" w:sz="4" w:space="0" w:color="000000"/>
              <w:right w:val="nil"/>
            </w:tcBorders>
            <w:noWrap/>
            <w:vAlign w:val="center"/>
          </w:tcPr>
          <w:p w:rsidR="007900F6">
            <w:pPr>
              <w:widowControl/>
              <w:snapToGrid w:val="0"/>
              <w:spacing w:line="360" w:lineRule="auto"/>
              <w:jc w:val="center"/>
              <w:rPr>
                <w:rFonts w:ascii="宋体" w:hAnsi="宋体" w:cs="宋体"/>
                <w:b/>
                <w:bCs/>
                <w:kern w:val="0"/>
                <w:szCs w:val="21"/>
              </w:rPr>
            </w:pPr>
            <w:r>
              <w:rPr>
                <w:rFonts w:ascii="宋体" w:hAnsi="宋体" w:cs="宋体" w:hint="eastAsia"/>
                <w:b/>
                <w:bCs/>
                <w:kern w:val="0"/>
                <w:szCs w:val="21"/>
              </w:rPr>
              <w:t>主要设备及材料选用品牌一览表</w:t>
            </w:r>
          </w:p>
        </w:tc>
      </w:tr>
      <w:tr>
        <w:tblPrEx>
          <w:tblW w:w="9170" w:type="dxa"/>
          <w:tblInd w:w="0" w:type="dxa"/>
          <w:tblLook w:val="0000"/>
        </w:tblPrEx>
        <w:trPr>
          <w:trHeight w:val="409"/>
        </w:trPr>
        <w:tc>
          <w:tcPr>
            <w:tcW w:w="9170" w:type="dxa"/>
            <w:gridSpan w:val="6"/>
            <w:vMerge/>
            <w:tcBorders>
              <w:top w:val="nil"/>
              <w:left w:val="nil"/>
              <w:bottom w:val="single" w:sz="4" w:space="0" w:color="000000"/>
              <w:right w:val="nil"/>
            </w:tcBorders>
            <w:vAlign w:val="center"/>
          </w:tcPr>
          <w:p w:rsidR="007900F6">
            <w:pPr>
              <w:widowControl/>
              <w:snapToGrid w:val="0"/>
              <w:spacing w:line="360" w:lineRule="auto"/>
              <w:jc w:val="left"/>
              <w:rPr>
                <w:rFonts w:ascii="宋体" w:hAnsi="宋体" w:cs="宋体"/>
                <w:b/>
                <w:bCs/>
                <w:kern w:val="0"/>
                <w:szCs w:val="21"/>
              </w:rPr>
            </w:pPr>
          </w:p>
        </w:tc>
      </w:tr>
      <w:tr>
        <w:tblPrEx>
          <w:tblW w:w="9170" w:type="dxa"/>
          <w:tblInd w:w="0" w:type="dxa"/>
          <w:tblLook w:val="0000"/>
        </w:tblPrEx>
        <w:trPr>
          <w:trHeight w:val="409"/>
        </w:trPr>
        <w:tc>
          <w:tcPr>
            <w:tcW w:w="1232" w:type="dxa"/>
            <w:vMerge w:val="restart"/>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b/>
                <w:bCs/>
                <w:kern w:val="0"/>
                <w:szCs w:val="21"/>
              </w:rPr>
            </w:pPr>
            <w:r>
              <w:rPr>
                <w:rFonts w:ascii="宋体" w:hAnsi="宋体" w:cs="宋体" w:hint="eastAsia"/>
                <w:b/>
                <w:bCs/>
                <w:kern w:val="0"/>
                <w:szCs w:val="21"/>
              </w:rPr>
              <w:t>序号</w:t>
            </w:r>
          </w:p>
        </w:tc>
        <w:tc>
          <w:tcPr>
            <w:tcW w:w="2410" w:type="dxa"/>
            <w:gridSpan w:val="2"/>
            <w:vMerge w:val="restart"/>
            <w:tcBorders>
              <w:top w:val="nil"/>
              <w:left w:val="single" w:sz="4" w:space="0" w:color="auto"/>
              <w:bottom w:val="single" w:sz="4" w:space="0" w:color="auto"/>
              <w:right w:val="single" w:sz="4" w:space="0" w:color="auto"/>
            </w:tcBorders>
            <w:vAlign w:val="center"/>
          </w:tcPr>
          <w:p w:rsidR="007900F6">
            <w:pPr>
              <w:widowControl/>
              <w:snapToGrid w:val="0"/>
              <w:spacing w:line="360" w:lineRule="auto"/>
              <w:rPr>
                <w:rFonts w:ascii="宋体" w:hAnsi="宋体" w:cs="宋体"/>
                <w:b/>
                <w:bCs/>
                <w:kern w:val="0"/>
                <w:szCs w:val="21"/>
              </w:rPr>
            </w:pPr>
            <w:r>
              <w:rPr>
                <w:rFonts w:ascii="宋体" w:hAnsi="宋体" w:cs="宋体" w:hint="eastAsia"/>
                <w:b/>
                <w:bCs/>
                <w:kern w:val="0"/>
                <w:szCs w:val="21"/>
              </w:rPr>
              <w:t>名称</w:t>
            </w:r>
          </w:p>
        </w:tc>
        <w:tc>
          <w:tcPr>
            <w:tcW w:w="4110" w:type="dxa"/>
            <w:vMerge w:val="restart"/>
            <w:tcBorders>
              <w:top w:val="nil"/>
              <w:left w:val="single" w:sz="4" w:space="0" w:color="auto"/>
              <w:bottom w:val="single" w:sz="4" w:space="0" w:color="auto"/>
              <w:right w:val="single" w:sz="4" w:space="0" w:color="auto"/>
            </w:tcBorders>
            <w:vAlign w:val="center"/>
          </w:tcPr>
          <w:p w:rsidR="007900F6">
            <w:pPr>
              <w:widowControl/>
              <w:snapToGrid w:val="0"/>
              <w:spacing w:line="360" w:lineRule="auto"/>
              <w:rPr>
                <w:rFonts w:ascii="宋体" w:hAnsi="宋体" w:cs="宋体"/>
                <w:b/>
                <w:bCs/>
                <w:kern w:val="0"/>
                <w:szCs w:val="21"/>
              </w:rPr>
            </w:pPr>
            <w:r>
              <w:rPr>
                <w:rFonts w:ascii="宋体" w:hAnsi="宋体" w:cs="宋体" w:hint="eastAsia"/>
                <w:b/>
                <w:bCs/>
                <w:kern w:val="0"/>
                <w:szCs w:val="21"/>
              </w:rPr>
              <w:t>参考品牌</w:t>
            </w:r>
          </w:p>
        </w:tc>
        <w:tc>
          <w:tcPr>
            <w:tcW w:w="1418" w:type="dxa"/>
            <w:gridSpan w:val="2"/>
            <w:vMerge w:val="restart"/>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b/>
                <w:bCs/>
                <w:kern w:val="0"/>
                <w:szCs w:val="21"/>
              </w:rPr>
            </w:pPr>
            <w:r>
              <w:rPr>
                <w:rFonts w:ascii="宋体" w:hAnsi="宋体" w:cs="宋体" w:hint="eastAsia"/>
                <w:b/>
                <w:bCs/>
                <w:kern w:val="0"/>
                <w:szCs w:val="21"/>
              </w:rPr>
              <w:t>备注</w:t>
            </w:r>
          </w:p>
        </w:tc>
      </w:tr>
      <w:tr>
        <w:tblPrEx>
          <w:tblW w:w="9170" w:type="dxa"/>
          <w:tblInd w:w="0" w:type="dxa"/>
          <w:tblLook w:val="0000"/>
        </w:tblPrEx>
        <w:trPr>
          <w:trHeight w:val="409"/>
        </w:trPr>
        <w:tc>
          <w:tcPr>
            <w:tcW w:w="1232" w:type="dxa"/>
            <w:vMerge/>
            <w:tcBorders>
              <w:top w:val="nil"/>
              <w:left w:val="single" w:sz="4" w:space="0" w:color="auto"/>
              <w:bottom w:val="single" w:sz="4" w:space="0" w:color="auto"/>
              <w:right w:val="single" w:sz="4" w:space="0" w:color="auto"/>
            </w:tcBorders>
            <w:vAlign w:val="center"/>
          </w:tcPr>
          <w:p w:rsidR="007900F6">
            <w:pPr>
              <w:widowControl/>
              <w:snapToGrid w:val="0"/>
              <w:spacing w:line="360" w:lineRule="auto"/>
              <w:rPr>
                <w:rFonts w:ascii="宋体" w:hAnsi="宋体" w:cs="宋体"/>
                <w:b/>
                <w:bCs/>
                <w:kern w:val="0"/>
                <w:szCs w:val="21"/>
              </w:rPr>
            </w:pPr>
          </w:p>
        </w:tc>
        <w:tc>
          <w:tcPr>
            <w:tcW w:w="2410" w:type="dxa"/>
            <w:gridSpan w:val="2"/>
            <w:vMerge/>
            <w:tcBorders>
              <w:top w:val="nil"/>
              <w:left w:val="single" w:sz="4" w:space="0" w:color="auto"/>
              <w:bottom w:val="single" w:sz="4" w:space="0" w:color="auto"/>
              <w:right w:val="single" w:sz="4" w:space="0" w:color="auto"/>
            </w:tcBorders>
            <w:vAlign w:val="center"/>
          </w:tcPr>
          <w:p w:rsidR="007900F6">
            <w:pPr>
              <w:widowControl/>
              <w:snapToGrid w:val="0"/>
              <w:spacing w:line="360" w:lineRule="auto"/>
              <w:rPr>
                <w:rFonts w:ascii="宋体" w:hAnsi="宋体" w:cs="宋体"/>
                <w:b/>
                <w:bCs/>
                <w:kern w:val="0"/>
                <w:szCs w:val="21"/>
              </w:rPr>
            </w:pPr>
          </w:p>
        </w:tc>
        <w:tc>
          <w:tcPr>
            <w:tcW w:w="4110" w:type="dxa"/>
            <w:vMerge/>
            <w:tcBorders>
              <w:top w:val="nil"/>
              <w:left w:val="single" w:sz="4" w:space="0" w:color="auto"/>
              <w:bottom w:val="single" w:sz="4" w:space="0" w:color="auto"/>
              <w:right w:val="single" w:sz="4" w:space="0" w:color="auto"/>
            </w:tcBorders>
            <w:vAlign w:val="center"/>
          </w:tcPr>
          <w:p w:rsidR="007900F6">
            <w:pPr>
              <w:widowControl/>
              <w:snapToGrid w:val="0"/>
              <w:spacing w:line="360" w:lineRule="auto"/>
              <w:rPr>
                <w:rFonts w:ascii="宋体" w:hAnsi="宋体" w:cs="宋体"/>
                <w:b/>
                <w:bCs/>
                <w:kern w:val="0"/>
                <w:szCs w:val="21"/>
              </w:rPr>
            </w:pPr>
          </w:p>
        </w:tc>
        <w:tc>
          <w:tcPr>
            <w:tcW w:w="1418" w:type="dxa"/>
            <w:gridSpan w:val="2"/>
            <w:vMerge/>
            <w:tcBorders>
              <w:top w:val="nil"/>
              <w:left w:val="single" w:sz="4" w:space="0" w:color="auto"/>
              <w:bottom w:val="single" w:sz="4" w:space="0" w:color="auto"/>
              <w:right w:val="single" w:sz="4" w:space="0" w:color="auto"/>
            </w:tcBorders>
            <w:vAlign w:val="center"/>
          </w:tcPr>
          <w:p w:rsidR="007900F6">
            <w:pPr>
              <w:widowControl/>
              <w:snapToGrid w:val="0"/>
              <w:spacing w:line="360" w:lineRule="auto"/>
              <w:rPr>
                <w:rFonts w:ascii="宋体" w:hAnsi="宋体" w:cs="宋体"/>
                <w:b/>
                <w:bCs/>
                <w:kern w:val="0"/>
                <w:szCs w:val="21"/>
              </w:rPr>
            </w:pPr>
          </w:p>
        </w:tc>
      </w:tr>
      <w:tr>
        <w:tblPrEx>
          <w:tblW w:w="9170" w:type="dxa"/>
          <w:tblInd w:w="0" w:type="dxa"/>
          <w:tblLook w:val="0000"/>
        </w:tblPrEx>
        <w:trPr>
          <w:trHeight w:val="405"/>
        </w:trPr>
        <w:tc>
          <w:tcPr>
            <w:tcW w:w="9170" w:type="dxa"/>
            <w:gridSpan w:val="6"/>
            <w:tcBorders>
              <w:top w:val="single" w:sz="4" w:space="0" w:color="auto"/>
              <w:left w:val="single" w:sz="4" w:space="0" w:color="auto"/>
              <w:bottom w:val="single" w:sz="4" w:space="0" w:color="auto"/>
              <w:right w:val="single" w:sz="4" w:space="0" w:color="000000"/>
            </w:tcBorders>
            <w:noWrap/>
            <w:vAlign w:val="center"/>
          </w:tcPr>
          <w:p w:rsidR="007900F6">
            <w:pPr>
              <w:widowControl/>
              <w:snapToGrid w:val="0"/>
              <w:spacing w:line="360" w:lineRule="auto"/>
              <w:rPr>
                <w:rFonts w:ascii="宋体" w:hAnsi="宋体" w:cs="宋体"/>
                <w:b/>
                <w:bCs/>
                <w:kern w:val="0"/>
                <w:szCs w:val="21"/>
              </w:rPr>
            </w:pPr>
            <w:r>
              <w:rPr>
                <w:rFonts w:ascii="宋体" w:hAnsi="宋体" w:cs="宋体" w:hint="eastAsia"/>
                <w:b/>
                <w:bCs/>
                <w:kern w:val="0"/>
                <w:szCs w:val="21"/>
              </w:rPr>
              <w:t>空调系统</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直膨式恒温恒湿空气处理机组</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麦克维尔、申菱、天加或同档次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2</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天花机</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格力、美的、海尔或同档次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3</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恒温恒湿精密空调机组</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申菱、格力、美的、海尔或同档次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4</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离心通风机</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德通、九州、上虞风机、南方风机、英飞或同档次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5</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风机、风扇</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德通、九州、绿岛风、艾美特或同档次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6</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高效过滤器HEPA</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AAF、美埃、康菲尔、洁斐然、中净丰泰，中科圣杰或同档次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7</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高效风口</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AAF、美埃、中净丰泰，中科圣杰或同档次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8</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无缝钢管（国标）</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上海宝钢、鞍钢、包钢、武钢或同档次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9</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镀锌钢管（国标）</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珠江、南粤、中山华捷、广州穗生或同档次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10</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PVC管（国标）</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联塑、伟星、日丰、</w:t>
            </w:r>
            <w:r>
              <w:rPr>
                <w:rFonts w:ascii="宋体" w:hAnsi="宋体" w:hint="eastAsia"/>
                <w:szCs w:val="21"/>
              </w:rPr>
              <w:t>雄塑</w:t>
            </w:r>
            <w:r>
              <w:rPr>
                <w:rFonts w:ascii="宋体" w:hAnsi="宋体" w:cs="宋体" w:hint="eastAsia"/>
                <w:kern w:val="0"/>
                <w:szCs w:val="21"/>
              </w:rPr>
              <w:t>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510"/>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11</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DN&gt;50阀门(蝶阀、安全阀、Y型过滤器、过滤器、止回阀等)</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上海冠龙、天津塘沽、上海标一、埃美柯或同档次</w:t>
            </w:r>
          </w:p>
        </w:tc>
        <w:tc>
          <w:tcPr>
            <w:tcW w:w="1418"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510"/>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12</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铜阀（DN≤50，球阀、闸阀、截止阀、自动排气阀等）</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埃美柯、杰克龙、泰科或同档次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13</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电动二通阀、比例积分阀</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江森、霍尼韦尔、西门子、丹佛斯或同档次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14</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压差旁通阀</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西门子、江森、霍尼韦尔、丹佛斯或同档次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510"/>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15</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平衡阀</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丹佛斯、欧文托普、TA或同档次</w:t>
            </w:r>
          </w:p>
        </w:tc>
        <w:tc>
          <w:tcPr>
            <w:tcW w:w="1418"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平衡阀门需要现场进行水力平衡调试</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16</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橡胶软接头</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上海静宁、上海淞江、天津塘沽或同档次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17</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保温材料</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华美、阿乐斯、杜肯或同档次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18</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风口、风阀</w:t>
            </w:r>
          </w:p>
        </w:tc>
        <w:tc>
          <w:tcPr>
            <w:tcW w:w="4110" w:type="dxa"/>
            <w:tcBorders>
              <w:top w:val="nil"/>
              <w:left w:val="nil"/>
              <w:bottom w:val="single" w:sz="4" w:space="0" w:color="auto"/>
              <w:right w:val="nil"/>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上海显隆、中航大记、上海威士文、上虞上专或同档次</w:t>
            </w:r>
          </w:p>
        </w:tc>
        <w:tc>
          <w:tcPr>
            <w:tcW w:w="1418" w:type="dxa"/>
            <w:gridSpan w:val="2"/>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19</w:t>
            </w:r>
          </w:p>
        </w:tc>
        <w:tc>
          <w:tcPr>
            <w:tcW w:w="2410" w:type="dxa"/>
            <w:gridSpan w:val="2"/>
            <w:tcBorders>
              <w:top w:val="nil"/>
              <w:left w:val="nil"/>
              <w:bottom w:val="single" w:sz="4" w:space="0" w:color="auto"/>
              <w:right w:val="nil"/>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减震器</w:t>
            </w:r>
          </w:p>
        </w:tc>
        <w:tc>
          <w:tcPr>
            <w:tcW w:w="4110" w:type="dxa"/>
            <w:tcBorders>
              <w:top w:val="nil"/>
              <w:left w:val="nil"/>
              <w:bottom w:val="single" w:sz="4" w:space="0" w:color="auto"/>
              <w:right w:val="nil"/>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广州力丰、上海淞江、青浦环新或同档次</w:t>
            </w:r>
          </w:p>
        </w:tc>
        <w:tc>
          <w:tcPr>
            <w:tcW w:w="1418" w:type="dxa"/>
            <w:gridSpan w:val="2"/>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390"/>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20</w:t>
            </w:r>
          </w:p>
        </w:tc>
        <w:tc>
          <w:tcPr>
            <w:tcW w:w="2410" w:type="dxa"/>
            <w:gridSpan w:val="2"/>
            <w:tcBorders>
              <w:top w:val="nil"/>
              <w:left w:val="nil"/>
              <w:bottom w:val="single" w:sz="4" w:space="0" w:color="auto"/>
              <w:right w:val="nil"/>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消声静压箱</w:t>
            </w:r>
          </w:p>
        </w:tc>
        <w:tc>
          <w:tcPr>
            <w:tcW w:w="4110" w:type="dxa"/>
            <w:tcBorders>
              <w:top w:val="nil"/>
              <w:left w:val="nil"/>
              <w:bottom w:val="single" w:sz="4" w:space="0" w:color="auto"/>
              <w:right w:val="nil"/>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上海显隆、广州耀安、上海威士文或同档次</w:t>
            </w:r>
          </w:p>
        </w:tc>
        <w:tc>
          <w:tcPr>
            <w:tcW w:w="1418" w:type="dxa"/>
            <w:gridSpan w:val="2"/>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540"/>
        </w:trPr>
        <w:tc>
          <w:tcPr>
            <w:tcW w:w="9170" w:type="dxa"/>
            <w:gridSpan w:val="6"/>
            <w:tcBorders>
              <w:top w:val="single" w:sz="4" w:space="0" w:color="auto"/>
              <w:left w:val="single" w:sz="4" w:space="0" w:color="auto"/>
              <w:bottom w:val="single" w:sz="4" w:space="0" w:color="auto"/>
              <w:right w:val="single" w:sz="4" w:space="0" w:color="000000"/>
            </w:tcBorders>
            <w:vAlign w:val="center"/>
          </w:tcPr>
          <w:p w:rsidR="007900F6">
            <w:pPr>
              <w:widowControl/>
              <w:snapToGrid w:val="0"/>
              <w:spacing w:line="360" w:lineRule="auto"/>
              <w:rPr>
                <w:rFonts w:ascii="宋体" w:hAnsi="宋体" w:cs="宋体"/>
                <w:b/>
                <w:bCs/>
                <w:kern w:val="0"/>
                <w:szCs w:val="21"/>
              </w:rPr>
            </w:pPr>
            <w:r>
              <w:rPr>
                <w:rFonts w:ascii="宋体" w:hAnsi="宋体" w:cs="宋体" w:hint="eastAsia"/>
                <w:b/>
                <w:bCs/>
                <w:kern w:val="0"/>
                <w:szCs w:val="21"/>
              </w:rPr>
              <w:t>电气系统</w:t>
            </w:r>
          </w:p>
        </w:tc>
      </w:tr>
      <w:tr>
        <w:tblPrEx>
          <w:tblW w:w="9170" w:type="dxa"/>
          <w:tblInd w:w="0" w:type="dxa"/>
          <w:tblLook w:val="0000"/>
        </w:tblPrEx>
        <w:trPr>
          <w:trHeight w:val="73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电线（国标）</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深圳金龙羽、广东电缆厂、广州南洋、</w:t>
            </w:r>
            <w:r>
              <w:rPr>
                <w:rFonts w:ascii="宋体" w:hAnsi="宋体" w:hint="eastAsia"/>
                <w:szCs w:val="21"/>
              </w:rPr>
              <w:t>环市珠江、番禺电缆</w:t>
            </w:r>
            <w:r>
              <w:rPr>
                <w:rFonts w:ascii="宋体" w:hAnsi="宋体" w:cs="宋体" w:hint="eastAsia"/>
                <w:kern w:val="0"/>
                <w:szCs w:val="21"/>
              </w:rPr>
              <w:t>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420"/>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2</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电缆（国标）</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深圳金龙羽、广东电缆厂、广州南洋、</w:t>
            </w:r>
            <w:r>
              <w:rPr>
                <w:rFonts w:ascii="宋体" w:hAnsi="宋体" w:hint="eastAsia"/>
                <w:szCs w:val="21"/>
              </w:rPr>
              <w:t>环市珠江、番禺电缆</w:t>
            </w:r>
            <w:r>
              <w:rPr>
                <w:rFonts w:ascii="宋体" w:hAnsi="宋体" w:cs="宋体" w:hint="eastAsia"/>
                <w:kern w:val="0"/>
                <w:szCs w:val="21"/>
              </w:rPr>
              <w:t>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3</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控制柜内元器件</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施耐德、ABB、西门子或同档次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4</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开关、接触器等主要元器件</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施耐德、ABB、西门子或同档次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5</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铜线耳</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火炬、红光、东华、亨通、上上或同档次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6</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桥架</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深圳欧宝、北京泰丰、广东研丰、广东一通或同档次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7</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灯具</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雷士、佛山照明、欧普、飞利浦、</w:t>
            </w:r>
            <w:r>
              <w:rPr>
                <w:rFonts w:ascii="宋体" w:hAnsi="宋体" w:hint="eastAsia"/>
                <w:szCs w:val="21"/>
              </w:rPr>
              <w:t>洁千里、三雄、亿朗</w:t>
            </w:r>
            <w:r>
              <w:rPr>
                <w:rFonts w:ascii="宋体" w:hAnsi="宋体" w:cs="宋体" w:hint="eastAsia"/>
                <w:kern w:val="0"/>
                <w:szCs w:val="21"/>
              </w:rPr>
              <w:t>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8</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开关面板、插座</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施耐德、西门子、罗格朗或同档次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9</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线管线槽</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联塑、伟星、日丰、</w:t>
            </w:r>
            <w:r>
              <w:rPr>
                <w:rFonts w:ascii="宋体" w:hAnsi="宋体" w:hint="eastAsia"/>
                <w:szCs w:val="21"/>
              </w:rPr>
              <w:t>中兴、华星威</w:t>
            </w:r>
            <w:r>
              <w:rPr>
                <w:rFonts w:ascii="宋体" w:hAnsi="宋体" w:cs="宋体" w:hint="eastAsia"/>
                <w:kern w:val="0"/>
                <w:szCs w:val="21"/>
              </w:rPr>
              <w:t>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10</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配电箱内元器件</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施耐德、ABB、西门子或同档次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11</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动力柜/配电箱箱体</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爱得威/东莞基业/菱亚机电 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12</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网络交换机</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TCL、ABB、施耐德</w:t>
            </w:r>
            <w:r>
              <w:rPr>
                <w:rFonts w:ascii="宋体" w:hAnsi="宋体" w:cs="宋体" w:hint="eastAsia"/>
                <w:kern w:val="0"/>
                <w:szCs w:val="21"/>
              </w:rPr>
              <w:t>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13</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网线/电话线</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TCL、广州电缆厂、康普</w:t>
            </w:r>
            <w:r>
              <w:rPr>
                <w:rFonts w:ascii="宋体" w:hAnsi="宋体" w:cs="宋体" w:hint="eastAsia"/>
                <w:kern w:val="0"/>
                <w:szCs w:val="21"/>
              </w:rPr>
              <w:t>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kern w:val="0"/>
                <w:szCs w:val="21"/>
              </w:rPr>
              <w:t>14</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监控</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海康威视、大华、</w:t>
            </w:r>
            <w:r>
              <w:rPr>
                <w:rFonts w:ascii="宋体" w:hAnsi="宋体" w:hint="eastAsia"/>
                <w:szCs w:val="21"/>
              </w:rPr>
              <w:t>SONY、三星</w:t>
            </w:r>
            <w:r>
              <w:rPr>
                <w:rFonts w:ascii="宋体" w:hAnsi="宋体" w:cs="宋体" w:hint="eastAsia"/>
                <w:kern w:val="0"/>
                <w:szCs w:val="21"/>
              </w:rPr>
              <w:t>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kern w:val="0"/>
                <w:szCs w:val="21"/>
              </w:rPr>
              <w:t>15</w:t>
            </w:r>
          </w:p>
        </w:tc>
        <w:tc>
          <w:tcPr>
            <w:tcW w:w="2236"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UPS</w:t>
            </w:r>
          </w:p>
        </w:tc>
        <w:tc>
          <w:tcPr>
            <w:tcW w:w="4410" w:type="dxa"/>
            <w:gridSpan w:val="3"/>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索克曼、伊顿-山特、科华恒盛、EAST/易事特、志成冠军、科士达（伊顿、艾默生、APC）或同档次</w:t>
            </w:r>
          </w:p>
        </w:tc>
        <w:tc>
          <w:tcPr>
            <w:tcW w:w="1292" w:type="dxa"/>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450"/>
        </w:trPr>
        <w:tc>
          <w:tcPr>
            <w:tcW w:w="9170" w:type="dxa"/>
            <w:gridSpan w:val="6"/>
            <w:tcBorders>
              <w:top w:val="single" w:sz="4" w:space="0" w:color="auto"/>
              <w:left w:val="single" w:sz="4" w:space="0" w:color="auto"/>
              <w:bottom w:val="single" w:sz="4" w:space="0" w:color="auto"/>
              <w:right w:val="single" w:sz="4" w:space="0" w:color="000000"/>
            </w:tcBorders>
            <w:vAlign w:val="center"/>
          </w:tcPr>
          <w:p w:rsidR="007900F6">
            <w:pPr>
              <w:widowControl/>
              <w:snapToGrid w:val="0"/>
              <w:spacing w:line="360" w:lineRule="auto"/>
              <w:rPr>
                <w:rFonts w:ascii="宋体" w:hAnsi="宋体" w:cs="宋体"/>
                <w:b/>
                <w:bCs/>
                <w:kern w:val="0"/>
                <w:szCs w:val="21"/>
              </w:rPr>
            </w:pPr>
            <w:r>
              <w:rPr>
                <w:rFonts w:ascii="宋体" w:hAnsi="宋体" w:cs="宋体" w:hint="eastAsia"/>
                <w:b/>
                <w:bCs/>
                <w:kern w:val="0"/>
                <w:szCs w:val="21"/>
              </w:rPr>
              <w:t>装修建材</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铝扣板吊顶</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佳美、华丽斯、</w:t>
            </w:r>
            <w:r>
              <w:rPr>
                <w:rFonts w:ascii="宋体" w:hAnsi="宋体" w:hint="eastAsia"/>
                <w:szCs w:val="21"/>
              </w:rPr>
              <w:t>迪士顿、派雅图、天虹</w:t>
            </w:r>
            <w:r>
              <w:rPr>
                <w:rFonts w:ascii="宋体" w:hAnsi="宋体" w:cs="宋体" w:hint="eastAsia"/>
                <w:kern w:val="0"/>
                <w:szCs w:val="21"/>
              </w:rPr>
              <w:t>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2</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内墙漆、防瓷涂料</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多乐士、立邦或同档次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3</w:t>
            </w:r>
          </w:p>
        </w:tc>
        <w:tc>
          <w:tcPr>
            <w:tcW w:w="2410" w:type="dxa"/>
            <w:gridSpan w:val="2"/>
            <w:tcBorders>
              <w:top w:val="nil"/>
              <w:left w:val="nil"/>
              <w:bottom w:val="nil"/>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铝合金型材  厚1.8</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凤铝、广铝、坚美或同档次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送样选</w:t>
            </w:r>
          </w:p>
        </w:tc>
      </w:tr>
      <w:tr>
        <w:tblPrEx>
          <w:tblW w:w="9170" w:type="dxa"/>
          <w:tblInd w:w="0" w:type="dxa"/>
          <w:tblLook w:val="0000"/>
        </w:tblPrEx>
        <w:trPr>
          <w:trHeight w:val="510"/>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4</w:t>
            </w:r>
          </w:p>
        </w:tc>
        <w:tc>
          <w:tcPr>
            <w:tcW w:w="2410" w:type="dxa"/>
            <w:gridSpan w:val="2"/>
            <w:tcBorders>
              <w:top w:val="single" w:sz="4" w:space="0" w:color="auto"/>
              <w:left w:val="nil"/>
              <w:bottom w:val="nil"/>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304不锈钢 厚1.5/2.0色：黑、白、花纹/拉丝</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海利、日丰、伟星或同档次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5</w:t>
            </w:r>
          </w:p>
        </w:tc>
        <w:tc>
          <w:tcPr>
            <w:tcW w:w="2410" w:type="dxa"/>
            <w:gridSpan w:val="2"/>
            <w:tcBorders>
              <w:top w:val="single" w:sz="4" w:space="0" w:color="auto"/>
              <w:left w:val="nil"/>
              <w:bottom w:val="nil"/>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环保夹板 厚9/12/15</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兔宝宝、骏丰或同档次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6</w:t>
            </w:r>
          </w:p>
        </w:tc>
        <w:tc>
          <w:tcPr>
            <w:tcW w:w="2410" w:type="dxa"/>
            <w:gridSpan w:val="2"/>
            <w:tcBorders>
              <w:top w:val="single" w:sz="4" w:space="0" w:color="auto"/>
              <w:left w:val="nil"/>
              <w:bottom w:val="nil"/>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玻璃（钢化防火）</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南玻、深玻、福耀或同档次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7</w:t>
            </w:r>
          </w:p>
        </w:tc>
        <w:tc>
          <w:tcPr>
            <w:tcW w:w="2410" w:type="dxa"/>
            <w:gridSpan w:val="2"/>
            <w:tcBorders>
              <w:top w:val="single" w:sz="4" w:space="0" w:color="auto"/>
              <w:left w:val="nil"/>
              <w:bottom w:val="nil"/>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防静电地板胶</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LG 芯宝系列 TSD6101或同档次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送样选</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8</w:t>
            </w:r>
          </w:p>
        </w:tc>
        <w:tc>
          <w:tcPr>
            <w:tcW w:w="2410" w:type="dxa"/>
            <w:gridSpan w:val="2"/>
            <w:tcBorders>
              <w:top w:val="single" w:sz="4" w:space="0" w:color="auto"/>
              <w:left w:val="nil"/>
              <w:bottom w:val="nil"/>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PVC卷材</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LG、洁福、保利、</w:t>
            </w:r>
            <w:r>
              <w:rPr>
                <w:rFonts w:ascii="宋体" w:hAnsi="宋体" w:hint="eastAsia"/>
                <w:szCs w:val="21"/>
              </w:rPr>
              <w:t>欧宝莱</w:t>
            </w:r>
            <w:r>
              <w:rPr>
                <w:rFonts w:ascii="宋体" w:hAnsi="宋体" w:cs="宋体" w:hint="eastAsia"/>
                <w:kern w:val="0"/>
                <w:szCs w:val="21"/>
              </w:rPr>
              <w:t>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送样选</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9</w:t>
            </w:r>
          </w:p>
        </w:tc>
        <w:tc>
          <w:tcPr>
            <w:tcW w:w="2410" w:type="dxa"/>
            <w:gridSpan w:val="2"/>
            <w:tcBorders>
              <w:top w:val="single" w:sz="4" w:space="0" w:color="auto"/>
              <w:left w:val="nil"/>
              <w:bottom w:val="nil"/>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玻镁彩钢板</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华翱、晓宝、莱润、</w:t>
            </w:r>
            <w:r>
              <w:rPr>
                <w:rFonts w:ascii="宋体" w:hAnsi="宋体" w:cs="宋体" w:hint="eastAsia"/>
                <w:kern w:val="0"/>
                <w:szCs w:val="21"/>
              </w:rPr>
              <w:t>协多利、上海兴铁库板、顺达或同档次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10</w:t>
            </w:r>
          </w:p>
        </w:tc>
        <w:tc>
          <w:tcPr>
            <w:tcW w:w="2410" w:type="dxa"/>
            <w:gridSpan w:val="2"/>
            <w:tcBorders>
              <w:top w:val="single" w:sz="4" w:space="0" w:color="auto"/>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石膏板隔墙</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龙牌、金福、埃特板、</w:t>
            </w:r>
            <w:r>
              <w:fldChar w:fldCharType="begin"/>
            </w:r>
            <w:r>
              <w:instrText xml:space="preserve"> HYPERLINK "https://www.baidu.com/s?wd=%E5%8F%AF%E8%80%90%E7%A6%8F&amp;tn=44039180_cpr&amp;fenlei=mv6quAkxTZn0IZRqIHckPjm4nH00T1Y3Pj7WPhNB</w:instrText>
            </w:r>
            <w:r>
              <w:instrText xml:space="preserve">mWmdnhNhP1Nh0ZwV5Hcvrjm3rH6sPfKWUMw85HfYnjn4nH6sgvPsT6KdThsqpZwYTjCEQLGCpyw9Uz4Bmy-bIi4WUvYETgN-TLwGUv3EnHR1rjnkrH0Y" </w:instrText>
            </w:r>
            <w:r>
              <w:fldChar w:fldCharType="separate"/>
            </w:r>
            <w:r>
              <w:rPr>
                <w:rFonts w:ascii="宋体" w:hAnsi="宋体" w:cs="宋体" w:hint="eastAsia"/>
                <w:kern w:val="0"/>
                <w:szCs w:val="21"/>
              </w:rPr>
              <w:t>可耐福、北新龙牌、泰山</w:t>
            </w:r>
            <w:r>
              <w:rPr>
                <w:rFonts w:ascii="宋体" w:hAnsi="宋体" w:cs="宋体" w:hint="eastAsia"/>
                <w:kern w:val="0"/>
                <w:szCs w:val="21"/>
              </w:rPr>
              <w:fldChar w:fldCharType="end"/>
            </w:r>
            <w:r>
              <w:rPr>
                <w:rFonts w:ascii="宋体" w:hAnsi="宋体" w:cs="宋体" w:hint="eastAsia"/>
                <w:kern w:val="0"/>
                <w:szCs w:val="21"/>
              </w:rPr>
              <w:t>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11</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天花轻钢龙骨架</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方大、佛山新景、深圳正和时代、佛山南海鹏澳、广州广丰、深圳金鹏龙、高士达或同档次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送样选</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12</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42.5水泥</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固力、华润、罗浮山或同档次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13</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聚氨酯防水材料</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德高、黑豹或同档次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14</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给水管</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雄塑、、</w:t>
            </w:r>
            <w:r>
              <w:rPr>
                <w:rFonts w:ascii="宋体" w:hAnsi="宋体" w:cs="宋体" w:hint="eastAsia"/>
                <w:kern w:val="0"/>
                <w:szCs w:val="21"/>
              </w:rPr>
              <w:t>伟星、联塑、南塑、</w:t>
            </w:r>
            <w:r>
              <w:rPr>
                <w:rFonts w:ascii="宋体" w:hAnsi="宋体" w:hint="eastAsia"/>
                <w:szCs w:val="21"/>
              </w:rPr>
              <w:t>中山环宇</w:t>
            </w:r>
            <w:r>
              <w:rPr>
                <w:rFonts w:ascii="宋体" w:hAnsi="宋体" w:cs="宋体" w:hint="eastAsia"/>
                <w:kern w:val="0"/>
                <w:szCs w:val="21"/>
              </w:rPr>
              <w:t>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15</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排水管</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雄塑、</w:t>
            </w:r>
            <w:r>
              <w:rPr>
                <w:rFonts w:ascii="宋体" w:hAnsi="宋体" w:cs="宋体" w:hint="eastAsia"/>
                <w:kern w:val="0"/>
                <w:szCs w:val="21"/>
              </w:rPr>
              <w:t>伟星、联塑、南塑、</w:t>
            </w:r>
            <w:r>
              <w:rPr>
                <w:rFonts w:ascii="宋体" w:hAnsi="宋体" w:hint="eastAsia"/>
                <w:szCs w:val="21"/>
              </w:rPr>
              <w:t>中山环宇</w:t>
            </w:r>
            <w:r>
              <w:rPr>
                <w:rFonts w:ascii="宋体" w:hAnsi="宋体" w:cs="宋体" w:hint="eastAsia"/>
                <w:kern w:val="0"/>
                <w:szCs w:val="21"/>
              </w:rPr>
              <w:t>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285"/>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16</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给排水连接件</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雄塑、</w:t>
            </w:r>
            <w:r>
              <w:rPr>
                <w:rFonts w:ascii="宋体" w:hAnsi="宋体" w:cs="宋体" w:hint="eastAsia"/>
                <w:kern w:val="0"/>
                <w:szCs w:val="21"/>
              </w:rPr>
              <w:t>、联塑、南塑、</w:t>
            </w:r>
            <w:r>
              <w:rPr>
                <w:rFonts w:ascii="宋体" w:hAnsi="宋体" w:hint="eastAsia"/>
                <w:szCs w:val="21"/>
              </w:rPr>
              <w:t>中山环宇</w:t>
            </w:r>
            <w:r>
              <w:rPr>
                <w:rFonts w:ascii="宋体" w:hAnsi="宋体" w:cs="宋体" w:hint="eastAsia"/>
                <w:kern w:val="0"/>
                <w:szCs w:val="21"/>
              </w:rPr>
              <w:t>或同档次</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　</w:t>
            </w:r>
          </w:p>
        </w:tc>
      </w:tr>
      <w:tr>
        <w:tblPrEx>
          <w:tblW w:w="9170" w:type="dxa"/>
          <w:tblInd w:w="0" w:type="dxa"/>
          <w:tblLook w:val="0000"/>
        </w:tblPrEx>
        <w:trPr>
          <w:trHeight w:val="570"/>
        </w:trPr>
        <w:tc>
          <w:tcPr>
            <w:tcW w:w="1232" w:type="dxa"/>
            <w:tcBorders>
              <w:top w:val="nil"/>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17</w:t>
            </w:r>
          </w:p>
        </w:tc>
        <w:tc>
          <w:tcPr>
            <w:tcW w:w="2410" w:type="dxa"/>
            <w:gridSpan w:val="2"/>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五金配件（门锁、拉手、导轨、铰链等等）</w:t>
            </w:r>
          </w:p>
        </w:tc>
        <w:tc>
          <w:tcPr>
            <w:tcW w:w="4110" w:type="dxa"/>
            <w:tcBorders>
              <w:top w:val="nil"/>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中上品牌</w:t>
            </w:r>
          </w:p>
        </w:tc>
        <w:tc>
          <w:tcPr>
            <w:tcW w:w="1418" w:type="dxa"/>
            <w:gridSpan w:val="2"/>
            <w:tcBorders>
              <w:top w:val="nil"/>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送样选</w:t>
            </w:r>
          </w:p>
        </w:tc>
      </w:tr>
      <w:tr>
        <w:tblPrEx>
          <w:tblW w:w="9170" w:type="dxa"/>
          <w:tblInd w:w="0" w:type="dxa"/>
          <w:tblLook w:val="0000"/>
        </w:tblPrEx>
        <w:trPr>
          <w:trHeight w:val="285"/>
        </w:trPr>
        <w:tc>
          <w:tcPr>
            <w:tcW w:w="1232" w:type="dxa"/>
            <w:tcBorders>
              <w:top w:val="single" w:sz="4" w:space="0" w:color="auto"/>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18</w:t>
            </w:r>
          </w:p>
        </w:tc>
        <w:tc>
          <w:tcPr>
            <w:tcW w:w="2410" w:type="dxa"/>
            <w:gridSpan w:val="2"/>
            <w:tcBorders>
              <w:top w:val="single" w:sz="4" w:space="0" w:color="auto"/>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窗帘</w:t>
            </w:r>
          </w:p>
        </w:tc>
        <w:tc>
          <w:tcPr>
            <w:tcW w:w="4110" w:type="dxa"/>
            <w:tcBorders>
              <w:top w:val="single" w:sz="4" w:space="0" w:color="auto"/>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中上品牌</w:t>
            </w:r>
          </w:p>
        </w:tc>
        <w:tc>
          <w:tcPr>
            <w:tcW w:w="1418" w:type="dxa"/>
            <w:gridSpan w:val="2"/>
            <w:tcBorders>
              <w:top w:val="single" w:sz="4" w:space="0" w:color="auto"/>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送样选</w:t>
            </w:r>
          </w:p>
        </w:tc>
      </w:tr>
      <w:tr>
        <w:tblPrEx>
          <w:tblW w:w="9170" w:type="dxa"/>
          <w:tblInd w:w="0" w:type="dxa"/>
          <w:tblLook w:val="0000"/>
        </w:tblPrEx>
        <w:trPr>
          <w:trHeight w:val="285"/>
        </w:trPr>
        <w:tc>
          <w:tcPr>
            <w:tcW w:w="1232" w:type="dxa"/>
            <w:tcBorders>
              <w:top w:val="single" w:sz="4" w:space="0" w:color="auto"/>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19</w:t>
            </w:r>
          </w:p>
        </w:tc>
        <w:tc>
          <w:tcPr>
            <w:tcW w:w="2410" w:type="dxa"/>
            <w:gridSpan w:val="2"/>
            <w:tcBorders>
              <w:top w:val="single" w:sz="4" w:space="0" w:color="auto"/>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实验台台面板</w:t>
            </w:r>
          </w:p>
        </w:tc>
        <w:tc>
          <w:tcPr>
            <w:tcW w:w="4110" w:type="dxa"/>
            <w:tcBorders>
              <w:top w:val="single" w:sz="4" w:space="0" w:color="auto"/>
              <w:left w:val="nil"/>
              <w:bottom w:val="single" w:sz="4" w:space="0" w:color="auto"/>
              <w:right w:val="single" w:sz="4" w:space="0" w:color="auto"/>
            </w:tcBorders>
            <w:vAlign w:val="center"/>
          </w:tcPr>
          <w:p w:rsidR="007900F6">
            <w:pPr>
              <w:widowControl/>
              <w:snapToGrid w:val="0"/>
              <w:spacing w:line="360" w:lineRule="auto"/>
              <w:rPr>
                <w:rFonts w:ascii="宋体" w:hAnsi="宋体" w:cs="宋体"/>
                <w:kern w:val="0"/>
                <w:szCs w:val="21"/>
              </w:rPr>
            </w:pPr>
            <w:r>
              <w:rPr>
                <w:rFonts w:ascii="宋体" w:hAnsi="宋体" w:hint="eastAsia"/>
                <w:szCs w:val="21"/>
              </w:rPr>
              <w:t>威盛亚、MAX、千思</w:t>
            </w:r>
            <w:r>
              <w:rPr>
                <w:rFonts w:ascii="宋体" w:hAnsi="宋体" w:cs="宋体" w:hint="eastAsia"/>
                <w:kern w:val="0"/>
                <w:szCs w:val="21"/>
              </w:rPr>
              <w:t>或同档次</w:t>
            </w:r>
          </w:p>
        </w:tc>
        <w:tc>
          <w:tcPr>
            <w:tcW w:w="1418" w:type="dxa"/>
            <w:gridSpan w:val="2"/>
            <w:tcBorders>
              <w:top w:val="single" w:sz="4" w:space="0" w:color="auto"/>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送样选</w:t>
            </w:r>
          </w:p>
        </w:tc>
      </w:tr>
      <w:tr>
        <w:tblPrEx>
          <w:tblW w:w="9170" w:type="dxa"/>
          <w:tblInd w:w="0" w:type="dxa"/>
          <w:tblLook w:val="0000"/>
        </w:tblPrEx>
        <w:trPr>
          <w:trHeight w:val="285"/>
        </w:trPr>
        <w:tc>
          <w:tcPr>
            <w:tcW w:w="1232" w:type="dxa"/>
            <w:tcBorders>
              <w:top w:val="single" w:sz="4" w:space="0" w:color="auto"/>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20</w:t>
            </w:r>
          </w:p>
        </w:tc>
        <w:tc>
          <w:tcPr>
            <w:tcW w:w="2410" w:type="dxa"/>
            <w:gridSpan w:val="2"/>
            <w:tcBorders>
              <w:top w:val="single" w:sz="4" w:space="0" w:color="auto"/>
              <w:left w:val="nil"/>
              <w:bottom w:val="single" w:sz="4" w:space="0" w:color="auto"/>
              <w:right w:val="single" w:sz="4" w:space="0" w:color="auto"/>
            </w:tcBorders>
            <w:vAlign w:val="center"/>
          </w:tcPr>
          <w:p w:rsidR="007900F6">
            <w:pPr>
              <w:widowControl/>
              <w:snapToGrid w:val="0"/>
              <w:spacing w:line="360" w:lineRule="auto"/>
              <w:rPr>
                <w:rFonts w:ascii="宋体" w:hAnsi="宋体"/>
                <w:szCs w:val="21"/>
              </w:rPr>
            </w:pPr>
            <w:r>
              <w:rPr>
                <w:rFonts w:ascii="宋体" w:hAnsi="宋体" w:hint="eastAsia"/>
                <w:szCs w:val="21"/>
              </w:rPr>
              <w:t>紧急冲淋器、洗眼器</w:t>
            </w:r>
          </w:p>
        </w:tc>
        <w:tc>
          <w:tcPr>
            <w:tcW w:w="4110" w:type="dxa"/>
            <w:tcBorders>
              <w:top w:val="single" w:sz="4" w:space="0" w:color="auto"/>
              <w:left w:val="nil"/>
              <w:bottom w:val="single" w:sz="4" w:space="0" w:color="auto"/>
              <w:right w:val="single" w:sz="4" w:space="0" w:color="auto"/>
            </w:tcBorders>
            <w:vAlign w:val="center"/>
          </w:tcPr>
          <w:p w:rsidR="007900F6">
            <w:pPr>
              <w:widowControl/>
              <w:snapToGrid w:val="0"/>
              <w:spacing w:line="360" w:lineRule="auto"/>
              <w:rPr>
                <w:rFonts w:ascii="宋体" w:hAnsi="宋体"/>
                <w:szCs w:val="21"/>
              </w:rPr>
            </w:pPr>
            <w:r>
              <w:rPr>
                <w:rFonts w:ascii="宋体" w:hAnsi="宋体" w:hint="eastAsia"/>
                <w:szCs w:val="21"/>
              </w:rPr>
              <w:t>科恩、博朗、科航</w:t>
            </w:r>
            <w:r>
              <w:rPr>
                <w:rFonts w:ascii="宋体" w:hAnsi="宋体" w:cs="宋体" w:hint="eastAsia"/>
                <w:kern w:val="0"/>
                <w:szCs w:val="21"/>
              </w:rPr>
              <w:t>或同档次</w:t>
            </w:r>
          </w:p>
        </w:tc>
        <w:tc>
          <w:tcPr>
            <w:tcW w:w="1418" w:type="dxa"/>
            <w:gridSpan w:val="2"/>
            <w:tcBorders>
              <w:top w:val="single" w:sz="4" w:space="0" w:color="auto"/>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p>
        </w:tc>
      </w:tr>
      <w:tr>
        <w:tblPrEx>
          <w:tblW w:w="9170" w:type="dxa"/>
          <w:tblInd w:w="0" w:type="dxa"/>
          <w:tblLook w:val="0000"/>
        </w:tblPrEx>
        <w:trPr>
          <w:trHeight w:val="285"/>
        </w:trPr>
        <w:tc>
          <w:tcPr>
            <w:tcW w:w="1232" w:type="dxa"/>
            <w:tcBorders>
              <w:top w:val="single" w:sz="4" w:space="0" w:color="auto"/>
              <w:left w:val="single" w:sz="4" w:space="0" w:color="auto"/>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r>
              <w:rPr>
                <w:rFonts w:ascii="宋体" w:hAnsi="宋体" w:cs="宋体" w:hint="eastAsia"/>
                <w:kern w:val="0"/>
                <w:szCs w:val="21"/>
              </w:rPr>
              <w:t>21</w:t>
            </w:r>
          </w:p>
        </w:tc>
        <w:tc>
          <w:tcPr>
            <w:tcW w:w="2410" w:type="dxa"/>
            <w:gridSpan w:val="2"/>
            <w:tcBorders>
              <w:top w:val="single" w:sz="4" w:space="0" w:color="auto"/>
              <w:left w:val="nil"/>
              <w:bottom w:val="single" w:sz="4" w:space="0" w:color="auto"/>
              <w:right w:val="single" w:sz="4" w:space="0" w:color="auto"/>
            </w:tcBorders>
            <w:vAlign w:val="center"/>
          </w:tcPr>
          <w:p w:rsidR="007900F6">
            <w:pPr>
              <w:widowControl/>
              <w:snapToGrid w:val="0"/>
              <w:spacing w:line="360" w:lineRule="auto"/>
              <w:rPr>
                <w:rFonts w:ascii="宋体" w:hAnsi="宋体"/>
                <w:szCs w:val="21"/>
              </w:rPr>
            </w:pPr>
            <w:r>
              <w:rPr>
                <w:rFonts w:ascii="宋体" w:hAnsi="宋体" w:hint="eastAsia"/>
                <w:szCs w:val="21"/>
              </w:rPr>
              <w:t>三联水龙头</w:t>
            </w:r>
          </w:p>
        </w:tc>
        <w:tc>
          <w:tcPr>
            <w:tcW w:w="4110" w:type="dxa"/>
            <w:tcBorders>
              <w:top w:val="single" w:sz="4" w:space="0" w:color="auto"/>
              <w:left w:val="nil"/>
              <w:bottom w:val="single" w:sz="4" w:space="0" w:color="auto"/>
              <w:right w:val="single" w:sz="4" w:space="0" w:color="auto"/>
            </w:tcBorders>
            <w:vAlign w:val="center"/>
          </w:tcPr>
          <w:p w:rsidR="007900F6">
            <w:pPr>
              <w:widowControl/>
              <w:snapToGrid w:val="0"/>
              <w:spacing w:line="360" w:lineRule="auto"/>
              <w:rPr>
                <w:rFonts w:ascii="宋体" w:hAnsi="宋体"/>
                <w:szCs w:val="21"/>
              </w:rPr>
            </w:pPr>
            <w:r>
              <w:rPr>
                <w:rFonts w:ascii="宋体" w:hAnsi="宋体" w:hint="eastAsia"/>
                <w:szCs w:val="21"/>
              </w:rPr>
              <w:t>科恩、博朗、科航</w:t>
            </w:r>
            <w:r>
              <w:rPr>
                <w:rFonts w:ascii="宋体" w:hAnsi="宋体" w:cs="宋体" w:hint="eastAsia"/>
                <w:kern w:val="0"/>
                <w:szCs w:val="21"/>
              </w:rPr>
              <w:t>或同档次</w:t>
            </w:r>
          </w:p>
        </w:tc>
        <w:tc>
          <w:tcPr>
            <w:tcW w:w="1418" w:type="dxa"/>
            <w:gridSpan w:val="2"/>
            <w:tcBorders>
              <w:top w:val="single" w:sz="4" w:space="0" w:color="auto"/>
              <w:left w:val="nil"/>
              <w:bottom w:val="single" w:sz="4" w:space="0" w:color="auto"/>
              <w:right w:val="single" w:sz="4" w:space="0" w:color="auto"/>
            </w:tcBorders>
            <w:noWrap/>
            <w:vAlign w:val="center"/>
          </w:tcPr>
          <w:p w:rsidR="007900F6">
            <w:pPr>
              <w:widowControl/>
              <w:snapToGrid w:val="0"/>
              <w:spacing w:line="360" w:lineRule="auto"/>
              <w:rPr>
                <w:rFonts w:ascii="宋体" w:hAnsi="宋体" w:cs="宋体"/>
                <w:kern w:val="0"/>
                <w:szCs w:val="21"/>
              </w:rPr>
            </w:pPr>
          </w:p>
        </w:tc>
      </w:tr>
    </w:tbl>
    <w:p w:rsidR="007900F6">
      <w:pPr>
        <w:snapToGrid w:val="0"/>
        <w:spacing w:line="360" w:lineRule="auto"/>
        <w:ind w:firstLine="34"/>
        <w:contextualSpacing/>
        <w:jc w:val="center"/>
        <w:rPr>
          <w:rFonts w:ascii="宋体" w:hAnsi="宋体"/>
          <w:b/>
          <w:bCs/>
          <w:color w:val="000000"/>
          <w:szCs w:val="21"/>
        </w:rPr>
      </w:pPr>
    </w:p>
    <w:p w:rsidR="007900F6">
      <w:pPr>
        <w:snapToGrid w:val="0"/>
        <w:spacing w:line="360" w:lineRule="auto"/>
        <w:ind w:firstLine="34"/>
        <w:contextualSpacing/>
        <w:rPr>
          <w:rFonts w:ascii="宋体" w:hAnsi="宋体"/>
          <w:b/>
          <w:bCs/>
          <w:color w:val="000000"/>
          <w:szCs w:val="21"/>
        </w:rPr>
      </w:pPr>
      <w:r>
        <w:rPr>
          <w:rFonts w:ascii="宋体" w:hAnsi="宋体" w:hint="eastAsia"/>
          <w:b/>
          <w:bCs/>
          <w:color w:val="000000"/>
          <w:szCs w:val="21"/>
        </w:rPr>
        <w:t>三</w:t>
      </w:r>
      <w:r>
        <w:rPr>
          <w:rFonts w:ascii="宋体" w:hAnsi="宋体"/>
          <w:b/>
          <w:bCs/>
          <w:color w:val="000000"/>
          <w:szCs w:val="21"/>
        </w:rPr>
        <w:t>、</w:t>
      </w:r>
      <w:r>
        <w:rPr>
          <w:rFonts w:ascii="宋体" w:hAnsi="宋体" w:hint="eastAsia"/>
          <w:b/>
          <w:bCs/>
          <w:color w:val="000000"/>
          <w:szCs w:val="21"/>
        </w:rPr>
        <w:t>项目管理要求：</w:t>
      </w:r>
    </w:p>
    <w:p w:rsidR="007900F6">
      <w:pPr>
        <w:tabs>
          <w:tab w:val="left" w:pos="630"/>
          <w:tab w:val="left" w:pos="840"/>
        </w:tabs>
        <w:snapToGrid w:val="0"/>
        <w:spacing w:line="360" w:lineRule="auto"/>
        <w:contextualSpacing/>
        <w:rPr>
          <w:rFonts w:ascii="宋体" w:hAnsi="宋体"/>
          <w:szCs w:val="21"/>
        </w:rPr>
      </w:pPr>
      <w:r>
        <w:rPr>
          <w:rFonts w:ascii="宋体" w:hAnsi="宋体" w:hint="eastAsia"/>
          <w:b/>
          <w:color w:val="000000"/>
          <w:szCs w:val="21"/>
        </w:rPr>
        <w:t>（一）施工基本要求</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1、中标</w:t>
      </w:r>
      <w:r>
        <w:rPr>
          <w:rFonts w:ascii="宋体" w:hAnsi="宋体" w:hint="eastAsia"/>
          <w:kern w:val="0"/>
          <w:szCs w:val="21"/>
        </w:rPr>
        <w:t>人</w:t>
      </w:r>
      <w:r>
        <w:rPr>
          <w:rFonts w:ascii="宋体" w:hAnsi="宋体"/>
          <w:kern w:val="0"/>
          <w:szCs w:val="21"/>
        </w:rPr>
        <w:t xml:space="preserve">必须作好施工记录、隐蔽工程记录、施工资料的整理、竣工资料的编制等工作。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2、中标</w:t>
      </w:r>
      <w:r>
        <w:rPr>
          <w:rFonts w:ascii="宋体" w:hAnsi="宋体" w:hint="eastAsia"/>
          <w:kern w:val="0"/>
          <w:szCs w:val="21"/>
        </w:rPr>
        <w:t>人</w:t>
      </w:r>
      <w:r>
        <w:rPr>
          <w:rFonts w:ascii="宋体" w:hAnsi="宋体"/>
          <w:kern w:val="0"/>
          <w:szCs w:val="21"/>
        </w:rPr>
        <w:t xml:space="preserve">必须在施工现场显眼位置设置正规施工警示牌、工程概况牌，标注“温馨提示”语言。靠近人行通道边（或建设方以为有必要的其他周边）必须用整齐美观的板材围护密封施工。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bCs/>
          <w:kern w:val="0"/>
          <w:szCs w:val="21"/>
        </w:rPr>
        <w:t>3、中标</w:t>
      </w:r>
      <w:r>
        <w:rPr>
          <w:rFonts w:ascii="宋体" w:hAnsi="宋体" w:hint="eastAsia"/>
          <w:bCs/>
          <w:kern w:val="0"/>
          <w:szCs w:val="21"/>
        </w:rPr>
        <w:t>人</w:t>
      </w:r>
      <w:r>
        <w:rPr>
          <w:rFonts w:ascii="宋体" w:hAnsi="宋体"/>
          <w:bCs/>
          <w:kern w:val="0"/>
          <w:szCs w:val="21"/>
        </w:rPr>
        <w:t>施工必须达到深圳市主管部门规定的安全文明施工标准，</w:t>
      </w:r>
      <w:r>
        <w:rPr>
          <w:rFonts w:ascii="宋体" w:hAnsi="宋体"/>
          <w:kern w:val="0"/>
          <w:szCs w:val="21"/>
        </w:rPr>
        <w:t xml:space="preserve">服从采购人的管理，避免干扰采购人的正常工作秩序，认真做好施工现场防护、防火、噪音、用电等安全文明施工各项管理工作，承担相应一切责任，确保施工场地区域道路通畅，保持施工现场整洁，做到工完场清，达到国家卫生城市标准。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4、中标</w:t>
      </w:r>
      <w:r>
        <w:rPr>
          <w:rFonts w:ascii="宋体" w:hAnsi="宋体" w:hint="eastAsia"/>
          <w:kern w:val="0"/>
          <w:szCs w:val="21"/>
        </w:rPr>
        <w:t>人</w:t>
      </w:r>
      <w:r>
        <w:rPr>
          <w:rFonts w:ascii="宋体" w:hAnsi="宋体"/>
          <w:kern w:val="0"/>
          <w:szCs w:val="21"/>
        </w:rPr>
        <w:t xml:space="preserve">必须在施工过程中注意自身及周边安全，做好现场及周边安全设施搭设，遵守有关安全保护规程，负责施工过程中的所有事故处理和费用。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5、中标</w:t>
      </w:r>
      <w:r>
        <w:rPr>
          <w:rFonts w:ascii="宋体" w:hAnsi="宋体" w:hint="eastAsia"/>
          <w:kern w:val="0"/>
          <w:szCs w:val="21"/>
        </w:rPr>
        <w:t>人</w:t>
      </w:r>
      <w:r>
        <w:rPr>
          <w:rFonts w:ascii="宋体" w:hAnsi="宋体"/>
          <w:kern w:val="0"/>
          <w:szCs w:val="21"/>
        </w:rPr>
        <w:t>必须服从采购单位</w:t>
      </w:r>
      <w:r>
        <w:rPr>
          <w:rFonts w:ascii="宋体" w:hAnsi="宋体" w:hint="eastAsia"/>
          <w:kern w:val="0"/>
          <w:szCs w:val="21"/>
        </w:rPr>
        <w:t>和</w:t>
      </w:r>
      <w:r>
        <w:rPr>
          <w:rFonts w:ascii="宋体" w:hAnsi="宋体"/>
          <w:kern w:val="0"/>
          <w:szCs w:val="21"/>
        </w:rPr>
        <w:t xml:space="preserve">监理公司的监督、指导并积极主动配合上述管理机构的工作。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6、中标人施工前须提供材料样板，并经设计、监理、</w:t>
      </w:r>
      <w:r>
        <w:rPr>
          <w:rFonts w:ascii="宋体" w:hAnsi="宋体" w:hint="eastAsia"/>
          <w:kern w:val="0"/>
          <w:szCs w:val="21"/>
        </w:rPr>
        <w:t>采购</w:t>
      </w:r>
      <w:r>
        <w:rPr>
          <w:rFonts w:ascii="宋体" w:hAnsi="宋体"/>
          <w:kern w:val="0"/>
          <w:szCs w:val="21"/>
        </w:rPr>
        <w:t xml:space="preserve">人及使用单位最终签字确认，方可进场使用，中标人所提供的样板或厂家应符合设计图纸要求及采购人确认的要求。大批量材料须与材料样板一致，严禁材料样板与批量材料不一致情况，否则退场换货，对应损失施工单位承担。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 xml:space="preserve">7、用在本工程的任何材料在使用前必须得到采购人的批准，样品须在大批订货前送审。获准的样品存放在工地，作为以后验收材料的标准。样品和其包装，由中标人无偿提供。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8、中标</w:t>
      </w:r>
      <w:r>
        <w:rPr>
          <w:rFonts w:ascii="宋体" w:hAnsi="宋体" w:hint="eastAsia"/>
          <w:kern w:val="0"/>
          <w:szCs w:val="21"/>
        </w:rPr>
        <w:t>人</w:t>
      </w:r>
      <w:r>
        <w:rPr>
          <w:rFonts w:ascii="宋体" w:hAnsi="宋体"/>
          <w:kern w:val="0"/>
          <w:szCs w:val="21"/>
        </w:rPr>
        <w:t xml:space="preserve">在工程施工前，须全面检查工地情况，若发现错误须立刻通知工程师。若未能遵从此规定，使本工程的任何项目因此等错误或缺陷而错误地建造，则中标人须自费予以拆除及重建。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9、实行项目经理负责制，并按投标文件配备项目管理班子。如未经采购人同意更换项目班子成员，采购人有权取消中标</w:t>
      </w:r>
      <w:r>
        <w:rPr>
          <w:rFonts w:ascii="宋体" w:hAnsi="宋体" w:hint="eastAsia"/>
          <w:kern w:val="0"/>
          <w:szCs w:val="21"/>
        </w:rPr>
        <w:t>人</w:t>
      </w:r>
      <w:r>
        <w:rPr>
          <w:rFonts w:ascii="宋体" w:hAnsi="宋体"/>
          <w:kern w:val="0"/>
          <w:szCs w:val="21"/>
        </w:rPr>
        <w:t xml:space="preserve">的中标资格或单方面终止合同，由此造成的违约责任由承包人承担。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 xml:space="preserve">10、中标人须提供所需的有关资料（包括图纸、样品、产品说明等），向政府部门或公用事业机构申报，若所有须送审的有关资料未能达到有关政府部门的要求而需重新申报的，由此而导致工期延误及所引起的一切费用损失等全部由中标人负责。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11、中标人须配合采购</w:t>
      </w:r>
      <w:r>
        <w:rPr>
          <w:rFonts w:ascii="宋体" w:hAnsi="宋体" w:hint="eastAsia"/>
          <w:kern w:val="0"/>
          <w:szCs w:val="21"/>
        </w:rPr>
        <w:t>人</w:t>
      </w:r>
      <w:r>
        <w:rPr>
          <w:rFonts w:ascii="宋体" w:hAnsi="宋体"/>
          <w:kern w:val="0"/>
          <w:szCs w:val="21"/>
        </w:rPr>
        <w:t xml:space="preserve">要求，积极配合现场施工进度并配合其他施工单位做好场地移交及工作界面移交。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 xml:space="preserve"> </w:t>
      </w:r>
    </w:p>
    <w:p w:rsidR="007900F6">
      <w:pPr>
        <w:autoSpaceDE w:val="0"/>
        <w:autoSpaceDN w:val="0"/>
        <w:adjustRightInd w:val="0"/>
        <w:snapToGrid w:val="0"/>
        <w:spacing w:line="360" w:lineRule="auto"/>
        <w:ind w:firstLine="480" w:firstLineChars="200"/>
        <w:jc w:val="left"/>
        <w:rPr>
          <w:rFonts w:ascii="宋体" w:hAnsi="宋体"/>
          <w:kern w:val="0"/>
          <w:szCs w:val="21"/>
        </w:rPr>
      </w:pPr>
    </w:p>
    <w:p w:rsidR="007900F6">
      <w:pPr>
        <w:tabs>
          <w:tab w:val="left" w:pos="630"/>
          <w:tab w:val="left" w:pos="840"/>
        </w:tabs>
        <w:snapToGrid w:val="0"/>
        <w:spacing w:line="360" w:lineRule="auto"/>
        <w:contextualSpacing/>
        <w:rPr>
          <w:rFonts w:ascii="宋体" w:hAnsi="宋体"/>
          <w:b/>
          <w:color w:val="000000"/>
          <w:szCs w:val="21"/>
        </w:rPr>
      </w:pPr>
      <w:r>
        <w:rPr>
          <w:rFonts w:ascii="宋体" w:hAnsi="宋体"/>
          <w:b/>
          <w:color w:val="000000"/>
          <w:szCs w:val="21"/>
        </w:rPr>
        <w:t xml:space="preserve">（二）具体管理要求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hint="eastAsia"/>
          <w:kern w:val="0"/>
          <w:szCs w:val="21"/>
        </w:rPr>
        <w:t>中标</w:t>
      </w:r>
      <w:r>
        <w:rPr>
          <w:rFonts w:ascii="宋体" w:hAnsi="宋体"/>
          <w:kern w:val="0"/>
          <w:szCs w:val="21"/>
        </w:rPr>
        <w:t xml:space="preserve">人应服从香港科技大学深圳研究院的所有管理规定，尤其对本招标文件附件的各项管理制度应认真研读。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1、</w:t>
      </w:r>
      <w:r>
        <w:rPr>
          <w:rFonts w:ascii="宋体" w:hAnsi="宋体" w:hint="eastAsia"/>
          <w:kern w:val="0"/>
          <w:szCs w:val="21"/>
        </w:rPr>
        <w:t>采购</w:t>
      </w:r>
      <w:r>
        <w:rPr>
          <w:rFonts w:ascii="宋体" w:hAnsi="宋体"/>
          <w:kern w:val="0"/>
          <w:szCs w:val="21"/>
        </w:rPr>
        <w:t>人不承诺提供住宿、临时生活场地等给</w:t>
      </w:r>
      <w:r>
        <w:rPr>
          <w:rFonts w:ascii="宋体" w:hAnsi="宋体" w:hint="eastAsia"/>
          <w:kern w:val="0"/>
          <w:szCs w:val="21"/>
        </w:rPr>
        <w:t>中标</w:t>
      </w:r>
      <w:r>
        <w:rPr>
          <w:rFonts w:ascii="宋体" w:hAnsi="宋体"/>
          <w:kern w:val="0"/>
          <w:szCs w:val="21"/>
        </w:rPr>
        <w:t>人；</w:t>
      </w:r>
      <w:r>
        <w:rPr>
          <w:rFonts w:ascii="宋体" w:hAnsi="宋体" w:hint="eastAsia"/>
          <w:kern w:val="0"/>
          <w:szCs w:val="21"/>
        </w:rPr>
        <w:t>采购</w:t>
      </w:r>
      <w:r>
        <w:rPr>
          <w:rFonts w:ascii="宋体" w:hAnsi="宋体"/>
          <w:kern w:val="0"/>
          <w:szCs w:val="21"/>
        </w:rPr>
        <w:t xml:space="preserve">人不承诺提供餐食；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2、</w:t>
      </w:r>
      <w:r>
        <w:rPr>
          <w:rFonts w:ascii="宋体" w:hAnsi="宋体" w:hint="eastAsia"/>
          <w:kern w:val="0"/>
          <w:szCs w:val="21"/>
        </w:rPr>
        <w:t>中标</w:t>
      </w:r>
      <w:r>
        <w:rPr>
          <w:rFonts w:ascii="宋体" w:hAnsi="宋体"/>
          <w:kern w:val="0"/>
          <w:szCs w:val="21"/>
        </w:rPr>
        <w:t>人投标文件中承诺的项目主要负责人员，包括但不限于项目负责人、安装专业负责人、技术负责人、安全员、质检员、资料员等必须按时到岗。现场人员与投标文件不符的且无正当理由的，</w:t>
      </w:r>
      <w:r>
        <w:rPr>
          <w:rFonts w:ascii="宋体" w:hAnsi="宋体" w:hint="eastAsia"/>
          <w:kern w:val="0"/>
          <w:szCs w:val="21"/>
        </w:rPr>
        <w:t>采购</w:t>
      </w:r>
      <w:r>
        <w:rPr>
          <w:rFonts w:ascii="宋体" w:hAnsi="宋体"/>
          <w:kern w:val="0"/>
          <w:szCs w:val="21"/>
        </w:rPr>
        <w:t>人按2000元/人/天的标准按实扣减工程款。</w:t>
      </w:r>
      <w:r>
        <w:rPr>
          <w:rFonts w:ascii="宋体" w:hAnsi="宋体" w:hint="eastAsia"/>
          <w:kern w:val="0"/>
          <w:szCs w:val="21"/>
        </w:rPr>
        <w:t>中标</w:t>
      </w:r>
      <w:r>
        <w:rPr>
          <w:rFonts w:ascii="宋体" w:hAnsi="宋体"/>
          <w:kern w:val="0"/>
          <w:szCs w:val="21"/>
        </w:rPr>
        <w:t>人因为客观原因更换管理人员的，必须以书面形式报</w:t>
      </w:r>
      <w:r>
        <w:rPr>
          <w:rFonts w:ascii="宋体" w:hAnsi="宋体" w:hint="eastAsia"/>
          <w:kern w:val="0"/>
          <w:szCs w:val="21"/>
        </w:rPr>
        <w:t>采购</w:t>
      </w:r>
      <w:r>
        <w:rPr>
          <w:rFonts w:ascii="宋体" w:hAnsi="宋体"/>
          <w:kern w:val="0"/>
          <w:szCs w:val="21"/>
        </w:rPr>
        <w:t xml:space="preserve">人和监理批准；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3、</w:t>
      </w:r>
      <w:r>
        <w:rPr>
          <w:rFonts w:ascii="宋体" w:hAnsi="宋体" w:hint="eastAsia"/>
          <w:kern w:val="0"/>
          <w:szCs w:val="21"/>
        </w:rPr>
        <w:t>中标</w:t>
      </w:r>
      <w:r>
        <w:rPr>
          <w:rFonts w:ascii="宋体" w:hAnsi="宋体"/>
          <w:kern w:val="0"/>
          <w:szCs w:val="21"/>
        </w:rPr>
        <w:t>人不按招标文件要求报审施工方案、申报材料品牌等要求的，以监理通知要求的日期为准，逾期申报的按工期拖延标准进行处罚。对未经审批的材料经查不合格的返工重做。施工方案未经审批擅自开工造成损失和安全事故的，视为</w:t>
      </w:r>
      <w:r>
        <w:rPr>
          <w:rFonts w:ascii="宋体" w:hAnsi="宋体" w:hint="eastAsia"/>
          <w:kern w:val="0"/>
          <w:szCs w:val="21"/>
        </w:rPr>
        <w:t>中标</w:t>
      </w:r>
      <w:r>
        <w:rPr>
          <w:rFonts w:ascii="宋体" w:hAnsi="宋体"/>
          <w:kern w:val="0"/>
          <w:szCs w:val="21"/>
        </w:rPr>
        <w:t>人的重大违约，</w:t>
      </w:r>
      <w:r>
        <w:rPr>
          <w:rFonts w:ascii="宋体" w:hAnsi="宋体" w:hint="eastAsia"/>
          <w:kern w:val="0"/>
          <w:szCs w:val="21"/>
        </w:rPr>
        <w:t>采购</w:t>
      </w:r>
      <w:r>
        <w:rPr>
          <w:rFonts w:ascii="宋体" w:hAnsi="宋体"/>
          <w:kern w:val="0"/>
          <w:szCs w:val="21"/>
        </w:rPr>
        <w:t>人可立即终止合同并有权向</w:t>
      </w:r>
      <w:r>
        <w:rPr>
          <w:rFonts w:ascii="宋体" w:hAnsi="宋体" w:hint="eastAsia"/>
          <w:kern w:val="0"/>
          <w:szCs w:val="21"/>
        </w:rPr>
        <w:t>中标</w:t>
      </w:r>
      <w:r>
        <w:rPr>
          <w:rFonts w:ascii="宋体" w:hAnsi="宋体"/>
          <w:kern w:val="0"/>
          <w:szCs w:val="21"/>
        </w:rPr>
        <w:t xml:space="preserve">人索赔相应损失；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4、</w:t>
      </w:r>
      <w:r>
        <w:rPr>
          <w:rFonts w:ascii="宋体" w:hAnsi="宋体" w:hint="eastAsia"/>
          <w:kern w:val="0"/>
          <w:szCs w:val="21"/>
        </w:rPr>
        <w:t>中标</w:t>
      </w:r>
      <w:r>
        <w:rPr>
          <w:rFonts w:ascii="宋体" w:hAnsi="宋体"/>
          <w:kern w:val="0"/>
          <w:szCs w:val="21"/>
        </w:rPr>
        <w:t xml:space="preserve">人违反香港科技大学深圳研究院安全文明施工规定的，除按规定进行处罚之外，被研究院各部门巡查到合计三次以上的，项目负责人还需录制检讨视频；六次以上的，公司负责人需录制检讨视频并停工整顿，工期不得顺延；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6、</w:t>
      </w:r>
      <w:r>
        <w:rPr>
          <w:rFonts w:ascii="宋体" w:hAnsi="宋体" w:hint="eastAsia"/>
          <w:kern w:val="0"/>
          <w:szCs w:val="21"/>
        </w:rPr>
        <w:t>中标</w:t>
      </w:r>
      <w:r>
        <w:rPr>
          <w:rFonts w:ascii="宋体" w:hAnsi="宋体"/>
          <w:kern w:val="0"/>
          <w:szCs w:val="21"/>
        </w:rPr>
        <w:t xml:space="preserve">人必须对施工人员进行技术工艺交底，否则不能进行施工，相应工期不予顺延；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7、</w:t>
      </w:r>
      <w:r>
        <w:rPr>
          <w:rFonts w:ascii="宋体" w:hAnsi="宋体" w:hint="eastAsia"/>
          <w:kern w:val="0"/>
          <w:szCs w:val="21"/>
        </w:rPr>
        <w:t>中标</w:t>
      </w:r>
      <w:r>
        <w:rPr>
          <w:rFonts w:ascii="宋体" w:hAnsi="宋体"/>
          <w:kern w:val="0"/>
          <w:szCs w:val="21"/>
        </w:rPr>
        <w:t>人落实工期的措施必须到位，二次及以上无法落实到位的，</w:t>
      </w:r>
      <w:r>
        <w:rPr>
          <w:rFonts w:ascii="宋体" w:hAnsi="宋体" w:hint="eastAsia"/>
          <w:kern w:val="0"/>
          <w:szCs w:val="21"/>
        </w:rPr>
        <w:t>采购</w:t>
      </w:r>
      <w:r>
        <w:rPr>
          <w:rFonts w:ascii="宋体" w:hAnsi="宋体"/>
          <w:kern w:val="0"/>
          <w:szCs w:val="21"/>
        </w:rPr>
        <w:t>人可以聘请第三方入场施工，相应费用按</w:t>
      </w:r>
      <w:r>
        <w:rPr>
          <w:rFonts w:ascii="宋体" w:hAnsi="宋体" w:hint="eastAsia"/>
          <w:kern w:val="0"/>
          <w:szCs w:val="21"/>
        </w:rPr>
        <w:t>采购</w:t>
      </w:r>
      <w:r>
        <w:rPr>
          <w:rFonts w:ascii="宋体" w:hAnsi="宋体"/>
          <w:kern w:val="0"/>
          <w:szCs w:val="21"/>
        </w:rPr>
        <w:t>人编制的标底计算，由</w:t>
      </w:r>
      <w:r>
        <w:rPr>
          <w:rFonts w:ascii="宋体" w:hAnsi="宋体" w:hint="eastAsia"/>
          <w:kern w:val="0"/>
          <w:szCs w:val="21"/>
        </w:rPr>
        <w:t>中标</w:t>
      </w:r>
      <w:r>
        <w:rPr>
          <w:rFonts w:ascii="宋体" w:hAnsi="宋体"/>
          <w:kern w:val="0"/>
          <w:szCs w:val="21"/>
        </w:rPr>
        <w:t xml:space="preserve">人承担；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8、</w:t>
      </w:r>
      <w:r>
        <w:rPr>
          <w:rFonts w:ascii="宋体" w:hAnsi="宋体" w:hint="eastAsia"/>
          <w:kern w:val="0"/>
          <w:szCs w:val="21"/>
        </w:rPr>
        <w:t>中标</w:t>
      </w:r>
      <w:r>
        <w:rPr>
          <w:rFonts w:ascii="宋体" w:hAnsi="宋体"/>
          <w:kern w:val="0"/>
          <w:szCs w:val="21"/>
        </w:rPr>
        <w:t xml:space="preserve">人对于监理签发的整改通知必须及时回复，逾期回复的按工期延误处理，按合同处罚。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 xml:space="preserve">9、本项目中标通知书签发后办理相关手续进行开工，监理签发开工令【50】天内完成竣工验收，否则将按照延期违约赔偿金0.5万元/日历天，最多不超过合同价的5％予以工期处罚。 </w:t>
      </w:r>
    </w:p>
    <w:p w:rsidR="007900F6">
      <w:pPr>
        <w:autoSpaceDE w:val="0"/>
        <w:autoSpaceDN w:val="0"/>
        <w:adjustRightInd w:val="0"/>
        <w:snapToGrid w:val="0"/>
        <w:spacing w:line="360" w:lineRule="auto"/>
        <w:ind w:firstLine="480" w:firstLineChars="200"/>
        <w:jc w:val="left"/>
        <w:rPr>
          <w:rFonts w:ascii="宋体" w:hAnsi="宋体"/>
          <w:kern w:val="0"/>
          <w:szCs w:val="21"/>
        </w:rPr>
      </w:pPr>
      <w:r>
        <w:rPr>
          <w:rFonts w:ascii="宋体" w:hAnsi="宋体"/>
          <w:kern w:val="0"/>
          <w:szCs w:val="21"/>
        </w:rPr>
        <w:t>10、本项目的材料样板，必须经设计、监理、</w:t>
      </w:r>
      <w:r>
        <w:rPr>
          <w:rFonts w:ascii="宋体" w:hAnsi="宋体" w:hint="eastAsia"/>
          <w:kern w:val="0"/>
          <w:szCs w:val="21"/>
        </w:rPr>
        <w:t>采购</w:t>
      </w:r>
      <w:r>
        <w:rPr>
          <w:rFonts w:ascii="宋体" w:hAnsi="宋体"/>
          <w:kern w:val="0"/>
          <w:szCs w:val="21"/>
        </w:rPr>
        <w:t>人及使用单位确认后才能大批量进场。该项目所有材料都必须根据设计技术参数及相关规范要求进行采购，按照相关规定进行监督送检或提供检测报告，确保为合格的环保材料；同时，必须委托第三方检测单位按照《国家室内空气质量标准》进行室内环境检测，在甲醛、苯、氨、氡、总挥发性有机化合物限量值合格的前提下，才能进行竣工验收。</w:t>
      </w:r>
      <w:r>
        <w:rPr>
          <w:rFonts w:ascii="宋体" w:hAnsi="宋体" w:hint="eastAsia"/>
          <w:kern w:val="0"/>
          <w:szCs w:val="21"/>
        </w:rPr>
        <w:t>中标</w:t>
      </w:r>
      <w:r>
        <w:rPr>
          <w:rFonts w:ascii="宋体" w:hAnsi="宋体"/>
          <w:kern w:val="0"/>
          <w:szCs w:val="21"/>
        </w:rPr>
        <w:t xml:space="preserve">人在报价时应充分考虑此风险。 </w:t>
      </w:r>
    </w:p>
    <w:p w:rsidR="007900F6">
      <w:pPr>
        <w:autoSpaceDE w:val="0"/>
        <w:autoSpaceDN w:val="0"/>
        <w:adjustRightInd w:val="0"/>
        <w:snapToGrid w:val="0"/>
        <w:spacing w:line="360" w:lineRule="auto"/>
        <w:ind w:firstLine="480" w:firstLineChars="200"/>
        <w:jc w:val="left"/>
        <w:rPr>
          <w:rFonts w:ascii="宋体" w:hAnsi="宋体"/>
          <w:kern w:val="0"/>
          <w:szCs w:val="21"/>
        </w:rPr>
      </w:pPr>
    </w:p>
    <w:p w:rsidR="007900F6">
      <w:pPr>
        <w:tabs>
          <w:tab w:val="left" w:pos="630"/>
          <w:tab w:val="left" w:pos="840"/>
        </w:tabs>
        <w:snapToGrid w:val="0"/>
        <w:spacing w:line="360" w:lineRule="auto"/>
        <w:contextualSpacing/>
        <w:rPr>
          <w:rFonts w:ascii="宋体" w:hAnsi="宋体"/>
          <w:b/>
          <w:color w:val="000000"/>
          <w:szCs w:val="21"/>
        </w:rPr>
      </w:pPr>
      <w:r>
        <w:rPr>
          <w:rFonts w:ascii="宋体" w:hAnsi="宋体" w:hint="eastAsia"/>
          <w:b/>
          <w:color w:val="000000"/>
          <w:szCs w:val="21"/>
        </w:rPr>
        <w:t>（三）</w:t>
      </w:r>
      <w:r>
        <w:rPr>
          <w:rFonts w:ascii="宋体" w:hAnsi="宋体"/>
          <w:b/>
          <w:color w:val="000000"/>
          <w:szCs w:val="21"/>
        </w:rPr>
        <w:t>环保与安全要求</w:t>
      </w:r>
    </w:p>
    <w:p w:rsidR="007900F6">
      <w:pPr>
        <w:tabs>
          <w:tab w:val="left" w:pos="630"/>
          <w:tab w:val="left" w:pos="840"/>
        </w:tabs>
        <w:snapToGrid w:val="0"/>
        <w:spacing w:line="360" w:lineRule="auto"/>
        <w:ind w:firstLine="720" w:firstLineChars="300"/>
        <w:contextualSpacing/>
        <w:rPr>
          <w:rFonts w:ascii="宋体" w:hAnsi="宋体"/>
          <w:kern w:val="0"/>
          <w:szCs w:val="21"/>
        </w:rPr>
      </w:pPr>
      <w:r>
        <w:rPr>
          <w:rFonts w:ascii="宋体" w:hAnsi="宋体"/>
          <w:kern w:val="0"/>
          <w:szCs w:val="21"/>
        </w:rPr>
        <w:t>所用的设备及材料需满足国家相关质量标准、安全标准、环保要求，线路铺设科学合理，无安全隐患，</w:t>
      </w:r>
      <w:r>
        <w:rPr>
          <w:rFonts w:ascii="宋体" w:hAnsi="宋体" w:hint="eastAsia"/>
          <w:kern w:val="0"/>
          <w:szCs w:val="21"/>
        </w:rPr>
        <w:t>中标</w:t>
      </w:r>
      <w:r>
        <w:rPr>
          <w:rFonts w:ascii="宋体" w:hAnsi="宋体"/>
          <w:kern w:val="0"/>
          <w:szCs w:val="21"/>
        </w:rPr>
        <w:t>人需先行查看采购人施工场地的实际环境并了解采购人的要求，并制作好施工方案图，并确保在施工过程中安全、文明施工，否则施工过程中出现的任何分歧及由此产生的任何后果由</w:t>
      </w:r>
      <w:r>
        <w:rPr>
          <w:rFonts w:ascii="宋体" w:hAnsi="宋体" w:hint="eastAsia"/>
          <w:kern w:val="0"/>
          <w:szCs w:val="21"/>
        </w:rPr>
        <w:t>中标</w:t>
      </w:r>
      <w:r>
        <w:rPr>
          <w:rFonts w:ascii="宋体" w:hAnsi="宋体"/>
          <w:kern w:val="0"/>
          <w:szCs w:val="21"/>
        </w:rPr>
        <w:t>人负责。整个履约过程中，非因采购人原因造成人身伤害或给他人造成人身、财产损害的，中标人按相应法律法规给予相应赔偿，采购人不承担任何责任。</w:t>
      </w:r>
    </w:p>
    <w:p w:rsidR="007900F6">
      <w:pPr>
        <w:tabs>
          <w:tab w:val="left" w:pos="630"/>
          <w:tab w:val="left" w:pos="840"/>
        </w:tabs>
        <w:snapToGrid w:val="0"/>
        <w:spacing w:line="360" w:lineRule="auto"/>
        <w:ind w:firstLine="720" w:firstLineChars="300"/>
        <w:contextualSpacing/>
        <w:rPr>
          <w:rFonts w:ascii="宋体" w:hAnsi="宋体"/>
          <w:b/>
          <w:color w:val="000000"/>
          <w:szCs w:val="21"/>
        </w:rPr>
      </w:pPr>
    </w:p>
    <w:p w:rsidR="007900F6">
      <w:pPr>
        <w:snapToGrid w:val="0"/>
        <w:spacing w:line="360" w:lineRule="auto"/>
        <w:ind w:firstLine="34"/>
        <w:contextualSpacing/>
        <w:rPr>
          <w:rFonts w:ascii="宋体" w:hAnsi="宋体"/>
          <w:b/>
          <w:bCs/>
          <w:color w:val="000000"/>
          <w:szCs w:val="21"/>
        </w:rPr>
      </w:pPr>
      <w:r>
        <w:rPr>
          <w:rFonts w:ascii="宋体" w:hAnsi="宋体" w:hint="eastAsia"/>
          <w:b/>
          <w:bCs/>
          <w:color w:val="000000"/>
          <w:szCs w:val="21"/>
        </w:rPr>
        <w:t>四、商务要求</w:t>
      </w:r>
    </w:p>
    <w:p w:rsidR="007900F6">
      <w:pPr>
        <w:widowControl/>
        <w:snapToGrid w:val="0"/>
        <w:spacing w:line="360" w:lineRule="auto"/>
        <w:jc w:val="left"/>
        <w:rPr>
          <w:rFonts w:ascii="宋体" w:hAnsi="宋体"/>
          <w:color w:val="000000"/>
          <w:szCs w:val="21"/>
        </w:rPr>
      </w:pPr>
      <w:r>
        <w:rPr>
          <w:rFonts w:ascii="宋体" w:hAnsi="宋体" w:hint="eastAsia"/>
          <w:color w:val="000000"/>
          <w:szCs w:val="21"/>
        </w:rPr>
        <w:t>注：带“★”号的条款为实质性条款，任何一条负偏离将被视为未实质性满足招标文件要求作投标无效处理。</w:t>
      </w:r>
    </w:p>
    <w:p w:rsidR="007900F6">
      <w:pPr>
        <w:tabs>
          <w:tab w:val="left" w:pos="5289"/>
        </w:tabs>
        <w:snapToGrid w:val="0"/>
        <w:spacing w:line="360" w:lineRule="auto"/>
        <w:rPr>
          <w:rFonts w:ascii="宋体" w:hAnsi="宋体"/>
          <w:bCs/>
          <w:szCs w:val="21"/>
        </w:rPr>
      </w:pPr>
      <w:r>
        <w:rPr>
          <w:rFonts w:ascii="宋体" w:hAnsi="宋体"/>
          <w:bCs/>
          <w:szCs w:val="21"/>
        </w:rPr>
        <w:t>1、</w:t>
      </w:r>
      <w:r>
        <w:rPr>
          <w:rFonts w:ascii="宋体" w:hAnsi="宋体" w:cs="Segoe UI Symbol"/>
          <w:szCs w:val="21"/>
        </w:rPr>
        <w:t>★</w:t>
      </w:r>
      <w:r>
        <w:rPr>
          <w:rFonts w:ascii="宋体" w:hAnsi="宋体"/>
          <w:bCs/>
          <w:szCs w:val="21"/>
        </w:rPr>
        <w:t>项目工期要求:</w:t>
      </w:r>
    </w:p>
    <w:p w:rsidR="007900F6">
      <w:pPr>
        <w:tabs>
          <w:tab w:val="left" w:pos="5289"/>
        </w:tabs>
        <w:snapToGrid w:val="0"/>
        <w:spacing w:line="360" w:lineRule="auto"/>
        <w:ind w:firstLine="240" w:firstLineChars="100"/>
        <w:rPr>
          <w:rFonts w:ascii="宋体" w:hAnsi="宋体"/>
          <w:bCs/>
          <w:szCs w:val="21"/>
        </w:rPr>
      </w:pPr>
      <w:r>
        <w:rPr>
          <w:rFonts w:ascii="宋体" w:hAnsi="宋体"/>
          <w:bCs/>
          <w:szCs w:val="21"/>
        </w:rPr>
        <w:t>（1）计划开工日期：合同签订后3个工作日内（具体开工时间以监理单位发布的开工令为准）。</w:t>
      </w:r>
    </w:p>
    <w:p w:rsidR="007900F6">
      <w:pPr>
        <w:tabs>
          <w:tab w:val="left" w:pos="5289"/>
        </w:tabs>
        <w:snapToGrid w:val="0"/>
        <w:spacing w:line="360" w:lineRule="auto"/>
        <w:ind w:firstLine="240" w:firstLineChars="100"/>
        <w:rPr>
          <w:rFonts w:ascii="宋体" w:hAnsi="宋体"/>
          <w:bCs/>
          <w:szCs w:val="21"/>
        </w:rPr>
      </w:pPr>
      <w:r>
        <w:rPr>
          <w:rFonts w:ascii="宋体" w:hAnsi="宋体"/>
          <w:bCs/>
          <w:szCs w:val="21"/>
        </w:rPr>
        <w:t>（2）项目工期：50个日历日</w:t>
      </w:r>
      <w:r>
        <w:rPr>
          <w:rFonts w:ascii="宋体" w:hAnsi="宋体" w:hint="eastAsia"/>
          <w:kern w:val="0"/>
          <w:szCs w:val="21"/>
        </w:rPr>
        <w:t>（如因疫情原因要求停止施工，项目工期顺延；工作日办公时间不能噪音施工</w:t>
      </w:r>
      <w:r>
        <w:rPr>
          <w:rFonts w:ascii="宋体" w:hAnsi="宋体" w:hint="eastAsia"/>
          <w:color w:val="FF0000"/>
          <w:kern w:val="0"/>
          <w:szCs w:val="21"/>
        </w:rPr>
        <w:t>）</w:t>
      </w:r>
      <w:r>
        <w:rPr>
          <w:rFonts w:ascii="宋体" w:hAnsi="宋体"/>
          <w:bCs/>
          <w:szCs w:val="21"/>
        </w:rPr>
        <w:t>。</w:t>
      </w:r>
    </w:p>
    <w:p w:rsidR="007900F6">
      <w:pPr>
        <w:tabs>
          <w:tab w:val="left" w:pos="5289"/>
        </w:tabs>
        <w:snapToGrid w:val="0"/>
        <w:spacing w:line="360" w:lineRule="auto"/>
        <w:ind w:left="840" w:leftChars="350"/>
        <w:rPr>
          <w:rFonts w:ascii="宋体" w:hAnsi="宋体"/>
          <w:color w:val="000000"/>
          <w:szCs w:val="21"/>
        </w:rPr>
      </w:pPr>
      <w:r>
        <w:rPr>
          <w:rFonts w:ascii="宋体" w:hAnsi="宋体"/>
          <w:color w:val="000000"/>
          <w:szCs w:val="21"/>
        </w:rPr>
        <w:t>本项目规定的完工期限是指本项目约定工程承包内容全部完工并验收，已充分考虑下雨、台风、停水、停电、节假日等因素影响。</w:t>
      </w:r>
    </w:p>
    <w:p w:rsidR="007900F6">
      <w:pPr>
        <w:tabs>
          <w:tab w:val="left" w:pos="5289"/>
        </w:tabs>
        <w:snapToGrid w:val="0"/>
        <w:spacing w:line="360" w:lineRule="auto"/>
        <w:rPr>
          <w:rFonts w:ascii="宋体" w:hAnsi="宋体"/>
          <w:bCs/>
          <w:kern w:val="0"/>
          <w:szCs w:val="21"/>
        </w:rPr>
      </w:pPr>
      <w:r>
        <w:rPr>
          <w:rFonts w:ascii="宋体" w:hAnsi="宋体"/>
          <w:bCs/>
          <w:szCs w:val="21"/>
        </w:rPr>
        <w:t>2、</w:t>
      </w:r>
      <w:r>
        <w:rPr>
          <w:rFonts w:ascii="宋体" w:hAnsi="宋体" w:cs="Segoe UI Symbol"/>
          <w:szCs w:val="21"/>
        </w:rPr>
        <w:t>★</w:t>
      </w:r>
      <w:r>
        <w:rPr>
          <w:rFonts w:ascii="宋体" w:hAnsi="宋体"/>
          <w:bCs/>
          <w:szCs w:val="21"/>
        </w:rPr>
        <w:t>预算金额：本</w:t>
      </w:r>
      <w:r>
        <w:rPr>
          <w:rFonts w:ascii="宋体" w:hAnsi="宋体"/>
          <w:bCs/>
          <w:kern w:val="0"/>
          <w:szCs w:val="21"/>
        </w:rPr>
        <w:t>项目预算人民币</w:t>
      </w:r>
      <w:r>
        <w:rPr>
          <w:rFonts w:ascii="宋体" w:hAnsi="宋体" w:hint="eastAsia"/>
          <w:bCs/>
          <w:kern w:val="0"/>
          <w:szCs w:val="21"/>
          <w:u w:val="single"/>
        </w:rPr>
        <w:t>贰</w:t>
      </w:r>
      <w:r>
        <w:rPr>
          <w:rFonts w:ascii="宋体" w:hAnsi="宋体"/>
          <w:kern w:val="0"/>
          <w:szCs w:val="21"/>
          <w:u w:val="single"/>
        </w:rPr>
        <w:t>佰</w:t>
      </w:r>
      <w:r>
        <w:rPr>
          <w:rFonts w:ascii="宋体" w:hAnsi="宋体" w:hint="eastAsia"/>
          <w:kern w:val="0"/>
          <w:szCs w:val="21"/>
          <w:u w:val="single"/>
        </w:rPr>
        <w:t>叁拾</w:t>
      </w:r>
      <w:r>
        <w:rPr>
          <w:rFonts w:ascii="宋体" w:hAnsi="宋体"/>
          <w:kern w:val="0"/>
          <w:szCs w:val="21"/>
          <w:u w:val="single"/>
        </w:rPr>
        <w:t>万元整（¥2,300,000.00）</w:t>
      </w:r>
      <w:r>
        <w:rPr>
          <w:rFonts w:ascii="宋体" w:hAnsi="宋体"/>
          <w:bCs/>
          <w:kern w:val="0"/>
          <w:szCs w:val="21"/>
        </w:rPr>
        <w:t>。投标总报价不能超过投标报价上限，否则作无效投标处理。</w:t>
      </w:r>
    </w:p>
    <w:p w:rsidR="007900F6">
      <w:pPr>
        <w:tabs>
          <w:tab w:val="left" w:pos="5289"/>
        </w:tabs>
        <w:snapToGrid w:val="0"/>
        <w:spacing w:line="360" w:lineRule="auto"/>
        <w:rPr>
          <w:rFonts w:ascii="宋体" w:hAnsi="宋体"/>
          <w:bCs/>
          <w:szCs w:val="21"/>
        </w:rPr>
      </w:pPr>
      <w:r>
        <w:rPr>
          <w:rFonts w:ascii="宋体" w:hAnsi="宋体"/>
          <w:bCs/>
          <w:szCs w:val="21"/>
        </w:rPr>
        <w:t>3、</w:t>
      </w:r>
      <w:r>
        <w:rPr>
          <w:rFonts w:ascii="宋体" w:hAnsi="宋体" w:cs="Segoe UI Symbol"/>
          <w:szCs w:val="21"/>
        </w:rPr>
        <w:t>★</w:t>
      </w:r>
      <w:r>
        <w:rPr>
          <w:rFonts w:ascii="宋体" w:hAnsi="宋体"/>
          <w:bCs/>
          <w:szCs w:val="21"/>
        </w:rPr>
        <w:t>项目验收程序、期限及标准：</w:t>
      </w:r>
    </w:p>
    <w:p w:rsidR="007900F6">
      <w:pPr>
        <w:snapToGrid w:val="0"/>
        <w:spacing w:line="360" w:lineRule="auto"/>
        <w:ind w:firstLine="240" w:firstLineChars="100"/>
        <w:rPr>
          <w:rFonts w:ascii="宋体" w:hAnsi="宋体"/>
          <w:bCs/>
          <w:szCs w:val="21"/>
        </w:rPr>
      </w:pPr>
      <w:r>
        <w:rPr>
          <w:rFonts w:ascii="宋体" w:hAnsi="宋体"/>
          <w:szCs w:val="21"/>
        </w:rPr>
        <w:t>（1）验收程序及期限：</w:t>
      </w:r>
      <w:r>
        <w:rPr>
          <w:rFonts w:ascii="宋体" w:hAnsi="宋体"/>
          <w:bCs/>
          <w:szCs w:val="21"/>
        </w:rPr>
        <w:t>按国家标准及相关行业技术规范验收。</w:t>
      </w:r>
      <w:r>
        <w:rPr>
          <w:rFonts w:ascii="宋体" w:hAnsi="宋体"/>
          <w:szCs w:val="21"/>
        </w:rPr>
        <w:t>工程经承建单位自检合格后，通知监理进行预验收，预验收合格后</w:t>
      </w:r>
      <w:r>
        <w:rPr>
          <w:rFonts w:ascii="宋体" w:hAnsi="宋体"/>
          <w:bCs/>
          <w:szCs w:val="21"/>
        </w:rPr>
        <w:t>7天内</w:t>
      </w:r>
      <w:r>
        <w:rPr>
          <w:rFonts w:ascii="宋体" w:hAnsi="宋体"/>
          <w:szCs w:val="21"/>
        </w:rPr>
        <w:t>由</w:t>
      </w:r>
      <w:r>
        <w:rPr>
          <w:rFonts w:ascii="宋体" w:hAnsi="宋体"/>
          <w:bCs/>
          <w:szCs w:val="21"/>
        </w:rPr>
        <w:t>中标人提出申请，按工程竣工程验收的有关规定，申请竣工验收。</w:t>
      </w:r>
    </w:p>
    <w:p w:rsidR="007900F6">
      <w:pPr>
        <w:snapToGrid w:val="0"/>
        <w:spacing w:line="360" w:lineRule="auto"/>
        <w:ind w:firstLine="240" w:firstLineChars="100"/>
        <w:rPr>
          <w:rFonts w:ascii="宋体" w:hAnsi="宋体"/>
          <w:bCs/>
          <w:szCs w:val="21"/>
        </w:rPr>
      </w:pPr>
      <w:r>
        <w:rPr>
          <w:rFonts w:ascii="宋体" w:hAnsi="宋体"/>
          <w:bCs/>
          <w:szCs w:val="21"/>
        </w:rPr>
        <w:t>（2）如果工程验收不合格，中标人须在规定期限内按整改意见进行整改，整改时间纳入工程的施工期内，整改完成达到验收标准后，重新提出工程竣工验收申请。</w:t>
      </w:r>
    </w:p>
    <w:p w:rsidR="007900F6">
      <w:pPr>
        <w:snapToGrid w:val="0"/>
        <w:spacing w:line="360" w:lineRule="auto"/>
        <w:ind w:firstLine="240" w:firstLineChars="100"/>
        <w:rPr>
          <w:rFonts w:ascii="宋体" w:hAnsi="宋体"/>
          <w:bCs/>
          <w:szCs w:val="21"/>
        </w:rPr>
      </w:pPr>
      <w:r>
        <w:rPr>
          <w:rFonts w:ascii="宋体" w:hAnsi="宋体"/>
          <w:bCs/>
          <w:szCs w:val="21"/>
        </w:rPr>
        <w:t>（3）工程竣工验收合格五个工作日内，中标人须提交工程竣工验收报告。工程竣工验收报告获批准后，办理工程移交、决算手续。</w:t>
      </w:r>
    </w:p>
    <w:p w:rsidR="007900F6">
      <w:pPr>
        <w:snapToGrid w:val="0"/>
        <w:spacing w:line="360" w:lineRule="auto"/>
        <w:ind w:firstLine="240" w:firstLineChars="100"/>
        <w:rPr>
          <w:rFonts w:ascii="宋体" w:hAnsi="宋体"/>
          <w:szCs w:val="21"/>
        </w:rPr>
      </w:pPr>
      <w:r>
        <w:rPr>
          <w:rFonts w:ascii="宋体" w:hAnsi="宋体"/>
          <w:szCs w:val="21"/>
        </w:rPr>
        <w:t>（4）验收标准：满足</w:t>
      </w:r>
      <w:r>
        <w:rPr>
          <w:rFonts w:ascii="宋体" w:hAnsi="宋体"/>
          <w:bCs/>
          <w:szCs w:val="21"/>
        </w:rPr>
        <w:t>国家、深圳市住建局</w:t>
      </w:r>
      <w:r>
        <w:rPr>
          <w:rFonts w:ascii="宋体" w:hAnsi="宋体"/>
          <w:szCs w:val="21"/>
        </w:rPr>
        <w:t>相关国家规范和行业规范要求。</w:t>
      </w:r>
    </w:p>
    <w:p w:rsidR="007900F6">
      <w:pPr>
        <w:tabs>
          <w:tab w:val="left" w:pos="5289"/>
        </w:tabs>
        <w:snapToGrid w:val="0"/>
        <w:spacing w:line="360" w:lineRule="auto"/>
        <w:rPr>
          <w:rFonts w:ascii="宋体" w:hAnsi="宋体"/>
          <w:bCs/>
          <w:szCs w:val="21"/>
        </w:rPr>
      </w:pPr>
      <w:r>
        <w:rPr>
          <w:rFonts w:ascii="宋体" w:hAnsi="宋体"/>
          <w:bCs/>
          <w:szCs w:val="21"/>
        </w:rPr>
        <w:t>4、</w:t>
      </w:r>
      <w:r>
        <w:rPr>
          <w:rFonts w:ascii="宋体" w:hAnsi="宋体" w:cs="Segoe UI Symbol"/>
          <w:szCs w:val="21"/>
        </w:rPr>
        <w:t>★</w:t>
      </w:r>
      <w:r>
        <w:rPr>
          <w:rFonts w:ascii="宋体" w:hAnsi="宋体"/>
          <w:bCs/>
          <w:szCs w:val="21"/>
        </w:rPr>
        <w:t>保修要求：</w:t>
      </w:r>
    </w:p>
    <w:p w:rsidR="007900F6">
      <w:pPr>
        <w:tabs>
          <w:tab w:val="left" w:pos="5289"/>
        </w:tabs>
        <w:snapToGrid w:val="0"/>
        <w:spacing w:line="360" w:lineRule="auto"/>
        <w:ind w:firstLine="240" w:firstLineChars="100"/>
        <w:rPr>
          <w:rFonts w:ascii="宋体" w:hAnsi="宋体"/>
          <w:bCs/>
          <w:szCs w:val="21"/>
        </w:rPr>
      </w:pPr>
      <w:r>
        <w:rPr>
          <w:rFonts w:ascii="宋体" w:hAnsi="宋体"/>
          <w:bCs/>
          <w:szCs w:val="21"/>
        </w:rPr>
        <w:t>（1）保修期限：以工程竣工验收合格之日起计算，</w:t>
      </w:r>
      <w:r>
        <w:rPr>
          <w:rFonts w:ascii="宋体" w:hAnsi="宋体" w:hint="eastAsia"/>
          <w:bCs/>
          <w:szCs w:val="21"/>
        </w:rPr>
        <w:t>家具类产品保修期为</w:t>
      </w:r>
      <w:r>
        <w:rPr>
          <w:rFonts w:ascii="宋体" w:hAnsi="宋体"/>
          <w:bCs/>
          <w:szCs w:val="21"/>
        </w:rPr>
        <w:t xml:space="preserve"> 伍 年</w:t>
      </w:r>
      <w:r>
        <w:rPr>
          <w:rFonts w:ascii="宋体" w:hAnsi="宋体"/>
          <w:szCs w:val="21"/>
        </w:rPr>
        <w:t>（1825个日历日）</w:t>
      </w:r>
      <w:r>
        <w:rPr>
          <w:rFonts w:ascii="宋体" w:hAnsi="宋体"/>
          <w:bCs/>
          <w:szCs w:val="21"/>
        </w:rPr>
        <w:t>，设备类产品保修期为 贰 年</w:t>
      </w:r>
      <w:r>
        <w:rPr>
          <w:rFonts w:ascii="宋体" w:hAnsi="宋体"/>
          <w:szCs w:val="21"/>
        </w:rPr>
        <w:t>（730个日历日）</w:t>
      </w:r>
      <w:r>
        <w:rPr>
          <w:rFonts w:ascii="宋体" w:hAnsi="宋体" w:hint="eastAsia"/>
          <w:szCs w:val="21"/>
        </w:rPr>
        <w:t>。</w:t>
      </w:r>
    </w:p>
    <w:p w:rsidR="007900F6">
      <w:pPr>
        <w:tabs>
          <w:tab w:val="left" w:pos="5289"/>
        </w:tabs>
        <w:snapToGrid w:val="0"/>
        <w:spacing w:line="360" w:lineRule="auto"/>
        <w:ind w:firstLine="240" w:firstLineChars="100"/>
        <w:rPr>
          <w:rFonts w:ascii="宋体" w:hAnsi="宋体"/>
          <w:bCs/>
          <w:szCs w:val="21"/>
        </w:rPr>
      </w:pPr>
      <w:r>
        <w:rPr>
          <w:rFonts w:ascii="宋体" w:hAnsi="宋体"/>
          <w:bCs/>
          <w:szCs w:val="21"/>
        </w:rPr>
        <w:t>（2）保修费用：结算总价款的5%，若发生的累积保修费超过截留的保修款总额，超过部分仍由中标人支付。</w:t>
      </w:r>
    </w:p>
    <w:p w:rsidR="007900F6">
      <w:pPr>
        <w:tabs>
          <w:tab w:val="left" w:pos="5289"/>
        </w:tabs>
        <w:snapToGrid w:val="0"/>
        <w:spacing w:line="360" w:lineRule="auto"/>
        <w:ind w:firstLine="240" w:firstLineChars="100"/>
        <w:rPr>
          <w:rFonts w:ascii="宋体" w:hAnsi="宋体"/>
          <w:bCs/>
          <w:szCs w:val="21"/>
        </w:rPr>
      </w:pPr>
      <w:r>
        <w:rPr>
          <w:rFonts w:ascii="宋体" w:hAnsi="宋体"/>
          <w:bCs/>
          <w:szCs w:val="21"/>
        </w:rPr>
        <w:t>（3）保修内容：合同条款（含补充合同条款）所包含的工程项目、设计变更、现场签证或文字约定、双方或多方会议纪要约定的全部内容；属中标人施工质量原因及验收后移交前中标人保管不力造成施工范围各部位、部件、整体或单体的损坏、脱落、变质、丢失、开裂等，均属于中标人保修责任范围。</w:t>
      </w:r>
    </w:p>
    <w:p w:rsidR="007900F6">
      <w:pPr>
        <w:snapToGrid w:val="0"/>
        <w:spacing w:line="360" w:lineRule="auto"/>
        <w:ind w:firstLine="240" w:firstLineChars="100"/>
        <w:rPr>
          <w:rFonts w:ascii="宋体" w:hAnsi="宋体"/>
          <w:bCs/>
          <w:szCs w:val="21"/>
        </w:rPr>
      </w:pPr>
      <w:r>
        <w:rPr>
          <w:rFonts w:ascii="宋体" w:hAnsi="宋体"/>
          <w:bCs/>
          <w:szCs w:val="21"/>
        </w:rPr>
        <w:t>（4）保修承诺：保修期间发生问题承诺4小时内响应，中标人应在接到采购人口头或书面通知后3天内派人进场修理，</w:t>
      </w:r>
      <w:r>
        <w:rPr>
          <w:rFonts w:ascii="宋体" w:hAnsi="宋体"/>
          <w:szCs w:val="21"/>
        </w:rPr>
        <w:t>发生质量问题，中标人要调查故障原因并修复直至满足最终验收指标和性能的要求，或者更换整个或部分有缺陷的材料。</w:t>
      </w:r>
      <w:r>
        <w:rPr>
          <w:rFonts w:ascii="宋体" w:hAnsi="宋体"/>
          <w:bCs/>
          <w:szCs w:val="21"/>
        </w:rPr>
        <w:t>若</w:t>
      </w:r>
      <w:r>
        <w:rPr>
          <w:rFonts w:ascii="宋体" w:hAnsi="宋体" w:hint="eastAsia"/>
          <w:bCs/>
          <w:szCs w:val="21"/>
        </w:rPr>
        <w:t>采购</w:t>
      </w:r>
      <w:r>
        <w:rPr>
          <w:rFonts w:ascii="宋体" w:hAnsi="宋体"/>
          <w:bCs/>
          <w:szCs w:val="21"/>
        </w:rPr>
        <w:t>人以电话和短信</w:t>
      </w:r>
      <w:r>
        <w:rPr>
          <w:rFonts w:ascii="宋体" w:hAnsi="宋体" w:hint="eastAsia"/>
          <w:bCs/>
          <w:szCs w:val="21"/>
        </w:rPr>
        <w:t>通知</w:t>
      </w:r>
      <w:r>
        <w:rPr>
          <w:rFonts w:ascii="宋体" w:hAnsi="宋体"/>
          <w:bCs/>
          <w:szCs w:val="21"/>
        </w:rPr>
        <w:t>中标人</w:t>
      </w:r>
      <w:r>
        <w:rPr>
          <w:rFonts w:ascii="宋体" w:hAnsi="宋体" w:hint="eastAsia"/>
          <w:bCs/>
          <w:szCs w:val="21"/>
        </w:rPr>
        <w:t>，中标人</w:t>
      </w:r>
      <w:r>
        <w:rPr>
          <w:rFonts w:ascii="宋体" w:hAnsi="宋体"/>
          <w:bCs/>
          <w:szCs w:val="21"/>
        </w:rPr>
        <w:t>并未</w:t>
      </w:r>
      <w:r>
        <w:rPr>
          <w:rFonts w:ascii="宋体" w:hAnsi="宋体" w:hint="eastAsia"/>
          <w:bCs/>
          <w:szCs w:val="21"/>
        </w:rPr>
        <w:t>对故障进行处理的。采购人有权</w:t>
      </w:r>
      <w:r>
        <w:rPr>
          <w:rFonts w:ascii="宋体" w:hAnsi="宋体"/>
          <w:bCs/>
          <w:szCs w:val="21"/>
        </w:rPr>
        <w:t>委托其他单位或人员</w:t>
      </w:r>
      <w:r>
        <w:rPr>
          <w:rFonts w:ascii="宋体" w:hAnsi="宋体" w:hint="eastAsia"/>
          <w:bCs/>
          <w:szCs w:val="21"/>
        </w:rPr>
        <w:t>进行维修，维修所产生的费用</w:t>
      </w:r>
      <w:r>
        <w:rPr>
          <w:rFonts w:ascii="宋体" w:hAnsi="宋体"/>
          <w:bCs/>
          <w:szCs w:val="21"/>
        </w:rPr>
        <w:t>在</w:t>
      </w:r>
      <w:r>
        <w:rPr>
          <w:rFonts w:ascii="宋体" w:hAnsi="宋体" w:hint="eastAsia"/>
          <w:bCs/>
          <w:szCs w:val="21"/>
        </w:rPr>
        <w:t>中标人</w:t>
      </w:r>
      <w:r>
        <w:rPr>
          <w:rFonts w:ascii="宋体" w:hAnsi="宋体"/>
          <w:bCs/>
          <w:szCs w:val="21"/>
        </w:rPr>
        <w:t>保修费内扣除，不足部分由中标人支付。</w:t>
      </w:r>
    </w:p>
    <w:p w:rsidR="007900F6">
      <w:pPr>
        <w:snapToGrid w:val="0"/>
        <w:spacing w:line="360" w:lineRule="auto"/>
        <w:ind w:firstLine="240" w:firstLineChars="100"/>
        <w:rPr>
          <w:rFonts w:ascii="宋体" w:hAnsi="宋体"/>
          <w:szCs w:val="21"/>
        </w:rPr>
      </w:pPr>
      <w:r>
        <w:rPr>
          <w:rFonts w:ascii="宋体" w:hAnsi="宋体"/>
          <w:bCs/>
          <w:szCs w:val="21"/>
        </w:rPr>
        <w:t>5、服务要求：</w:t>
      </w:r>
      <w:r>
        <w:rPr>
          <w:rFonts w:ascii="宋体" w:hAnsi="宋体" w:hint="eastAsia"/>
          <w:bCs/>
          <w:szCs w:val="21"/>
        </w:rPr>
        <w:t>中标人</w:t>
      </w:r>
      <w:r>
        <w:rPr>
          <w:rFonts w:ascii="宋体" w:hAnsi="宋体"/>
          <w:bCs/>
          <w:szCs w:val="21"/>
        </w:rPr>
        <w:t>在施工过程中，保证工程有序进行。如遇不可抗逆的情形，中标人负责对施工现场进行维护，防止发生二次灾害。</w:t>
      </w:r>
    </w:p>
    <w:p w:rsidR="007900F6">
      <w:pPr>
        <w:tabs>
          <w:tab w:val="left" w:pos="5289"/>
        </w:tabs>
        <w:snapToGrid w:val="0"/>
        <w:spacing w:line="360" w:lineRule="auto"/>
        <w:rPr>
          <w:rFonts w:ascii="宋体" w:hAnsi="宋体"/>
          <w:bCs/>
          <w:szCs w:val="21"/>
        </w:rPr>
      </w:pPr>
      <w:r>
        <w:rPr>
          <w:rFonts w:ascii="宋体" w:hAnsi="宋体"/>
          <w:bCs/>
          <w:szCs w:val="21"/>
        </w:rPr>
        <w:t>6、</w:t>
      </w:r>
      <w:r>
        <w:rPr>
          <w:rFonts w:ascii="宋体" w:hAnsi="宋体" w:cs="Segoe UI Symbol"/>
          <w:szCs w:val="21"/>
        </w:rPr>
        <w:t>★</w:t>
      </w:r>
      <w:r>
        <w:rPr>
          <w:rFonts w:ascii="宋体" w:hAnsi="宋体"/>
          <w:bCs/>
          <w:szCs w:val="21"/>
        </w:rPr>
        <w:t>付款方式：</w:t>
      </w:r>
    </w:p>
    <w:p w:rsidR="007900F6">
      <w:pPr>
        <w:tabs>
          <w:tab w:val="left" w:pos="5289"/>
        </w:tabs>
        <w:snapToGrid w:val="0"/>
        <w:spacing w:line="360" w:lineRule="auto"/>
        <w:ind w:firstLine="240" w:firstLineChars="100"/>
        <w:rPr>
          <w:rFonts w:ascii="宋体" w:hAnsi="宋体"/>
          <w:bCs/>
          <w:szCs w:val="21"/>
        </w:rPr>
      </w:pPr>
      <w:r>
        <w:rPr>
          <w:rFonts w:ascii="宋体" w:hAnsi="宋体"/>
          <w:bCs/>
          <w:szCs w:val="21"/>
        </w:rPr>
        <w:t>（1）</w:t>
      </w:r>
      <w:r>
        <w:rPr>
          <w:rFonts w:ascii="宋体" w:hAnsi="宋体"/>
          <w:szCs w:val="21"/>
        </w:rPr>
        <w:t>付款原则：工程进度款根据市财政拨款情况、监督、监理情况分期付给。由于</w:t>
      </w:r>
      <w:r>
        <w:rPr>
          <w:rFonts w:ascii="宋体" w:hAnsi="宋体" w:hint="eastAsia"/>
          <w:szCs w:val="21"/>
        </w:rPr>
        <w:t>中标人</w:t>
      </w:r>
      <w:r>
        <w:rPr>
          <w:rFonts w:ascii="宋体" w:hAnsi="宋体"/>
          <w:szCs w:val="21"/>
        </w:rPr>
        <w:t>原因造成工程款不能支付，责任由</w:t>
      </w:r>
      <w:r>
        <w:rPr>
          <w:rFonts w:ascii="宋体" w:hAnsi="宋体" w:hint="eastAsia"/>
          <w:szCs w:val="21"/>
        </w:rPr>
        <w:t>中标人</w:t>
      </w:r>
      <w:r>
        <w:rPr>
          <w:rFonts w:ascii="宋体" w:hAnsi="宋体"/>
          <w:szCs w:val="21"/>
        </w:rPr>
        <w:t>承担。</w:t>
      </w:r>
    </w:p>
    <w:p w:rsidR="007900F6">
      <w:pPr>
        <w:tabs>
          <w:tab w:val="left" w:pos="420"/>
          <w:tab w:val="left" w:pos="5289"/>
        </w:tabs>
        <w:snapToGrid w:val="0"/>
        <w:spacing w:line="360" w:lineRule="auto"/>
        <w:ind w:firstLine="240" w:firstLineChars="100"/>
        <w:rPr>
          <w:rFonts w:ascii="宋体" w:hAnsi="宋体"/>
          <w:color w:val="FF0000"/>
          <w:szCs w:val="21"/>
        </w:rPr>
      </w:pPr>
      <w:r>
        <w:rPr>
          <w:rFonts w:ascii="宋体" w:hAnsi="宋体"/>
          <w:bCs/>
          <w:szCs w:val="21"/>
        </w:rPr>
        <w:t>（2）</w:t>
      </w:r>
      <w:r>
        <w:rPr>
          <w:rFonts w:ascii="宋体" w:hAnsi="宋体"/>
          <w:szCs w:val="21"/>
        </w:rPr>
        <w:t>付款方式：本工程开工预付款为合同价的</w:t>
      </w:r>
      <w:r>
        <w:rPr>
          <w:rFonts w:ascii="宋体" w:hAnsi="宋体"/>
          <w:szCs w:val="21"/>
          <w:u w:val="single"/>
        </w:rPr>
        <w:t xml:space="preserve"> 20 </w:t>
      </w:r>
      <w:r>
        <w:rPr>
          <w:rFonts w:ascii="宋体" w:hAnsi="宋体"/>
          <w:szCs w:val="21"/>
        </w:rPr>
        <w:t>% ，完成合同签订，中标人提供发票后</w:t>
      </w:r>
      <w:r>
        <w:rPr>
          <w:rFonts w:ascii="宋体" w:hAnsi="宋体"/>
          <w:color w:val="FF0000"/>
          <w:szCs w:val="21"/>
        </w:rPr>
        <w:t xml:space="preserve">30 </w:t>
      </w:r>
      <w:r>
        <w:rPr>
          <w:rFonts w:ascii="宋体" w:hAnsi="宋体"/>
          <w:szCs w:val="21"/>
        </w:rPr>
        <w:t>个工作日内，支付预付款；当工程形象进度完成80%时，由中标人提交实际已完工程形象进度款申请书一式两份，经监理及</w:t>
      </w:r>
      <w:r>
        <w:rPr>
          <w:rFonts w:ascii="宋体" w:hAnsi="宋体" w:hint="eastAsia"/>
          <w:szCs w:val="21"/>
        </w:rPr>
        <w:t>采购</w:t>
      </w:r>
      <w:r>
        <w:rPr>
          <w:rFonts w:ascii="宋体" w:hAnsi="宋体"/>
          <w:szCs w:val="21"/>
        </w:rPr>
        <w:t>人审核后支付至施工合同总造价的70%；工程验收合格并递交合格竣工资料，工程结算经造价咨询单位审核，并出具工程结算审核报告后 ，按合同结算总额支付至95%，于中标人提交付款申请后50个工作日内支付；余下工程结算总造价的5%作为工程缺陷质保金。质保期满如无质量问题，5%质保金无息支付给中标人。</w:t>
      </w:r>
    </w:p>
    <w:p w:rsidR="007900F6">
      <w:pPr>
        <w:tabs>
          <w:tab w:val="left" w:pos="5289"/>
        </w:tabs>
        <w:snapToGrid w:val="0"/>
        <w:spacing w:line="360" w:lineRule="auto"/>
        <w:rPr>
          <w:rFonts w:ascii="宋体" w:hAnsi="宋体"/>
          <w:szCs w:val="21"/>
        </w:rPr>
      </w:pPr>
      <w:r>
        <w:rPr>
          <w:rFonts w:ascii="宋体" w:hAnsi="宋体"/>
          <w:bCs/>
          <w:szCs w:val="21"/>
        </w:rPr>
        <w:t>7、</w:t>
      </w:r>
      <w:r>
        <w:rPr>
          <w:rFonts w:ascii="宋体" w:hAnsi="宋体"/>
          <w:szCs w:val="21"/>
        </w:rPr>
        <w:t>履约担保，本项目选用方式：</w:t>
      </w:r>
      <w:r>
        <w:rPr>
          <w:rFonts w:ascii="宋体" w:hAnsi="宋体"/>
          <w:szCs w:val="21"/>
          <w:u w:val="single"/>
        </w:rPr>
        <w:t xml:space="preserve"> （1） </w:t>
      </w:r>
      <w:r>
        <w:rPr>
          <w:rFonts w:ascii="宋体" w:hAnsi="宋体"/>
          <w:szCs w:val="21"/>
        </w:rPr>
        <w:t>。</w:t>
      </w:r>
    </w:p>
    <w:p w:rsidR="007900F6">
      <w:pPr>
        <w:tabs>
          <w:tab w:val="left" w:pos="5289"/>
        </w:tabs>
        <w:snapToGrid w:val="0"/>
        <w:spacing w:line="360" w:lineRule="auto"/>
        <w:ind w:firstLine="240" w:firstLineChars="100"/>
        <w:rPr>
          <w:rFonts w:ascii="宋体" w:hAnsi="宋体"/>
          <w:szCs w:val="21"/>
        </w:rPr>
      </w:pPr>
      <w:r>
        <w:rPr>
          <w:rFonts w:ascii="宋体" w:hAnsi="宋体"/>
          <w:szCs w:val="21"/>
        </w:rPr>
        <w:t>（1）</w:t>
      </w:r>
      <w:r>
        <w:rPr>
          <w:rFonts w:ascii="宋体" w:hAnsi="宋体"/>
          <w:bCs/>
          <w:szCs w:val="21"/>
        </w:rPr>
        <w:t>无需履约担保。</w:t>
      </w:r>
    </w:p>
    <w:p w:rsidR="007900F6">
      <w:pPr>
        <w:snapToGrid w:val="0"/>
        <w:spacing w:line="360" w:lineRule="auto"/>
        <w:ind w:firstLine="240" w:firstLineChars="100"/>
        <w:rPr>
          <w:rFonts w:ascii="宋体" w:hAnsi="宋体"/>
          <w:bCs/>
          <w:szCs w:val="21"/>
        </w:rPr>
      </w:pPr>
      <w:r>
        <w:rPr>
          <w:rFonts w:ascii="宋体" w:hAnsi="宋体"/>
          <w:szCs w:val="21"/>
        </w:rPr>
        <w:t>（2）</w:t>
      </w:r>
      <w:r>
        <w:rPr>
          <w:rFonts w:ascii="宋体" w:hAnsi="宋体"/>
          <w:bCs/>
          <w:szCs w:val="21"/>
        </w:rPr>
        <w:t>需提供履约担保，担保金额为合同金额的</w:t>
      </w:r>
      <w:r>
        <w:rPr>
          <w:rFonts w:ascii="宋体" w:hAnsi="宋体"/>
          <w:bCs/>
          <w:szCs w:val="21"/>
          <w:u w:val="single"/>
        </w:rPr>
        <w:t xml:space="preserve">  %</w:t>
      </w:r>
      <w:r>
        <w:rPr>
          <w:rFonts w:ascii="宋体" w:hAnsi="宋体"/>
          <w:bCs/>
          <w:szCs w:val="21"/>
        </w:rPr>
        <w:t>（不超过合同金额的10%）。</w:t>
      </w:r>
    </w:p>
    <w:p w:rsidR="007900F6">
      <w:pPr>
        <w:tabs>
          <w:tab w:val="left" w:pos="5289"/>
        </w:tabs>
        <w:snapToGrid w:val="0"/>
        <w:spacing w:line="360" w:lineRule="auto"/>
        <w:rPr>
          <w:rFonts w:ascii="宋体" w:hAnsi="宋体"/>
          <w:bCs/>
          <w:szCs w:val="21"/>
        </w:rPr>
      </w:pPr>
      <w:r>
        <w:rPr>
          <w:rFonts w:ascii="宋体" w:hAnsi="宋体"/>
          <w:bCs/>
          <w:szCs w:val="21"/>
        </w:rPr>
        <w:t>8、检测要求：</w:t>
      </w:r>
    </w:p>
    <w:p w:rsidR="007900F6">
      <w:pPr>
        <w:snapToGrid w:val="0"/>
        <w:spacing w:line="360" w:lineRule="auto"/>
        <w:ind w:firstLine="360" w:firstLineChars="150"/>
        <w:rPr>
          <w:rFonts w:ascii="宋体" w:hAnsi="宋体"/>
          <w:bCs/>
          <w:szCs w:val="21"/>
        </w:rPr>
      </w:pPr>
      <w:r>
        <w:rPr>
          <w:rFonts w:ascii="宋体" w:hAnsi="宋体"/>
          <w:bCs/>
          <w:szCs w:val="21"/>
        </w:rPr>
        <w:t>中标人对工程上使用的所有材料、设备都必须提供能满足国家与地方有关规定的证明材料，同时提供出厂合格证等相关材料，确保材料、设备都是合格产品。中标人应负责工程竣工验收需要的所有检测、试验工作，并支付相关费用。包括但不限于消防验收备案、室内环境污染检测、实验室验收、节能验收必须的检测、环保验收必须的检测等。</w:t>
      </w:r>
    </w:p>
    <w:p w:rsidR="007900F6">
      <w:pPr>
        <w:tabs>
          <w:tab w:val="left" w:pos="5289"/>
        </w:tabs>
        <w:snapToGrid w:val="0"/>
        <w:spacing w:line="360" w:lineRule="auto"/>
        <w:rPr>
          <w:rFonts w:ascii="宋体" w:hAnsi="宋体"/>
          <w:bCs/>
          <w:szCs w:val="21"/>
        </w:rPr>
      </w:pPr>
      <w:r>
        <w:rPr>
          <w:rFonts w:ascii="宋体" w:hAnsi="宋体"/>
          <w:bCs/>
          <w:szCs w:val="21"/>
        </w:rPr>
        <w:t>9、质量考核验收标准及违约金：</w:t>
      </w:r>
    </w:p>
    <w:p w:rsidR="007900F6">
      <w:pPr>
        <w:snapToGrid w:val="0"/>
        <w:spacing w:line="360" w:lineRule="auto"/>
        <w:ind w:firstLine="240" w:firstLineChars="100"/>
        <w:rPr>
          <w:rFonts w:ascii="宋体" w:hAnsi="宋体"/>
          <w:bCs/>
          <w:szCs w:val="21"/>
        </w:rPr>
      </w:pPr>
      <w:r>
        <w:rPr>
          <w:rFonts w:ascii="宋体" w:hAnsi="宋体"/>
          <w:bCs/>
          <w:szCs w:val="21"/>
        </w:rPr>
        <w:t>（1）施工单位质量考核验收标准及违约金</w:t>
      </w:r>
    </w:p>
    <w:p w:rsidR="007900F6">
      <w:pPr>
        <w:snapToGrid w:val="0"/>
        <w:spacing w:line="360" w:lineRule="auto"/>
        <w:ind w:firstLine="240" w:firstLineChars="100"/>
        <w:rPr>
          <w:rFonts w:ascii="宋体" w:hAnsi="宋体"/>
          <w:bCs/>
          <w:szCs w:val="21"/>
        </w:rPr>
      </w:pPr>
      <w:r>
        <w:rPr>
          <w:rFonts w:ascii="宋体" w:hAnsi="宋体"/>
          <w:bCs/>
          <w:szCs w:val="21"/>
        </w:rPr>
        <w:t xml:space="preserve">     1）质量考核验收标准：</w:t>
      </w:r>
    </w:p>
    <w:p w:rsidR="007900F6">
      <w:pPr>
        <w:tabs>
          <w:tab w:val="left" w:pos="5289"/>
        </w:tabs>
        <w:snapToGrid w:val="0"/>
        <w:spacing w:line="360" w:lineRule="auto"/>
        <w:ind w:left="1155" w:hanging="1320" w:hangingChars="550"/>
        <w:rPr>
          <w:rFonts w:ascii="宋体" w:hAnsi="宋体"/>
          <w:bCs/>
          <w:szCs w:val="21"/>
        </w:rPr>
      </w:pPr>
      <w:r>
        <w:rPr>
          <w:rFonts w:ascii="宋体" w:hAnsi="宋体"/>
          <w:bCs/>
          <w:szCs w:val="21"/>
        </w:rPr>
        <w:t xml:space="preserve">         a.贯彻ISO9000质量管理标准，严格按公司质量体系文件要求操作，加强对工序质量的监控，确保每一项工作、每一道工序始终处于受控状态，保证公司质量体系文件的有效运行；建立、健全各级技术责任制度，明确各班组、工种、单位工程施工队伍、项目部职能部门及项目管理班子各级技术管理工作的权限，使每位工程技术人员各司其职，以充分发挥每一位工程技术人员的工作积极性和创造性，为本工程建设发挥应有的骨干作用。</w:t>
      </w:r>
    </w:p>
    <w:p w:rsidR="007900F6">
      <w:pPr>
        <w:tabs>
          <w:tab w:val="left" w:pos="5289"/>
        </w:tabs>
        <w:snapToGrid w:val="0"/>
        <w:spacing w:line="360" w:lineRule="auto"/>
        <w:ind w:left="1320" w:hanging="240" w:leftChars="450" w:hangingChars="100"/>
        <w:rPr>
          <w:rFonts w:ascii="宋体" w:hAnsi="宋体"/>
          <w:bCs/>
          <w:szCs w:val="21"/>
        </w:rPr>
      </w:pPr>
      <w:r>
        <w:rPr>
          <w:rFonts w:ascii="宋体" w:hAnsi="宋体"/>
          <w:bCs/>
          <w:szCs w:val="21"/>
        </w:rPr>
        <w:t>b.在施工过程中，每道工序完后，首先由作业班组提出自检，再由项目经理或技术负责人组织有关施工人员、质检员、技术员进行互检和交接检；严格执行工程自检、互检、交接检的“三检”制度，做到上道工序为下道工序负责，下道工序为上道工序把关，上道工序不合格绝不进入下道工序施工，形成人人把好质量这道关口。隐蔽工程在做好“三检制”的基础上，须监理工程师审核验收并签证认可。</w:t>
      </w:r>
    </w:p>
    <w:p w:rsidR="007900F6">
      <w:pPr>
        <w:tabs>
          <w:tab w:val="left" w:pos="5289"/>
        </w:tabs>
        <w:snapToGrid w:val="0"/>
        <w:spacing w:line="360" w:lineRule="auto"/>
        <w:ind w:left="1320" w:hanging="240" w:leftChars="450" w:hangingChars="100"/>
        <w:rPr>
          <w:rFonts w:ascii="宋体" w:hAnsi="宋体"/>
          <w:bCs/>
          <w:szCs w:val="21"/>
        </w:rPr>
      </w:pPr>
      <w:r>
        <w:rPr>
          <w:rFonts w:ascii="宋体" w:hAnsi="宋体"/>
          <w:bCs/>
          <w:szCs w:val="21"/>
        </w:rPr>
        <w:t>c.整个工程施工要求严格按施工图、工程量清单和相关技术规范进行施工、验收，所有工程质量要求达到国家建设工程质量验收标准“合格”以上。</w:t>
      </w:r>
    </w:p>
    <w:p w:rsidR="007900F6">
      <w:pPr>
        <w:tabs>
          <w:tab w:val="left" w:pos="5289"/>
        </w:tabs>
        <w:snapToGrid w:val="0"/>
        <w:spacing w:line="360" w:lineRule="auto"/>
        <w:ind w:firstLine="840" w:firstLineChars="350"/>
        <w:rPr>
          <w:rFonts w:ascii="宋体" w:hAnsi="宋体"/>
          <w:bCs/>
          <w:szCs w:val="21"/>
        </w:rPr>
      </w:pPr>
      <w:r>
        <w:rPr>
          <w:rFonts w:ascii="宋体" w:hAnsi="宋体"/>
          <w:bCs/>
          <w:szCs w:val="21"/>
        </w:rPr>
        <w:t>2）违约金：</w:t>
      </w:r>
    </w:p>
    <w:p w:rsidR="007900F6">
      <w:pPr>
        <w:tabs>
          <w:tab w:val="left" w:pos="5289"/>
        </w:tabs>
        <w:snapToGrid w:val="0"/>
        <w:spacing w:line="360" w:lineRule="auto"/>
        <w:ind w:left="1320" w:hanging="240" w:leftChars="450" w:hangingChars="100"/>
        <w:rPr>
          <w:rFonts w:ascii="宋体" w:hAnsi="宋体"/>
          <w:bCs/>
          <w:szCs w:val="21"/>
        </w:rPr>
      </w:pPr>
      <w:r>
        <w:rPr>
          <w:rFonts w:ascii="宋体" w:hAnsi="宋体"/>
          <w:bCs/>
          <w:szCs w:val="21"/>
        </w:rPr>
        <w:t>a.每发现一处验收不合格，施工单位限期整改，承担全部返工费用，承担因返工造成工程延期的违约责任，并在履约评价上给予相应扣减分数。工程质量等级不合格的且返工重做仍不合格的，建设单位有权解除合同，中标需支付合同金额7%的违约金。如前述约定的相应违约金不足以弥补建设单位所受损失的，建设单位有权就不足部分向中标人进行追偿。</w:t>
      </w:r>
    </w:p>
    <w:p w:rsidR="007900F6">
      <w:pPr>
        <w:tabs>
          <w:tab w:val="left" w:pos="5289"/>
        </w:tabs>
        <w:snapToGrid w:val="0"/>
        <w:spacing w:line="360" w:lineRule="auto"/>
        <w:ind w:left="1320" w:hanging="240" w:leftChars="450" w:hangingChars="100"/>
        <w:rPr>
          <w:rFonts w:ascii="宋体" w:hAnsi="宋体"/>
          <w:bCs/>
          <w:szCs w:val="21"/>
        </w:rPr>
      </w:pPr>
      <w:r>
        <w:rPr>
          <w:rFonts w:ascii="宋体" w:hAnsi="宋体"/>
          <w:bCs/>
          <w:szCs w:val="21"/>
        </w:rPr>
        <w:t>b.如承建单位拒绝完成或不能按合同要求完成的，应属违约，建设单位有权单方解除合同，由承建单位承担合同总价20%的违约金并赔偿建设单位因此而造成的损失，或由建设单位安排其他单位完成，所发生的费用（另加15 %的管理费）从将支付或已支付给承建单位的工程款中扣回，影响工期的责任由承建单位负责。</w:t>
      </w:r>
    </w:p>
    <w:p w:rsidR="007900F6">
      <w:pPr>
        <w:tabs>
          <w:tab w:val="left" w:pos="5289"/>
        </w:tabs>
        <w:snapToGrid w:val="0"/>
        <w:spacing w:line="360" w:lineRule="auto"/>
        <w:ind w:left="1320" w:hanging="240" w:leftChars="450" w:hangingChars="100"/>
        <w:rPr>
          <w:rFonts w:ascii="宋体" w:hAnsi="宋体"/>
          <w:bCs/>
          <w:szCs w:val="21"/>
        </w:rPr>
      </w:pPr>
      <w:r>
        <w:rPr>
          <w:rFonts w:ascii="宋体" w:hAnsi="宋体"/>
          <w:bCs/>
          <w:szCs w:val="21"/>
        </w:rPr>
        <w:t>c.承建单位迟延工期的，除因建设单位原因或不能归责于承建单位的客观原因，否则将按照延期违约赔偿金0.5 万元/日历天，最多不超过合同价的 5％予以工期处罚；逾期10日，建设单位有权解除本合同，承建单位应承担相应的逾期违约金。</w:t>
      </w:r>
    </w:p>
    <w:p w:rsidR="007900F6">
      <w:pPr>
        <w:tabs>
          <w:tab w:val="left" w:pos="5289"/>
        </w:tabs>
        <w:snapToGrid w:val="0"/>
        <w:spacing w:line="360" w:lineRule="auto"/>
        <w:rPr>
          <w:rFonts w:ascii="宋体" w:hAnsi="宋体"/>
          <w:bCs/>
          <w:szCs w:val="21"/>
        </w:rPr>
      </w:pPr>
      <w:r>
        <w:rPr>
          <w:rFonts w:ascii="宋体" w:hAnsi="宋体"/>
          <w:bCs/>
          <w:szCs w:val="21"/>
        </w:rPr>
        <w:t>10、合同计价方式，本项目选用方式</w:t>
      </w:r>
      <w:r>
        <w:rPr>
          <w:rFonts w:ascii="宋体" w:hAnsi="宋体"/>
          <w:bCs/>
          <w:szCs w:val="21"/>
          <w:u w:val="single"/>
        </w:rPr>
        <w:t xml:space="preserve">  （1）  </w:t>
      </w:r>
      <w:r>
        <w:rPr>
          <w:rFonts w:ascii="宋体" w:hAnsi="宋体"/>
          <w:bCs/>
          <w:szCs w:val="21"/>
        </w:rPr>
        <w:t>。</w:t>
      </w:r>
    </w:p>
    <w:p w:rsidR="007900F6">
      <w:pPr>
        <w:snapToGrid w:val="0"/>
        <w:spacing w:line="360" w:lineRule="auto"/>
        <w:ind w:firstLine="240" w:firstLineChars="100"/>
        <w:rPr>
          <w:rFonts w:ascii="宋体" w:hAnsi="宋体"/>
          <w:bCs/>
          <w:szCs w:val="21"/>
        </w:rPr>
      </w:pPr>
      <w:r>
        <w:rPr>
          <w:rFonts w:ascii="宋体" w:hAnsi="宋体"/>
          <w:bCs/>
          <w:szCs w:val="21"/>
        </w:rPr>
        <w:t>（1）固定总价合同，工程结算时，结算不做调整。</w:t>
      </w:r>
    </w:p>
    <w:p w:rsidR="007900F6">
      <w:pPr>
        <w:tabs>
          <w:tab w:val="left" w:pos="5289"/>
        </w:tabs>
        <w:snapToGrid w:val="0"/>
        <w:spacing w:line="360" w:lineRule="auto"/>
        <w:ind w:firstLine="240" w:firstLineChars="100"/>
        <w:rPr>
          <w:rFonts w:ascii="宋体" w:hAnsi="宋体"/>
          <w:bCs/>
          <w:szCs w:val="21"/>
        </w:rPr>
      </w:pPr>
      <w:r>
        <w:rPr>
          <w:rFonts w:ascii="宋体" w:hAnsi="宋体"/>
          <w:bCs/>
          <w:szCs w:val="21"/>
        </w:rPr>
        <w:t>（2）固定单价合同，工程结算时，项目单价不做调整，按实际完成的工程量结算。</w:t>
      </w:r>
    </w:p>
    <w:p w:rsidR="007900F6">
      <w:pPr>
        <w:tabs>
          <w:tab w:val="left" w:pos="5289"/>
        </w:tabs>
        <w:snapToGrid w:val="0"/>
        <w:spacing w:line="360" w:lineRule="auto"/>
        <w:rPr>
          <w:rFonts w:ascii="宋体" w:hAnsi="宋体"/>
          <w:bCs/>
          <w:szCs w:val="21"/>
        </w:rPr>
      </w:pPr>
      <w:r>
        <w:rPr>
          <w:rFonts w:ascii="宋体" w:hAnsi="宋体"/>
          <w:bCs/>
          <w:szCs w:val="21"/>
        </w:rPr>
        <w:t>11、结算原则</w:t>
      </w:r>
    </w:p>
    <w:p w:rsidR="007900F6">
      <w:pPr>
        <w:tabs>
          <w:tab w:val="left" w:pos="5289"/>
        </w:tabs>
        <w:snapToGrid w:val="0"/>
        <w:spacing w:line="360" w:lineRule="auto"/>
        <w:ind w:firstLine="240" w:firstLineChars="100"/>
        <w:rPr>
          <w:rFonts w:ascii="宋体" w:hAnsi="宋体"/>
          <w:bCs/>
          <w:szCs w:val="21"/>
        </w:rPr>
      </w:pPr>
      <w:r>
        <w:rPr>
          <w:rFonts w:ascii="宋体" w:hAnsi="宋体"/>
          <w:bCs/>
          <w:szCs w:val="21"/>
        </w:rPr>
        <w:t>（1）本项目采用固定总价合同。总价为中标价，工程结算时，结算不做调整。投标人所投报的投标报价为图纸内容与工程量清单的总包干价格，对没有填写综合单价与合价的项目费用，应视为已包括在工程量清单的其他综合单价与合价之中。如有工程量清单未包含图纸内容的漏项，视同已包含在其他项目中，总价与单价不予调整。</w:t>
      </w:r>
    </w:p>
    <w:p w:rsidR="007900F6">
      <w:pPr>
        <w:tabs>
          <w:tab w:val="left" w:pos="5289"/>
        </w:tabs>
        <w:snapToGrid w:val="0"/>
        <w:spacing w:line="360" w:lineRule="auto"/>
        <w:ind w:firstLine="240" w:firstLineChars="100"/>
        <w:rPr>
          <w:rFonts w:ascii="宋体" w:hAnsi="宋体"/>
          <w:bCs/>
          <w:szCs w:val="21"/>
        </w:rPr>
      </w:pPr>
      <w:r>
        <w:rPr>
          <w:rFonts w:ascii="宋体" w:hAnsi="宋体"/>
          <w:bCs/>
          <w:szCs w:val="21"/>
        </w:rPr>
        <w:t>（2）</w:t>
      </w:r>
      <w:r>
        <w:rPr>
          <w:rFonts w:ascii="宋体" w:hAnsi="宋体"/>
          <w:szCs w:val="21"/>
        </w:rPr>
        <w:t>工程验收合格后，成交</w:t>
      </w:r>
      <w:r>
        <w:rPr>
          <w:rFonts w:ascii="宋体" w:hAnsi="宋体" w:hint="eastAsia"/>
          <w:szCs w:val="21"/>
        </w:rPr>
        <w:t>中标人</w:t>
      </w:r>
      <w:r>
        <w:rPr>
          <w:rFonts w:ascii="宋体" w:hAnsi="宋体"/>
          <w:szCs w:val="21"/>
        </w:rPr>
        <w:t>20个日历日内向采购人递送结算资料。如过期未递送结算资料，由此产生的后果由成交</w:t>
      </w:r>
      <w:r>
        <w:rPr>
          <w:rFonts w:ascii="宋体" w:hAnsi="宋体" w:hint="eastAsia"/>
          <w:szCs w:val="21"/>
        </w:rPr>
        <w:t>中标人</w:t>
      </w:r>
      <w:r>
        <w:rPr>
          <w:rFonts w:ascii="宋体" w:hAnsi="宋体"/>
          <w:szCs w:val="21"/>
        </w:rPr>
        <w:t>负责。</w:t>
      </w:r>
    </w:p>
    <w:p w:rsidR="007900F6">
      <w:pPr>
        <w:tabs>
          <w:tab w:val="left" w:pos="5289"/>
        </w:tabs>
        <w:snapToGrid w:val="0"/>
        <w:spacing w:line="360" w:lineRule="auto"/>
        <w:ind w:firstLine="240" w:firstLineChars="100"/>
        <w:rPr>
          <w:rFonts w:ascii="宋体" w:hAnsi="宋体"/>
          <w:bCs/>
          <w:szCs w:val="21"/>
        </w:rPr>
      </w:pPr>
      <w:r>
        <w:rPr>
          <w:rFonts w:ascii="宋体" w:hAnsi="宋体"/>
          <w:bCs/>
          <w:szCs w:val="21"/>
        </w:rPr>
        <w:t>（3）</w:t>
      </w:r>
      <w:r>
        <w:rPr>
          <w:rFonts w:ascii="宋体" w:hAnsi="宋体"/>
          <w:szCs w:val="21"/>
        </w:rPr>
        <w:t>工程的建设总造价严格按“投标价作为最高结算价”的原则来控制。</w:t>
      </w:r>
    </w:p>
    <w:p w:rsidR="007900F6">
      <w:pPr>
        <w:snapToGrid w:val="0"/>
        <w:spacing w:line="360" w:lineRule="auto"/>
        <w:ind w:firstLine="480" w:firstLineChars="200"/>
        <w:rPr>
          <w:rFonts w:ascii="宋体" w:hAnsi="宋体"/>
          <w:bCs/>
          <w:szCs w:val="21"/>
        </w:rPr>
      </w:pPr>
      <w:r>
        <w:rPr>
          <w:rFonts w:ascii="宋体" w:hAnsi="宋体"/>
          <w:bCs/>
          <w:szCs w:val="21"/>
        </w:rPr>
        <w:t>12、回避条款：为本项目提供规范编制或者管理、监理、检测等服务的投标</w:t>
      </w:r>
      <w:r>
        <w:rPr>
          <w:rFonts w:ascii="宋体" w:hAnsi="宋体" w:hint="eastAsia"/>
          <w:bCs/>
          <w:szCs w:val="21"/>
        </w:rPr>
        <w:t>人</w:t>
      </w:r>
      <w:r>
        <w:rPr>
          <w:rFonts w:ascii="宋体" w:hAnsi="宋体"/>
          <w:bCs/>
          <w:szCs w:val="21"/>
        </w:rPr>
        <w:t>需要回避。</w:t>
      </w:r>
    </w:p>
    <w:p w:rsidR="007900F6">
      <w:pPr>
        <w:widowControl/>
        <w:snapToGrid w:val="0"/>
        <w:spacing w:line="360" w:lineRule="auto"/>
        <w:jc w:val="left"/>
        <w:rPr>
          <w:rFonts w:ascii="宋体" w:hAnsi="宋体"/>
          <w:color w:val="000000"/>
          <w:kern w:val="0"/>
          <w:szCs w:val="21"/>
        </w:rPr>
      </w:pPr>
      <w:r>
        <w:rPr>
          <w:rFonts w:ascii="宋体" w:hAnsi="宋体"/>
          <w:color w:val="000000"/>
          <w:kern w:val="0"/>
          <w:szCs w:val="21"/>
        </w:rPr>
        <w:br w:type="page"/>
      </w:r>
    </w:p>
    <w:p w:rsidR="007900F6">
      <w:pPr>
        <w:snapToGrid w:val="0"/>
        <w:spacing w:line="360" w:lineRule="auto"/>
        <w:contextualSpacing/>
        <w:rPr>
          <w:rFonts w:ascii="宋体" w:hAnsi="宋体"/>
          <w:color w:val="000000"/>
          <w:kern w:val="0"/>
          <w:szCs w:val="21"/>
        </w:rPr>
      </w:pPr>
    </w:p>
    <w:p w:rsidR="007900F6">
      <w:pPr>
        <w:snapToGrid w:val="0"/>
        <w:spacing w:line="360" w:lineRule="auto"/>
        <w:contextualSpacing/>
        <w:rPr>
          <w:rFonts w:ascii="宋体" w:hAnsi="宋体"/>
          <w:b/>
          <w:bCs/>
          <w:color w:val="000000"/>
          <w:szCs w:val="21"/>
        </w:rPr>
      </w:pPr>
      <w:r>
        <w:rPr>
          <w:rFonts w:ascii="宋体" w:hAnsi="宋体" w:hint="eastAsia"/>
          <w:b/>
          <w:bCs/>
          <w:color w:val="000000"/>
          <w:szCs w:val="21"/>
        </w:rPr>
        <w:t>五、报价要求</w:t>
      </w:r>
    </w:p>
    <w:p w:rsidR="007900F6">
      <w:pPr>
        <w:snapToGrid w:val="0"/>
        <w:spacing w:line="360" w:lineRule="auto"/>
        <w:ind w:firstLine="480" w:firstLineChars="200"/>
        <w:rPr>
          <w:rFonts w:ascii="宋体" w:hAnsi="宋体"/>
          <w:bCs/>
          <w:szCs w:val="21"/>
        </w:rPr>
      </w:pPr>
      <w:r>
        <w:rPr>
          <w:rFonts w:ascii="宋体" w:hAnsi="宋体"/>
          <w:bCs/>
          <w:szCs w:val="21"/>
        </w:rPr>
        <w:t>1、本工程工程量清单的投标单价按综合单价方式进行报价。</w:t>
      </w:r>
    </w:p>
    <w:p w:rsidR="007900F6">
      <w:pPr>
        <w:snapToGrid w:val="0"/>
        <w:spacing w:line="360" w:lineRule="auto"/>
        <w:ind w:firstLine="480" w:firstLineChars="200"/>
        <w:rPr>
          <w:rFonts w:ascii="宋体" w:hAnsi="宋体"/>
          <w:bCs/>
          <w:szCs w:val="21"/>
        </w:rPr>
      </w:pPr>
      <w:r>
        <w:rPr>
          <w:rFonts w:ascii="宋体" w:hAnsi="宋体"/>
          <w:bCs/>
          <w:szCs w:val="21"/>
        </w:rPr>
        <w:t>2、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900F6">
      <w:pPr>
        <w:snapToGrid w:val="0"/>
        <w:spacing w:line="360" w:lineRule="auto"/>
        <w:ind w:firstLine="480" w:firstLineChars="200"/>
        <w:rPr>
          <w:rFonts w:ascii="宋体" w:hAnsi="宋体"/>
          <w:bCs/>
          <w:szCs w:val="21"/>
        </w:rPr>
      </w:pPr>
      <w:r>
        <w:rPr>
          <w:rFonts w:ascii="宋体" w:hAnsi="宋体"/>
          <w:bCs/>
          <w:szCs w:val="21"/>
        </w:rPr>
        <w:t>3、</w:t>
      </w:r>
      <w:r>
        <w:rPr>
          <w:rFonts w:ascii="宋体" w:hAnsi="宋体"/>
          <w:szCs w:val="21"/>
        </w:rPr>
        <w:t>投标人的投标总报价不得超过财政预算限额；</w:t>
      </w:r>
    </w:p>
    <w:p w:rsidR="007900F6">
      <w:pPr>
        <w:snapToGrid w:val="0"/>
        <w:spacing w:line="360" w:lineRule="auto"/>
        <w:ind w:firstLine="480" w:firstLineChars="200"/>
        <w:rPr>
          <w:rFonts w:ascii="宋体" w:hAnsi="宋体"/>
          <w:bCs/>
          <w:szCs w:val="21"/>
        </w:rPr>
      </w:pPr>
      <w:r>
        <w:rPr>
          <w:rFonts w:ascii="宋体" w:hAnsi="宋体"/>
          <w:bCs/>
          <w:szCs w:val="21"/>
        </w:rPr>
        <w:t>4、投标人的投标报价，应是本项目招标范围和招标文件及合同条款上所列的各项内容中所述的全部，不得以任何理由予以重复，并以投标人在工程量清单中提出的综合单价或总价为依据。</w:t>
      </w:r>
    </w:p>
    <w:p w:rsidR="007900F6">
      <w:pPr>
        <w:snapToGrid w:val="0"/>
        <w:spacing w:line="360" w:lineRule="auto"/>
        <w:ind w:firstLine="480" w:firstLineChars="200"/>
        <w:rPr>
          <w:rFonts w:ascii="宋体" w:hAnsi="宋体"/>
          <w:bCs/>
          <w:szCs w:val="21"/>
        </w:rPr>
      </w:pPr>
      <w:r>
        <w:rPr>
          <w:rFonts w:ascii="宋体" w:hAnsi="宋体"/>
          <w:bCs/>
          <w:szCs w:val="21"/>
        </w:rPr>
        <w:t>5、除非政府集中采购机构通过修改招标文件予以更正，否则，投标人应毫无例外地按工程量清单中列出的工程项目和数量填报综合单价和合价。投标人未填综合单价或合价的项目，在实施后，将不得以支付，并视作该项费用已包括在其它有价款的综合单价或合价内。</w:t>
      </w:r>
    </w:p>
    <w:p w:rsidR="007900F6">
      <w:pPr>
        <w:snapToGrid w:val="0"/>
        <w:spacing w:line="360" w:lineRule="auto"/>
        <w:ind w:firstLine="480" w:firstLineChars="200"/>
        <w:rPr>
          <w:rFonts w:ascii="宋体" w:hAnsi="宋体"/>
          <w:bCs/>
          <w:szCs w:val="21"/>
        </w:rPr>
      </w:pPr>
      <w:r>
        <w:rPr>
          <w:rFonts w:ascii="宋体" w:hAnsi="宋体"/>
          <w:bCs/>
          <w:szCs w:val="21"/>
        </w:rPr>
        <w:t>6、投标人应先到工地踏勘以充分了解工地的位置、情况、道路、储存空间、装卸限制及任何其它足以影响投标报价的情况，任何因忽视或误解工地情况而导致的索赔或工期延长申请将不获批准。</w:t>
      </w:r>
    </w:p>
    <w:p w:rsidR="007900F6">
      <w:pPr>
        <w:snapToGrid w:val="0"/>
        <w:spacing w:line="360" w:lineRule="auto"/>
        <w:ind w:firstLine="480" w:firstLineChars="200"/>
        <w:rPr>
          <w:rFonts w:ascii="宋体" w:hAnsi="宋体"/>
          <w:bCs/>
          <w:szCs w:val="21"/>
        </w:rPr>
      </w:pPr>
      <w:r>
        <w:rPr>
          <w:rFonts w:ascii="宋体" w:hAnsi="宋体"/>
          <w:bCs/>
          <w:szCs w:val="21"/>
        </w:rPr>
        <w:t>7、投标人不得期望通过索赔、签证等方式获取补偿，否则，除可能遭到拒绝外，还可能将被作为不良行为记录在案，并可能影响其以后参加政府采购的项目投标。各投标人在投标报价时，应充分考虑投标报价的风险。</w:t>
      </w:r>
    </w:p>
    <w:p w:rsidR="007900F6">
      <w:pPr>
        <w:snapToGrid w:val="0"/>
        <w:spacing w:line="360" w:lineRule="auto"/>
        <w:ind w:firstLine="480" w:firstLineChars="200"/>
        <w:contextualSpacing/>
        <w:rPr>
          <w:rFonts w:ascii="宋体" w:hAnsi="宋体"/>
          <w:bCs/>
          <w:szCs w:val="21"/>
        </w:rPr>
      </w:pPr>
      <w:r>
        <w:rPr>
          <w:rFonts w:ascii="宋体" w:hAnsi="宋体"/>
          <w:bCs/>
          <w:szCs w:val="21"/>
        </w:rPr>
        <w:t>8、投标人投标报价总额一经中标后，即作为中标单位与采购单位签订该项目合同的总价。合同方式见第一章相关条款。</w:t>
      </w:r>
    </w:p>
    <w:p w:rsidR="007900F6">
      <w:pPr>
        <w:snapToGrid w:val="0"/>
        <w:spacing w:line="360" w:lineRule="auto"/>
        <w:ind w:firstLine="480" w:firstLineChars="200"/>
        <w:contextualSpacing/>
        <w:rPr>
          <w:rFonts w:ascii="宋体" w:hAnsi="宋体"/>
          <w:szCs w:val="21"/>
        </w:rPr>
      </w:pPr>
      <w:r>
        <w:rPr>
          <w:rFonts w:ascii="宋体" w:hAnsi="宋体"/>
          <w:szCs w:val="21"/>
        </w:rPr>
        <w:t>（1）如本项目采用固定总价合同。投标人所投报的投标报价为图纸内容与工程量清单的总包干价格，对没有填写综合单价与合价的项目费用，应视为已包括在工程量清单的其他综合单价与合价之中。如有工程量清单未包含图纸内容的漏项，视同已包含在其他项目中，总价与单价不予调整，</w:t>
      </w:r>
      <w:r>
        <w:rPr>
          <w:rFonts w:ascii="宋体" w:hAnsi="宋体" w:hint="eastAsia"/>
          <w:szCs w:val="21"/>
        </w:rPr>
        <w:t>采购</w:t>
      </w:r>
      <w:r>
        <w:rPr>
          <w:rFonts w:ascii="宋体" w:hAnsi="宋体"/>
          <w:szCs w:val="21"/>
        </w:rPr>
        <w:t>人不对工程量的计算错误负责。所以要求投标人根据</w:t>
      </w:r>
      <w:r>
        <w:rPr>
          <w:rFonts w:ascii="宋体" w:hAnsi="宋体" w:hint="eastAsia"/>
          <w:szCs w:val="21"/>
        </w:rPr>
        <w:t>采购</w:t>
      </w:r>
      <w:r>
        <w:rPr>
          <w:rFonts w:ascii="宋体" w:hAnsi="宋体"/>
          <w:szCs w:val="21"/>
        </w:rPr>
        <w:t>人提供的图纸、工程技术规范以及招标文件中其他相关内容对</w:t>
      </w:r>
      <w:r>
        <w:rPr>
          <w:rFonts w:ascii="宋体" w:hAnsi="宋体" w:hint="eastAsia"/>
          <w:szCs w:val="21"/>
        </w:rPr>
        <w:t>采购</w:t>
      </w:r>
      <w:r>
        <w:rPr>
          <w:rFonts w:ascii="宋体" w:hAnsi="宋体"/>
          <w:szCs w:val="21"/>
        </w:rPr>
        <w:t>人提供的工程量清单进行认真细致的复核，这种复核包括但不限于对</w:t>
      </w:r>
      <w:r>
        <w:rPr>
          <w:rFonts w:ascii="宋体" w:hAnsi="宋体" w:hint="eastAsia"/>
          <w:szCs w:val="21"/>
        </w:rPr>
        <w:t>采购</w:t>
      </w:r>
      <w:r>
        <w:rPr>
          <w:rFonts w:ascii="宋体" w:hAnsi="宋体"/>
          <w:szCs w:val="21"/>
        </w:rPr>
        <w:t>人提供的工程量清单中的序号、项目编码、清单工作子目特征描述、计量单位的准确性和完整性以及可能存在的任何书写、打印错误进行检查和复核（投标人可在质疑文件中提出，供</w:t>
      </w:r>
      <w:r>
        <w:rPr>
          <w:rFonts w:ascii="宋体" w:hAnsi="宋体" w:hint="eastAsia"/>
          <w:szCs w:val="21"/>
        </w:rPr>
        <w:t>采购</w:t>
      </w:r>
      <w:r>
        <w:rPr>
          <w:rFonts w:ascii="宋体" w:hAnsi="宋体"/>
          <w:szCs w:val="21"/>
        </w:rPr>
        <w:t>人修正）。若投标人未对工程量清单提出质疑，则表明接受此清单，并确定为工程的结算依据，一切计算错误、估算错误和漏项的问题，一律由投标人承担，投标人不得因此而提出质疑和索赔。</w:t>
      </w:r>
    </w:p>
    <w:p w:rsidR="007900F6">
      <w:pPr>
        <w:snapToGrid w:val="0"/>
        <w:spacing w:line="360" w:lineRule="auto"/>
        <w:ind w:firstLine="480" w:firstLineChars="200"/>
        <w:contextualSpacing/>
        <w:rPr>
          <w:rFonts w:ascii="宋体" w:hAnsi="宋体"/>
          <w:bCs/>
          <w:szCs w:val="21"/>
        </w:rPr>
      </w:pPr>
      <w:r>
        <w:rPr>
          <w:rFonts w:ascii="宋体" w:hAnsi="宋体"/>
          <w:bCs/>
          <w:szCs w:val="21"/>
        </w:rPr>
        <w:t>（2）如本项目采用固定单价合同。工程量清单所列的工程量系采购单位的估算，是临时的，作为投标报价的共同基础，不应被理解为是对采购单位要求工作内容的全部定义，也不能作为投标人应完成的实际工程量。承包人必须按图纸及有关标准、规范的要求进行施工，实际完成的工程量与分部分项工程量清单中的差异结算时可作调整。凡超出图纸范围又未经变更审批程序的内容，都不予计量；未施工的项目，经监理工程师核实后予以扣减。</w:t>
      </w:r>
    </w:p>
    <w:p w:rsidR="007900F6">
      <w:pPr>
        <w:snapToGrid w:val="0"/>
        <w:spacing w:line="360" w:lineRule="auto"/>
        <w:ind w:firstLine="480" w:firstLineChars="200"/>
        <w:contextualSpacing/>
        <w:rPr>
          <w:rFonts w:ascii="宋体" w:hAnsi="宋体"/>
          <w:bCs/>
          <w:szCs w:val="21"/>
        </w:rPr>
      </w:pPr>
      <w:r>
        <w:rPr>
          <w:rFonts w:ascii="宋体" w:hAnsi="宋体"/>
          <w:bCs/>
          <w:szCs w:val="21"/>
        </w:rPr>
        <w:t>（3）投标人的投标报价必须充分考虑到在施工中实施的施工组织设计对工程造价的影响,并在投标报价中反映出来。</w:t>
      </w:r>
    </w:p>
    <w:p w:rsidR="007900F6">
      <w:pPr>
        <w:snapToGrid w:val="0"/>
        <w:spacing w:line="360" w:lineRule="auto"/>
        <w:ind w:firstLine="480" w:firstLineChars="200"/>
        <w:rPr>
          <w:rFonts w:ascii="宋体" w:hAnsi="宋体"/>
          <w:bCs/>
          <w:szCs w:val="21"/>
        </w:rPr>
      </w:pPr>
      <w:r>
        <w:rPr>
          <w:rFonts w:ascii="宋体" w:hAnsi="宋体"/>
          <w:bCs/>
          <w:szCs w:val="21"/>
        </w:rPr>
        <w:t>9、本项目不接受总价优惠折扣形式的报价，投标人应将对项目的优惠直接在清单报价中体现出来。</w:t>
      </w:r>
    </w:p>
    <w:p w:rsidR="007900F6">
      <w:pPr>
        <w:snapToGrid w:val="0"/>
        <w:spacing w:line="360" w:lineRule="auto"/>
        <w:ind w:firstLine="480" w:firstLineChars="200"/>
        <w:rPr>
          <w:rFonts w:ascii="宋体" w:hAnsi="宋体"/>
          <w:bCs/>
          <w:szCs w:val="21"/>
        </w:rPr>
      </w:pPr>
      <w:r>
        <w:rPr>
          <w:rFonts w:ascii="宋体" w:hAnsi="宋体"/>
          <w:bCs/>
          <w:szCs w:val="21"/>
        </w:rPr>
        <w:t>10、采购单位委托承包人办理的保险事项：建设工程一切险和第三者责任险，所需的保险费应包含在投标价中，施工中若发生安全事故，一切责任及费用由施工单位负责。</w:t>
      </w:r>
    </w:p>
    <w:p w:rsidR="007900F6">
      <w:pPr>
        <w:snapToGrid w:val="0"/>
        <w:spacing w:line="360" w:lineRule="auto"/>
        <w:ind w:firstLine="480" w:firstLineChars="200"/>
        <w:rPr>
          <w:rFonts w:ascii="宋体" w:hAnsi="宋体"/>
          <w:bCs/>
          <w:szCs w:val="21"/>
        </w:rPr>
      </w:pPr>
      <w:r>
        <w:rPr>
          <w:rFonts w:ascii="宋体" w:hAnsi="宋体"/>
          <w:bCs/>
          <w:szCs w:val="21"/>
        </w:rPr>
        <w:t>11、工程完工后，承包人应恢复修建前的原有状态（工程量按实计算），并使监理工程师和采购单位满意，满足政府管理部门的规定和要求。</w:t>
      </w:r>
    </w:p>
    <w:p w:rsidR="007900F6">
      <w:pPr>
        <w:snapToGrid w:val="0"/>
        <w:spacing w:line="360" w:lineRule="auto"/>
        <w:ind w:firstLine="480" w:firstLineChars="200"/>
        <w:rPr>
          <w:rFonts w:ascii="宋体" w:hAnsi="宋体"/>
          <w:bCs/>
          <w:szCs w:val="21"/>
        </w:rPr>
      </w:pPr>
      <w:r>
        <w:rPr>
          <w:rFonts w:ascii="宋体" w:hAnsi="宋体"/>
          <w:bCs/>
          <w:szCs w:val="21"/>
        </w:rPr>
        <w:t>12、如本工程涉及取土和弃土项目，地点、时间、路线承包人应取得国土、城管部门的同意，不得由此带给采购人任何费用的增加。凡是因承包人措施不当而引起的罚款、索赔和指控等由承包人自行承担。投标价不因取土或弃土实际运距与分部分项工程量清单不同而作调整。土方回填料必须满足国家技术规范之要求，绿化填土面层必须选用适宜种植的填土。</w:t>
      </w:r>
    </w:p>
    <w:p w:rsidR="007900F6">
      <w:pPr>
        <w:adjustRightInd w:val="0"/>
        <w:snapToGrid w:val="0"/>
        <w:spacing w:line="360" w:lineRule="auto"/>
        <w:ind w:firstLine="480" w:firstLineChars="200"/>
        <w:rPr>
          <w:rFonts w:ascii="宋体" w:hAnsi="宋体"/>
          <w:bCs/>
          <w:szCs w:val="21"/>
        </w:rPr>
      </w:pPr>
      <w:r>
        <w:rPr>
          <w:rFonts w:ascii="宋体" w:hAnsi="宋体"/>
          <w:bCs/>
          <w:szCs w:val="21"/>
        </w:rPr>
        <w:t>13、一切与施工相关的检验实验费（政府有关部门规定由建设单位支付的检验实验费除外）已含在投标价中。</w:t>
      </w:r>
    </w:p>
    <w:p w:rsidR="007900F6">
      <w:pPr>
        <w:adjustRightInd w:val="0"/>
        <w:snapToGrid w:val="0"/>
        <w:spacing w:line="360" w:lineRule="auto"/>
        <w:ind w:firstLine="480" w:firstLineChars="200"/>
        <w:rPr>
          <w:rFonts w:ascii="宋体" w:hAnsi="宋体"/>
          <w:bCs/>
          <w:szCs w:val="21"/>
        </w:rPr>
      </w:pPr>
      <w:r>
        <w:rPr>
          <w:rFonts w:ascii="宋体" w:hAnsi="宋体"/>
          <w:bCs/>
          <w:szCs w:val="21"/>
        </w:rPr>
        <w:t>14、承包人的交通维护方案必须保证施工期间的交通组织符合深圳市公安交通管理的有关规定，保证小区车辆运行通畅和施工安全，其费用已含在投标价中。</w:t>
      </w:r>
    </w:p>
    <w:p w:rsidR="007900F6">
      <w:pPr>
        <w:adjustRightInd w:val="0"/>
        <w:snapToGrid w:val="0"/>
        <w:spacing w:line="360" w:lineRule="auto"/>
        <w:ind w:firstLine="480" w:firstLineChars="200"/>
        <w:jc w:val="left"/>
        <w:rPr>
          <w:rFonts w:ascii="宋体" w:hAnsi="宋体"/>
          <w:szCs w:val="21"/>
        </w:rPr>
      </w:pPr>
      <w:r>
        <w:rPr>
          <w:rFonts w:ascii="宋体" w:hAnsi="宋体"/>
          <w:szCs w:val="21"/>
        </w:rPr>
        <w:t>15、投标人的投标报价必须充分考虑到在施工前的毛坯整改费用，包括但不限于：原结构面不平整、门洞大小头、原预埋管线整改、恢复至原状所产生的必要费用等，设计资料与现场不符者（如标高、尺寸等），均以现场为准，投标人务必仔细踏勘现场，并根据现场实际情况判断，所产生的一切费用由投标</w:t>
      </w:r>
      <w:r>
        <w:rPr>
          <w:rFonts w:ascii="宋体" w:hAnsi="宋体" w:hint="eastAsia"/>
          <w:szCs w:val="21"/>
        </w:rPr>
        <w:t>人</w:t>
      </w:r>
      <w:r>
        <w:rPr>
          <w:rFonts w:ascii="宋体" w:hAnsi="宋体"/>
          <w:szCs w:val="21"/>
        </w:rPr>
        <w:t>在投标报价中考虑。</w:t>
      </w:r>
    </w:p>
    <w:p w:rsidR="007900F6">
      <w:pPr>
        <w:snapToGrid w:val="0"/>
        <w:spacing w:line="360" w:lineRule="auto"/>
        <w:ind w:firstLine="480" w:firstLineChars="200"/>
        <w:rPr>
          <w:rFonts w:ascii="宋体" w:hAnsi="宋体"/>
          <w:bCs/>
          <w:szCs w:val="21"/>
        </w:rPr>
      </w:pPr>
      <w:r>
        <w:rPr>
          <w:rFonts w:ascii="宋体" w:hAnsi="宋体"/>
          <w:bCs/>
          <w:szCs w:val="21"/>
        </w:rPr>
        <w:t>16、施工时，需无条件根据</w:t>
      </w:r>
      <w:r>
        <w:rPr>
          <w:rFonts w:ascii="宋体" w:hAnsi="宋体" w:hint="eastAsia"/>
          <w:bCs/>
          <w:szCs w:val="21"/>
        </w:rPr>
        <w:t>采购</w:t>
      </w:r>
      <w:r>
        <w:rPr>
          <w:rFonts w:ascii="宋体" w:hAnsi="宋体"/>
          <w:bCs/>
          <w:szCs w:val="21"/>
        </w:rPr>
        <w:t>人要求合理安排施工作业顺序及时间（包含但不限于夜间施工、赶工措施等），投标人需配合研究院其他工作，根据工程进度，按时提供施工工作面，以上内容投标人在投标报价中予以考虑，不另外产生相关费用。</w:t>
      </w:r>
    </w:p>
    <w:p w:rsidR="007900F6">
      <w:pPr>
        <w:snapToGrid w:val="0"/>
        <w:spacing w:line="360" w:lineRule="auto"/>
        <w:ind w:firstLine="480" w:firstLineChars="200"/>
        <w:rPr>
          <w:rFonts w:ascii="宋体" w:hAnsi="宋体"/>
          <w:bCs/>
          <w:szCs w:val="21"/>
        </w:rPr>
      </w:pPr>
      <w:r>
        <w:rPr>
          <w:rFonts w:ascii="宋体" w:hAnsi="宋体"/>
          <w:bCs/>
          <w:szCs w:val="21"/>
        </w:rPr>
        <w:t>17、根据施工现场的环境，投标人应综合考虑建筑垃圾清运、研究院公共区域及施工范围内的成品保护、施工材料的二次搬运和运距，投标人在报价中予以考虑此费用。</w:t>
      </w:r>
    </w:p>
    <w:p w:rsidR="007900F6">
      <w:pPr>
        <w:snapToGrid w:val="0"/>
        <w:spacing w:line="360" w:lineRule="auto"/>
        <w:ind w:firstLine="480" w:firstLineChars="200"/>
        <w:rPr>
          <w:rFonts w:ascii="宋体" w:hAnsi="宋体"/>
          <w:bCs/>
          <w:szCs w:val="21"/>
        </w:rPr>
      </w:pPr>
      <w:r>
        <w:rPr>
          <w:rFonts w:ascii="宋体" w:hAnsi="宋体"/>
          <w:bCs/>
          <w:szCs w:val="21"/>
        </w:rPr>
        <w:t>18、本工程包含但不限于原天花吊顶、原有家具、门窗、隔墙、综合管线、空调机组等拆除（材料折价），利旧、恢复、综合管线接驳及所有收边收口处理等内容，投标人应满足设计图纸及相关技术规范要求，投标人在综合单价中予以考虑，不另外产生相关费用。</w:t>
      </w:r>
    </w:p>
    <w:p w:rsidR="007900F6">
      <w:pPr>
        <w:snapToGrid w:val="0"/>
        <w:spacing w:line="360" w:lineRule="auto"/>
        <w:ind w:firstLine="480" w:firstLineChars="200"/>
        <w:rPr>
          <w:rFonts w:ascii="宋体" w:hAnsi="宋体"/>
          <w:bCs/>
          <w:szCs w:val="21"/>
        </w:rPr>
      </w:pPr>
      <w:r>
        <w:rPr>
          <w:rFonts w:ascii="宋体" w:hAnsi="宋体"/>
          <w:bCs/>
          <w:szCs w:val="21"/>
        </w:rPr>
        <w:t>19、本工程如涉及高空作业，投标人根据项目需要在投标报价中综合考虑，不另外产生相关费用。</w:t>
      </w:r>
    </w:p>
    <w:p w:rsidR="007900F6">
      <w:pPr>
        <w:snapToGrid w:val="0"/>
        <w:spacing w:line="360" w:lineRule="auto"/>
        <w:ind w:firstLine="480" w:firstLineChars="200"/>
        <w:rPr>
          <w:rFonts w:ascii="宋体" w:hAnsi="宋体"/>
          <w:bCs/>
          <w:szCs w:val="21"/>
        </w:rPr>
      </w:pPr>
      <w:r>
        <w:rPr>
          <w:rFonts w:ascii="宋体" w:hAnsi="宋体"/>
          <w:bCs/>
          <w:szCs w:val="21"/>
        </w:rPr>
        <w:t>20、本项目涉及消防工程内容的，要求具有消防资质的单位来完成，包含但不限于消防深化设计、设计审查、消防手续办理及验收备案等工作，投标人在投标报价中综合考虑，不另外产生相关费用。</w:t>
      </w:r>
    </w:p>
    <w:p w:rsidR="007900F6">
      <w:pPr>
        <w:snapToGrid w:val="0"/>
        <w:spacing w:line="360" w:lineRule="auto"/>
        <w:contextualSpacing/>
        <w:rPr>
          <w:rFonts w:ascii="宋体" w:hAnsi="宋体"/>
          <w:color w:val="000000"/>
          <w:kern w:val="0"/>
          <w:szCs w:val="21"/>
        </w:rPr>
      </w:pPr>
    </w:p>
    <w:p w:rsidR="007900F6">
      <w:pPr>
        <w:snapToGrid w:val="0"/>
        <w:spacing w:line="360" w:lineRule="auto"/>
        <w:contextualSpacing/>
        <w:rPr>
          <w:rFonts w:ascii="宋体" w:hAnsi="宋体"/>
          <w:b/>
          <w:bCs/>
          <w:color w:val="000000"/>
          <w:szCs w:val="21"/>
        </w:rPr>
      </w:pPr>
      <w:r>
        <w:rPr>
          <w:rFonts w:ascii="宋体" w:hAnsi="宋体" w:hint="eastAsia"/>
          <w:b/>
          <w:bCs/>
          <w:color w:val="000000"/>
          <w:szCs w:val="21"/>
        </w:rPr>
        <w:t>六、其他要求</w:t>
      </w:r>
    </w:p>
    <w:p w:rsidR="007900F6">
      <w:pPr>
        <w:snapToGrid w:val="0"/>
        <w:spacing w:line="360" w:lineRule="auto"/>
        <w:rPr>
          <w:rFonts w:ascii="宋体" w:hAnsi="宋体"/>
          <w:b/>
          <w:bCs/>
          <w:szCs w:val="21"/>
        </w:rPr>
      </w:pPr>
      <w:r>
        <w:rPr>
          <w:rFonts w:ascii="宋体" w:hAnsi="宋体"/>
          <w:b/>
          <w:bCs/>
          <w:szCs w:val="21"/>
        </w:rPr>
        <w:t>（一）现场踏勘</w:t>
      </w:r>
    </w:p>
    <w:p w:rsidR="007900F6">
      <w:pPr>
        <w:snapToGrid w:val="0"/>
        <w:spacing w:line="360" w:lineRule="auto"/>
        <w:ind w:firstLine="480" w:firstLineChars="200"/>
        <w:rPr>
          <w:rFonts w:ascii="宋体" w:hAnsi="宋体"/>
          <w:bCs/>
          <w:szCs w:val="21"/>
        </w:rPr>
      </w:pPr>
      <w:r>
        <w:rPr>
          <w:rFonts w:ascii="宋体" w:hAnsi="宋体"/>
          <w:bCs/>
          <w:szCs w:val="21"/>
        </w:rPr>
        <w:t>有踏勘需求的</w:t>
      </w:r>
      <w:r>
        <w:rPr>
          <w:rFonts w:ascii="宋体" w:hAnsi="宋体" w:hint="eastAsia"/>
          <w:bCs/>
          <w:szCs w:val="21"/>
        </w:rPr>
        <w:t>投标人</w:t>
      </w:r>
      <w:r>
        <w:rPr>
          <w:rFonts w:ascii="宋体" w:hAnsi="宋体"/>
          <w:bCs/>
          <w:szCs w:val="21"/>
        </w:rPr>
        <w:t>，</w:t>
      </w:r>
      <w:r>
        <w:rPr>
          <w:rFonts w:ascii="宋体" w:hAnsi="宋体"/>
          <w:szCs w:val="21"/>
        </w:rPr>
        <w:t>请自行组织踏勘工程现场（1、工程区域内地貌现状；2、地上地下管、线及设施；3、地下基础情况等）。</w:t>
      </w:r>
      <w:r>
        <w:rPr>
          <w:rFonts w:ascii="宋体" w:hAnsi="宋体"/>
          <w:bCs/>
          <w:szCs w:val="21"/>
        </w:rPr>
        <w:t xml:space="preserve"> </w:t>
      </w:r>
    </w:p>
    <w:p w:rsidR="007900F6">
      <w:pPr>
        <w:snapToGrid w:val="0"/>
        <w:spacing w:line="360" w:lineRule="auto"/>
        <w:ind w:firstLine="480" w:firstLineChars="200"/>
        <w:rPr>
          <w:rFonts w:ascii="宋体" w:hAnsi="宋体"/>
          <w:szCs w:val="21"/>
        </w:rPr>
      </w:pPr>
      <w:r>
        <w:rPr>
          <w:rFonts w:ascii="宋体" w:hAnsi="宋体"/>
          <w:szCs w:val="21"/>
        </w:rPr>
        <w:t>联系人：</w:t>
      </w:r>
      <w:r>
        <w:rPr>
          <w:rFonts w:ascii="宋体" w:hAnsi="宋体" w:hint="eastAsia"/>
          <w:szCs w:val="21"/>
        </w:rPr>
        <w:t>张敏</w:t>
      </w:r>
    </w:p>
    <w:p w:rsidR="007900F6">
      <w:pPr>
        <w:snapToGrid w:val="0"/>
        <w:spacing w:line="360" w:lineRule="auto"/>
        <w:ind w:firstLine="480" w:firstLineChars="200"/>
        <w:rPr>
          <w:rFonts w:ascii="宋体" w:hAnsi="宋体"/>
          <w:szCs w:val="21"/>
        </w:rPr>
      </w:pPr>
      <w:r>
        <w:rPr>
          <w:rFonts w:ascii="宋体" w:hAnsi="宋体"/>
          <w:szCs w:val="21"/>
        </w:rPr>
        <w:t>联系电话：0755-22673603</w:t>
      </w:r>
    </w:p>
    <w:p w:rsidR="007900F6">
      <w:pPr>
        <w:snapToGrid w:val="0"/>
        <w:spacing w:line="360" w:lineRule="auto"/>
        <w:rPr>
          <w:rFonts w:ascii="宋体" w:hAnsi="宋体"/>
          <w:b/>
          <w:szCs w:val="21"/>
        </w:rPr>
      </w:pPr>
      <w:r>
        <w:rPr>
          <w:rFonts w:ascii="宋体" w:hAnsi="宋体"/>
          <w:b/>
          <w:szCs w:val="21"/>
        </w:rPr>
        <w:t>（二）风险告知</w:t>
      </w:r>
    </w:p>
    <w:p w:rsidR="007900F6" w:rsidRPr="00832189">
      <w:pPr>
        <w:snapToGrid w:val="0"/>
        <w:spacing w:line="360" w:lineRule="auto"/>
        <w:ind w:firstLine="480" w:firstLineChars="200"/>
        <w:contextualSpacing/>
        <w:rPr>
          <w:rFonts w:ascii="宋体" w:hAnsi="宋体"/>
          <w:szCs w:val="21"/>
        </w:rPr>
      </w:pPr>
      <w:r>
        <w:rPr>
          <w:rFonts w:ascii="宋体" w:hAnsi="宋体"/>
          <w:color w:val="FF0000"/>
          <w:szCs w:val="21"/>
        </w:rPr>
        <w:t>本项目有工程量清单</w:t>
      </w:r>
      <w:r>
        <w:rPr>
          <w:rFonts w:ascii="宋体" w:hAnsi="宋体" w:hint="eastAsia"/>
          <w:color w:val="FF0000"/>
          <w:szCs w:val="21"/>
        </w:rPr>
        <w:t>（工程量清单及图纸详见附件）</w:t>
      </w:r>
      <w:r>
        <w:rPr>
          <w:rFonts w:ascii="宋体" w:hAnsi="宋体"/>
          <w:szCs w:val="21"/>
        </w:rPr>
        <w:t>，各投标</w:t>
      </w:r>
      <w:r>
        <w:rPr>
          <w:rFonts w:ascii="宋体" w:hAnsi="宋体" w:hint="eastAsia"/>
          <w:szCs w:val="21"/>
        </w:rPr>
        <w:t>人</w:t>
      </w:r>
      <w:r>
        <w:rPr>
          <w:rFonts w:ascii="宋体" w:hAnsi="宋体"/>
          <w:szCs w:val="21"/>
        </w:rPr>
        <w:t>应结合本项目的实际情况，企业的劳动力成本等充分做出风险评估。若存在承接项目过程中出现各类不可预见的风险，由投标人自行承担。建议投标人应认真踏勘现场，充分了解本工程的工程量，评估相应</w:t>
      </w:r>
      <w:r w:rsidRPr="00832189">
        <w:rPr>
          <w:rFonts w:ascii="宋体" w:hAnsi="宋体"/>
          <w:szCs w:val="21"/>
        </w:rPr>
        <w:t>的风险。</w:t>
      </w:r>
    </w:p>
    <w:p w:rsidR="007900F6" w:rsidRPr="00832189">
      <w:pPr>
        <w:snapToGrid w:val="0"/>
        <w:spacing w:line="360" w:lineRule="auto"/>
        <w:contextualSpacing/>
        <w:rPr>
          <w:rFonts w:ascii="宋体" w:hAnsi="宋体"/>
          <w:b/>
          <w:szCs w:val="21"/>
        </w:rPr>
      </w:pPr>
      <w:r w:rsidRPr="00832189">
        <w:rPr>
          <w:rFonts w:ascii="宋体" w:hAnsi="宋体"/>
          <w:b/>
          <w:szCs w:val="21"/>
        </w:rPr>
        <w:t>（三）注意事项</w:t>
      </w:r>
    </w:p>
    <w:p w:rsidR="007900F6">
      <w:pPr>
        <w:snapToGrid w:val="0"/>
        <w:spacing w:line="360" w:lineRule="auto"/>
        <w:ind w:firstLine="480" w:firstLineChars="200"/>
        <w:rPr>
          <w:rFonts w:ascii="宋体" w:hAnsi="宋体"/>
          <w:color w:val="000000"/>
          <w:szCs w:val="21"/>
        </w:rPr>
      </w:pPr>
      <w:r w:rsidRPr="00832189">
        <w:rPr>
          <w:rFonts w:ascii="宋体" w:hAnsi="宋体"/>
          <w:szCs w:val="21"/>
        </w:rPr>
        <w:t>1、中标人不得将项目非法分包或转包给任何单位和个人。否则采购单位有权即刻终止</w:t>
      </w:r>
      <w:r>
        <w:rPr>
          <w:rFonts w:ascii="宋体" w:hAnsi="宋体"/>
          <w:color w:val="000000"/>
          <w:szCs w:val="21"/>
        </w:rPr>
        <w:t>合同，并要求中标人赔偿相应损失。</w:t>
      </w:r>
    </w:p>
    <w:p w:rsidR="007900F6">
      <w:pPr>
        <w:snapToGrid w:val="0"/>
        <w:spacing w:line="360" w:lineRule="auto"/>
        <w:ind w:firstLine="480" w:firstLineChars="200"/>
        <w:rPr>
          <w:rFonts w:ascii="宋体" w:hAnsi="宋体"/>
          <w:color w:val="000000"/>
          <w:szCs w:val="21"/>
        </w:rPr>
      </w:pPr>
      <w:r>
        <w:rPr>
          <w:rFonts w:ascii="宋体" w:hAnsi="宋体"/>
          <w:color w:val="000000"/>
          <w:szCs w:val="21"/>
        </w:rPr>
        <w:t>2、投标人若认为招标文件的技术要求或其他要求有倾向性或不公正性，可在招标答疑阶段提出，以维护招标行为的公平、公正。</w:t>
      </w:r>
    </w:p>
    <w:p w:rsidR="007900F6">
      <w:pPr>
        <w:snapToGrid w:val="0"/>
        <w:spacing w:line="360" w:lineRule="auto"/>
        <w:ind w:firstLine="480" w:firstLineChars="200"/>
        <w:rPr>
          <w:rFonts w:ascii="宋体" w:hAnsi="宋体"/>
          <w:color w:val="000000"/>
          <w:szCs w:val="21"/>
        </w:rPr>
      </w:pPr>
      <w:r>
        <w:rPr>
          <w:rFonts w:ascii="宋体" w:hAnsi="宋体"/>
          <w:szCs w:val="21"/>
        </w:rPr>
        <w:t>3、投标人使用的标准必须是国际公认或国家、或地方政府颁布的同等或更高的标准，如投标人使用的标准低于上述标准,评标委员会将有权不予接受，投标人必须列表将明显的差异详细说明。</w:t>
      </w:r>
    </w:p>
    <w:p w:rsidR="007900F6">
      <w:pPr>
        <w:snapToGrid w:val="0"/>
        <w:spacing w:line="360" w:lineRule="auto"/>
        <w:ind w:firstLine="480" w:firstLineChars="200"/>
        <w:rPr>
          <w:rFonts w:ascii="宋体" w:hAnsi="宋体"/>
          <w:color w:val="000000"/>
          <w:szCs w:val="21"/>
        </w:rPr>
      </w:pPr>
      <w:r>
        <w:rPr>
          <w:rFonts w:ascii="宋体" w:hAnsi="宋体"/>
          <w:color w:val="000000"/>
          <w:szCs w:val="21"/>
        </w:rPr>
        <w:t>3、投标人应自行踏勘现场充分了解施工范围内及周边的具体情况，并根据踏勘结果准确报价。</w:t>
      </w:r>
    </w:p>
    <w:p w:rsidR="007900F6">
      <w:pPr>
        <w:snapToGrid w:val="0"/>
        <w:spacing w:line="360" w:lineRule="auto"/>
        <w:ind w:firstLine="480" w:firstLineChars="200"/>
        <w:rPr>
          <w:rFonts w:ascii="宋体" w:hAnsi="宋体"/>
          <w:color w:val="000000"/>
          <w:szCs w:val="21"/>
        </w:rPr>
      </w:pPr>
      <w:r>
        <w:rPr>
          <w:rFonts w:ascii="宋体" w:hAnsi="宋体"/>
          <w:color w:val="000000"/>
          <w:szCs w:val="21"/>
        </w:rPr>
        <w:t>4、中标</w:t>
      </w:r>
      <w:r>
        <w:rPr>
          <w:rFonts w:ascii="宋体" w:hAnsi="宋体" w:hint="eastAsia"/>
          <w:color w:val="000000"/>
          <w:szCs w:val="21"/>
        </w:rPr>
        <w:t>人</w:t>
      </w:r>
      <w:r>
        <w:rPr>
          <w:rFonts w:ascii="宋体" w:hAnsi="宋体"/>
          <w:color w:val="000000"/>
          <w:szCs w:val="21"/>
        </w:rPr>
        <w:t>如不能保质保量准时完成本工程，采购单位有权进行应急处理并根据情况对中标人给予处罚。</w:t>
      </w:r>
    </w:p>
    <w:p w:rsidR="007900F6">
      <w:pPr>
        <w:snapToGrid w:val="0"/>
        <w:spacing w:line="360" w:lineRule="auto"/>
        <w:ind w:firstLine="480" w:firstLineChars="200"/>
        <w:rPr>
          <w:rFonts w:ascii="宋体" w:hAnsi="宋体"/>
          <w:color w:val="000000"/>
          <w:szCs w:val="21"/>
        </w:rPr>
      </w:pPr>
      <w:r>
        <w:rPr>
          <w:rFonts w:ascii="宋体" w:hAnsi="宋体"/>
          <w:color w:val="000000"/>
          <w:szCs w:val="21"/>
        </w:rPr>
        <w:t>5、中标</w:t>
      </w:r>
      <w:r>
        <w:rPr>
          <w:rFonts w:ascii="宋体" w:hAnsi="宋体" w:hint="eastAsia"/>
          <w:color w:val="000000"/>
          <w:szCs w:val="21"/>
        </w:rPr>
        <w:t>人</w:t>
      </w:r>
      <w:r>
        <w:rPr>
          <w:rFonts w:ascii="宋体" w:hAnsi="宋体"/>
          <w:color w:val="000000"/>
          <w:szCs w:val="21"/>
        </w:rPr>
        <w:t>须自行解决与施工相关的一切事宜（包括施工车辆在该区域内通行、淤泥渣土受纳、施工材料存放、用水用电、施工人员基地及施工占道等问题），不得在施工场地堆放材料及驻扎生活基地，严格按照施工安全规范的规定采取预防事故的措施，并按照国家及地方的相关规定做好安全文明施工措施，确保施工自身及周边安全。</w:t>
      </w:r>
    </w:p>
    <w:p w:rsidR="007900F6">
      <w:pPr>
        <w:snapToGrid w:val="0"/>
        <w:spacing w:line="360" w:lineRule="auto"/>
        <w:ind w:firstLine="480" w:firstLineChars="200"/>
        <w:rPr>
          <w:rFonts w:ascii="宋体" w:hAnsi="宋体"/>
          <w:color w:val="000000"/>
          <w:szCs w:val="21"/>
        </w:rPr>
      </w:pPr>
      <w:r>
        <w:rPr>
          <w:rFonts w:ascii="宋体" w:hAnsi="宋体"/>
          <w:color w:val="000000"/>
          <w:szCs w:val="21"/>
        </w:rPr>
        <w:t>6、中标</w:t>
      </w:r>
      <w:r>
        <w:rPr>
          <w:rFonts w:ascii="宋体" w:hAnsi="宋体" w:hint="eastAsia"/>
          <w:color w:val="000000"/>
          <w:szCs w:val="21"/>
        </w:rPr>
        <w:t>人</w:t>
      </w:r>
      <w:r>
        <w:rPr>
          <w:rFonts w:ascii="宋体" w:hAnsi="宋体"/>
          <w:color w:val="000000"/>
          <w:szCs w:val="21"/>
        </w:rPr>
        <w:t>还必须完成以下工作：1、施工区域内所有的保洁清理工作（包括乔木、灌木上的枯枝、干叶、杂物等）；2、保洁标准与施工区域内原有保洁标准相同。上述工作属招标工程范围内。</w:t>
      </w:r>
    </w:p>
    <w:p w:rsidR="007900F6">
      <w:pPr>
        <w:snapToGrid w:val="0"/>
        <w:spacing w:line="360" w:lineRule="auto"/>
        <w:ind w:firstLine="480" w:firstLineChars="200"/>
        <w:rPr>
          <w:rFonts w:ascii="宋体" w:hAnsi="宋体"/>
          <w:color w:val="000000"/>
          <w:szCs w:val="21"/>
        </w:rPr>
      </w:pPr>
      <w:r>
        <w:rPr>
          <w:rFonts w:ascii="宋体" w:hAnsi="宋体"/>
          <w:color w:val="000000"/>
          <w:szCs w:val="21"/>
        </w:rPr>
        <w:t>7、投标人使用的标准必须是国际公认或国家、或地方政府颁布的同等或更高的标准，如投标人使用的标准低于上述标准,评标委员会将有权不予接受，投标人必须列表将明显的差异详细说明。</w:t>
      </w:r>
    </w:p>
    <w:p w:rsidR="007900F6">
      <w:pPr>
        <w:snapToGrid w:val="0"/>
        <w:spacing w:line="360" w:lineRule="auto"/>
        <w:ind w:firstLine="480" w:firstLineChars="200"/>
        <w:rPr>
          <w:rFonts w:ascii="宋体" w:hAnsi="宋体"/>
          <w:color w:val="FF0000"/>
          <w:szCs w:val="21"/>
        </w:rPr>
      </w:pPr>
      <w:r>
        <w:rPr>
          <w:rFonts w:ascii="宋体" w:hAnsi="宋体"/>
          <w:color w:val="000000"/>
          <w:szCs w:val="21"/>
        </w:rPr>
        <w:t>8、投标人所提交的投标文件对技术参数和各项要求的响应应是列出具体内容。如果投标人只注明“符合”或“满足”，将被视为“不符合”，并可能严重影响评标结果。</w:t>
      </w:r>
    </w:p>
    <w:p w:rsidR="007900F6">
      <w:pPr>
        <w:snapToGrid w:val="0"/>
        <w:spacing w:line="360" w:lineRule="auto"/>
        <w:ind w:firstLine="480" w:firstLineChars="200"/>
        <w:rPr>
          <w:rFonts w:ascii="宋体" w:hAnsi="宋体"/>
          <w:b/>
          <w:color w:val="000000"/>
          <w:szCs w:val="21"/>
        </w:rPr>
      </w:pPr>
      <w:r>
        <w:rPr>
          <w:rFonts w:ascii="宋体" w:hAnsi="宋体"/>
          <w:b/>
          <w:color w:val="000000"/>
          <w:szCs w:val="21"/>
        </w:rPr>
        <w:t xml:space="preserve">9、重要提醒：《深圳经济特区政府采购条例》规定：供应商在政府采购中，未按本条例规定签订、履行采购合同，造成严重后果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涉嫌犯罪的，依法移送司法机关处理。另外，中心将组织第三方专业机构实施项目履约验收，并采取没收投标保证金、在深圳市政府采购网曝光等措施对失信供应商进行处理。供应商必须诚信投标，对项目需求进行实质性响应。 </w:t>
      </w:r>
    </w:p>
    <w:p w:rsidR="007900F6">
      <w:pPr>
        <w:snapToGrid w:val="0"/>
        <w:spacing w:line="360" w:lineRule="auto"/>
        <w:ind w:firstLine="480" w:firstLineChars="200"/>
        <w:rPr>
          <w:rFonts w:ascii="宋体" w:hAnsi="宋体"/>
          <w:b/>
          <w:color w:val="000000"/>
          <w:szCs w:val="21"/>
        </w:rPr>
      </w:pPr>
      <w:r>
        <w:rPr>
          <w:rFonts w:ascii="宋体" w:hAnsi="宋体"/>
          <w:b/>
          <w:color w:val="000000"/>
          <w:szCs w:val="21"/>
        </w:rPr>
        <w:t>10、推广使用绿色再生建材产品；若项目采用综合评分法，承诺优先使用绿色再生建材产品的供应商将在“拟采用设备（材料）的性能（节能环保情况）、档次及质量可靠性”等评分项中得到适当加分。</w:t>
      </w:r>
    </w:p>
    <w:p w:rsidR="007900F6">
      <w:pPr>
        <w:snapToGrid w:val="0"/>
        <w:spacing w:line="360" w:lineRule="auto"/>
        <w:ind w:firstLine="480" w:firstLineChars="200"/>
        <w:contextualSpacing/>
        <w:rPr>
          <w:rFonts w:ascii="宋体" w:hAnsi="宋体"/>
          <w:color w:val="000000"/>
          <w:kern w:val="0"/>
          <w:szCs w:val="21"/>
        </w:rPr>
      </w:pPr>
      <w:r>
        <w:rPr>
          <w:rFonts w:ascii="宋体" w:hAnsi="宋体"/>
          <w:b/>
          <w:color w:val="000000"/>
          <w:szCs w:val="21"/>
        </w:rPr>
        <w:t>11、推广使用电动或天然气动力工程机械；若项目采用综合评分法，使用电动或天然气动力挖掘机、推土机、压路机、装载机等工程机械的供应商将在“拟投入的施工机械设备及场地情况”等评分项中得到适当加分。</w:t>
      </w:r>
    </w:p>
    <w:p w:rsidR="007900F6">
      <w:pPr>
        <w:spacing w:line="360" w:lineRule="auto"/>
        <w:contextualSpacing/>
        <w:rPr>
          <w:rFonts w:ascii="宋体" w:hAnsi="宋体"/>
          <w:color w:val="000000"/>
          <w:szCs w:val="21"/>
        </w:rPr>
      </w:pPr>
    </w:p>
    <w:p w:rsidR="007900F6">
      <w:pPr>
        <w:widowControl/>
        <w:jc w:val="left"/>
        <w:rPr>
          <w:rFonts w:ascii="宋体" w:hAnsi="宋体"/>
          <w:color w:val="000000"/>
          <w:szCs w:val="21"/>
        </w:rPr>
      </w:pPr>
      <w:r>
        <w:rPr>
          <w:rFonts w:ascii="宋体" w:hAnsi="宋体"/>
          <w:color w:val="000000"/>
          <w:szCs w:val="21"/>
        </w:rPr>
        <w:br w:type="page"/>
      </w:r>
    </w:p>
    <w:p w:rsidR="007900F6">
      <w:pPr>
        <w:widowControl/>
        <w:jc w:val="left"/>
        <w:rPr>
          <w:rFonts w:ascii="宋体" w:hAnsi="宋体"/>
          <w:color w:val="000000"/>
          <w:szCs w:val="21"/>
        </w:rPr>
      </w:pPr>
    </w:p>
    <w:p w:rsidR="007900F6">
      <w:pPr>
        <w:pStyle w:val="Heading2"/>
        <w:spacing w:before="0" w:after="0" w:line="360" w:lineRule="auto"/>
        <w:contextualSpacing/>
        <w:rPr>
          <w:color w:val="000000"/>
        </w:rPr>
      </w:pPr>
      <w:r>
        <w:rPr>
          <w:rFonts w:hint="eastAsia"/>
          <w:color w:val="000000"/>
        </w:rPr>
        <w:t>第三章</w:t>
      </w:r>
      <w:r>
        <w:rPr>
          <w:color w:val="000000"/>
        </w:rPr>
        <w:t xml:space="preserve"> </w:t>
      </w:r>
      <w:r>
        <w:rPr>
          <w:rFonts w:hint="eastAsia"/>
          <w:color w:val="000000"/>
        </w:rPr>
        <w:t xml:space="preserve"> 投标文件格式、附件</w:t>
      </w:r>
    </w:p>
    <w:p w:rsidR="007900F6">
      <w:pPr>
        <w:spacing w:line="360" w:lineRule="auto"/>
        <w:contextualSpacing/>
        <w:rPr>
          <w:rStyle w:val="3Char"/>
          <w:color w:val="000000"/>
          <w:sz w:val="24"/>
        </w:rPr>
      </w:pPr>
      <w:r>
        <w:rPr>
          <w:rStyle w:val="3Char"/>
          <w:rFonts w:hint="eastAsia"/>
          <w:color w:val="000000"/>
          <w:sz w:val="24"/>
        </w:rPr>
        <w:t>特别提醒：</w:t>
      </w:r>
    </w:p>
    <w:p w:rsidR="007900F6">
      <w:pPr>
        <w:spacing w:line="360" w:lineRule="auto"/>
        <w:ind w:firstLine="480" w:firstLineChars="200"/>
        <w:contextualSpacing/>
        <w:rPr>
          <w:rFonts w:ascii="仿宋_GB2312" w:eastAsia="仿宋_GB2312"/>
          <w:color w:val="000000"/>
          <w:sz w:val="24"/>
        </w:rPr>
      </w:pPr>
      <w:r>
        <w:rPr>
          <w:rFonts w:ascii="仿宋_GB2312" w:eastAsia="仿宋_GB2312" w:hint="eastAsia"/>
          <w:color w:val="000000"/>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7900F6">
      <w:pPr>
        <w:spacing w:line="360" w:lineRule="auto"/>
        <w:contextualSpacing/>
        <w:rPr>
          <w:rFonts w:ascii="仿宋_GB2312" w:eastAsia="仿宋_GB2312"/>
          <w:color w:val="000000"/>
          <w:sz w:val="24"/>
        </w:rPr>
      </w:pPr>
      <w:r>
        <w:rPr>
          <w:rFonts w:ascii="仿宋_GB2312" w:eastAsia="仿宋_GB2312" w:hint="eastAsia"/>
          <w:color w:val="000000"/>
          <w:sz w:val="24"/>
        </w:rPr>
        <w:t xml:space="preserve">    投标文件正文（信息公开部分）必须编制于“投标书目录”，投标文件附件（非信息公开部分）必须编制于“投标书附件”，如下图所示。</w:t>
      </w:r>
    </w:p>
    <w:p w:rsidR="007900F6">
      <w:pPr>
        <w:spacing w:line="360" w:lineRule="auto"/>
        <w:contextualSpacing/>
        <w:rPr>
          <w:rFonts w:ascii="仿宋_GB2312" w:eastAsia="仿宋_GB2312"/>
          <w:color w:val="000000"/>
          <w:sz w:val="24"/>
        </w:rPr>
      </w:pPr>
      <w:r>
        <w:rPr>
          <w:rFonts w:ascii="宋体" w:hAnsi="宋体"/>
          <w:szCs w:val="21"/>
        </w:rPr>
        <w:pict>
          <v:shape id="图片 1" o:spid="_x0000_i1026" type="#_x0000_t75" style="height:324.74pt;mso-wrap-distance-left:0;mso-wrap-distance-right:0;width:415.51pt" o:preferrelative="t" filled="f" stroked="f">
            <v:fill o:detectmouseclick="t"/>
            <v:imagedata r:id="rId5" o:title=""/>
            <v:path o:extrusionok="f"/>
            <o:lock v:ext="edit" aspectratio="t"/>
          </v:shape>
        </w:pict>
      </w:r>
    </w:p>
    <w:p w:rsidR="007900F6">
      <w:pPr>
        <w:widowControl/>
        <w:spacing w:line="360" w:lineRule="auto"/>
        <w:contextualSpacing/>
        <w:jc w:val="left"/>
        <w:rPr>
          <w:rFonts w:ascii="宋体" w:hAnsi="宋体" w:cs="宋体"/>
          <w:color w:val="000000"/>
          <w:kern w:val="0"/>
          <w:sz w:val="24"/>
        </w:rPr>
      </w:pPr>
    </w:p>
    <w:p w:rsidR="007900F6">
      <w:pPr>
        <w:spacing w:line="360" w:lineRule="auto"/>
        <w:contextualSpacing/>
        <w:jc w:val="center"/>
        <w:rPr>
          <w:rFonts w:ascii="仿宋_GB2312" w:eastAsia="仿宋_GB2312"/>
          <w:color w:val="000000"/>
          <w:sz w:val="24"/>
        </w:rPr>
      </w:pPr>
    </w:p>
    <w:p w:rsidR="007900F6">
      <w:pPr>
        <w:spacing w:line="360" w:lineRule="auto"/>
        <w:ind w:firstLine="480" w:firstLineChars="200"/>
        <w:rPr>
          <w:rFonts w:ascii="宋体" w:hAnsi="宋体"/>
          <w:szCs w:val="21"/>
        </w:rPr>
      </w:pPr>
      <w:r>
        <w:rPr>
          <w:rFonts w:ascii="宋体" w:hAnsi="宋体" w:hint="eastAsia"/>
          <w:szCs w:val="21"/>
        </w:rPr>
        <w:t>采购实施机构（深圳市国信招标有限公司）公布投标文件正文（信息公开部分）时为计算机截取信息自动公布，</w:t>
      </w:r>
      <w:r>
        <w:rPr>
          <w:rFonts w:ascii="宋体" w:hAnsi="宋体" w:hint="eastAsia"/>
          <w:color w:val="FF0000"/>
          <w:szCs w:val="21"/>
        </w:rPr>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7900F6">
      <w:pPr>
        <w:spacing w:line="360" w:lineRule="auto"/>
        <w:ind w:firstLine="480" w:firstLineChars="200"/>
        <w:contextualSpacing/>
        <w:rPr>
          <w:rFonts w:ascii="宋体" w:hAnsi="宋体"/>
          <w:b/>
          <w:color w:val="000000"/>
          <w:sz w:val="24"/>
        </w:rPr>
      </w:pPr>
    </w:p>
    <w:p w:rsidR="007900F6">
      <w:pPr>
        <w:spacing w:line="360" w:lineRule="auto"/>
        <w:contextualSpacing/>
        <w:rPr>
          <w:rFonts w:ascii="宋体" w:hAnsi="宋体"/>
          <w:color w:val="000000"/>
          <w:szCs w:val="21"/>
        </w:rPr>
      </w:pPr>
    </w:p>
    <w:p w:rsidR="007900F6">
      <w:pPr>
        <w:spacing w:line="360" w:lineRule="auto"/>
        <w:contextualSpacing/>
        <w:rPr>
          <w:rFonts w:ascii="宋体" w:hAnsi="宋体"/>
          <w:color w:val="000000"/>
          <w:szCs w:val="21"/>
        </w:rPr>
      </w:pP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投标文件组成：</w:t>
      </w:r>
    </w:p>
    <w:p w:rsidR="007900F6">
      <w:pPr>
        <w:pStyle w:val="NormalIndent"/>
        <w:spacing w:line="360" w:lineRule="auto"/>
        <w:ind w:firstLine="1133" w:firstLineChars="472"/>
        <w:contextualSpacing/>
        <w:rPr>
          <w:rFonts w:ascii="宋体" w:hAnsi="宋体"/>
          <w:color w:val="000000"/>
          <w:szCs w:val="21"/>
        </w:rPr>
      </w:pPr>
      <w:r>
        <w:rPr>
          <w:rFonts w:ascii="宋体" w:hAnsi="宋体" w:hint="eastAsia"/>
          <w:color w:val="000000"/>
          <w:szCs w:val="21"/>
        </w:rPr>
        <w:t>1、投标文件正文</w:t>
      </w:r>
      <w:r>
        <w:rPr>
          <w:rFonts w:ascii="宋体" w:hAnsi="宋体" w:hint="eastAsia"/>
          <w:b/>
          <w:color w:val="000000"/>
          <w:szCs w:val="21"/>
        </w:rPr>
        <w:t>（信息公开部分）</w:t>
      </w:r>
      <w:r>
        <w:rPr>
          <w:rFonts w:ascii="宋体" w:hAnsi="宋体" w:hint="eastAsia"/>
          <w:color w:val="000000"/>
          <w:szCs w:val="21"/>
        </w:rPr>
        <w:t>，主要包括以下内容：</w:t>
      </w:r>
    </w:p>
    <w:p w:rsidR="007900F6">
      <w:pPr>
        <w:pStyle w:val="NormalIndent"/>
        <w:spacing w:line="360" w:lineRule="auto"/>
        <w:ind w:firstLine="1133" w:firstLineChars="472"/>
        <w:contextualSpacing/>
        <w:rPr>
          <w:rFonts w:ascii="宋体" w:hAnsi="宋体"/>
          <w:color w:val="000000"/>
          <w:szCs w:val="21"/>
        </w:rPr>
      </w:pPr>
      <w:r>
        <w:rPr>
          <w:rFonts w:ascii="宋体" w:hAnsi="宋体" w:cs="宋体" w:hint="eastAsia"/>
          <w:color w:val="000000"/>
          <w:szCs w:val="21"/>
        </w:rPr>
        <w:sym w:font="宋体" w:char="F0A7"/>
      </w:r>
      <w:r>
        <w:rPr>
          <w:rFonts w:ascii="宋体" w:hAnsi="宋体" w:cs="宋体" w:hint="eastAsia"/>
          <w:color w:val="000000"/>
          <w:szCs w:val="21"/>
        </w:rPr>
        <w:sym w:font="宋体" w:char="0009"/>
      </w:r>
      <w:r>
        <w:rPr>
          <w:rFonts w:ascii="宋体" w:hAnsi="宋体" w:hint="eastAsia"/>
          <w:color w:val="000000"/>
          <w:szCs w:val="21"/>
        </w:rPr>
        <w:t>（</w:t>
      </w:r>
      <w:r>
        <w:rPr>
          <w:rFonts w:ascii="宋体" w:hAnsi="宋体"/>
          <w:color w:val="000000"/>
          <w:szCs w:val="21"/>
        </w:rPr>
        <w:t>1</w:t>
      </w:r>
      <w:r>
        <w:rPr>
          <w:rFonts w:ascii="宋体" w:hAnsi="宋体" w:hint="eastAsia"/>
          <w:color w:val="000000"/>
          <w:szCs w:val="21"/>
        </w:rPr>
        <w:t>）投标函</w:t>
      </w:r>
    </w:p>
    <w:p w:rsidR="007900F6">
      <w:pPr>
        <w:pStyle w:val="NormalIndent"/>
        <w:spacing w:line="360" w:lineRule="auto"/>
        <w:ind w:left="240" w:firstLine="893" w:leftChars="100" w:firstLineChars="372"/>
        <w:contextualSpacing/>
        <w:rPr>
          <w:rFonts w:ascii="宋体" w:hAnsi="宋体"/>
          <w:color w:val="000000"/>
          <w:szCs w:val="21"/>
        </w:rPr>
      </w:pPr>
      <w:r>
        <w:rPr>
          <w:rFonts w:ascii="宋体" w:hAnsi="宋体" w:cs="宋体" w:hint="eastAsia"/>
          <w:color w:val="000000"/>
          <w:szCs w:val="21"/>
        </w:rPr>
        <w:sym w:font="宋体" w:char="F0A7"/>
      </w:r>
      <w:r>
        <w:rPr>
          <w:rFonts w:ascii="宋体" w:hAnsi="宋体" w:cs="宋体" w:hint="eastAsia"/>
          <w:color w:val="000000"/>
          <w:szCs w:val="21"/>
        </w:rPr>
        <w:sym w:font="宋体" w:char="0009"/>
      </w: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）政府采购投标及履约承诺函</w:t>
      </w:r>
      <w:r>
        <w:rPr>
          <w:rFonts w:ascii="宋体" w:hAnsi="宋体" w:hint="eastAsia"/>
          <w:szCs w:val="21"/>
        </w:rPr>
        <w:t>（格式详见附件）</w:t>
      </w:r>
    </w:p>
    <w:p w:rsidR="007900F6">
      <w:pPr>
        <w:pStyle w:val="NormalIndent"/>
        <w:spacing w:line="360" w:lineRule="auto"/>
        <w:ind w:firstLine="1133" w:firstLineChars="472"/>
        <w:contextualSpacing/>
        <w:rPr>
          <w:rFonts w:ascii="宋体" w:hAnsi="宋体"/>
          <w:color w:val="000000"/>
          <w:szCs w:val="21"/>
        </w:rPr>
      </w:pPr>
      <w:r>
        <w:rPr>
          <w:rFonts w:ascii="宋体" w:hAnsi="宋体" w:cs="宋体" w:hint="eastAsia"/>
          <w:color w:val="000000"/>
          <w:szCs w:val="21"/>
        </w:rPr>
        <w:sym w:font="宋体" w:char="F0A7"/>
      </w:r>
      <w:r>
        <w:rPr>
          <w:rFonts w:ascii="宋体" w:hAnsi="宋体" w:cs="宋体" w:hint="eastAsia"/>
          <w:color w:val="000000"/>
          <w:szCs w:val="21"/>
        </w:rPr>
        <w:sym w:font="宋体" w:char="0009"/>
      </w:r>
      <w:r>
        <w:rPr>
          <w:rFonts w:ascii="宋体" w:hAnsi="宋体" w:hint="eastAsia"/>
          <w:color w:val="000000"/>
          <w:szCs w:val="21"/>
        </w:rPr>
        <w:t>（</w:t>
      </w:r>
      <w:r>
        <w:rPr>
          <w:rFonts w:ascii="宋体" w:hAnsi="宋体"/>
          <w:color w:val="000000"/>
          <w:szCs w:val="21"/>
        </w:rPr>
        <w:t>3</w:t>
      </w:r>
      <w:r>
        <w:rPr>
          <w:rFonts w:ascii="宋体" w:hAnsi="宋体" w:hint="eastAsia"/>
          <w:color w:val="000000"/>
          <w:szCs w:val="21"/>
        </w:rPr>
        <w:t>）投标人情况介绍及资格要求</w:t>
      </w:r>
    </w:p>
    <w:p w:rsidR="007900F6">
      <w:pPr>
        <w:pStyle w:val="NormalIndent"/>
        <w:spacing w:line="360" w:lineRule="auto"/>
        <w:ind w:firstLine="1133" w:firstLineChars="472"/>
        <w:contextualSpacing/>
        <w:rPr>
          <w:rFonts w:ascii="宋体" w:hAnsi="宋体"/>
          <w:color w:val="000000"/>
          <w:szCs w:val="21"/>
        </w:rPr>
      </w:pPr>
      <w:r>
        <w:rPr>
          <w:rFonts w:ascii="宋体" w:hAnsi="宋体" w:cs="宋体" w:hint="eastAsia"/>
          <w:color w:val="000000"/>
          <w:szCs w:val="21"/>
        </w:rPr>
        <w:sym w:font="宋体" w:char="F0A7"/>
      </w:r>
      <w:r>
        <w:rPr>
          <w:rFonts w:ascii="宋体" w:hAnsi="宋体" w:cs="宋体" w:hint="eastAsia"/>
          <w:color w:val="000000"/>
          <w:szCs w:val="21"/>
        </w:rPr>
        <w:sym w:font="宋体" w:char="0009"/>
      </w:r>
      <w:r>
        <w:rPr>
          <w:rFonts w:ascii="宋体" w:hAnsi="宋体" w:hint="eastAsia"/>
          <w:color w:val="000000"/>
          <w:szCs w:val="21"/>
        </w:rPr>
        <w:t>（</w:t>
      </w:r>
      <w:r>
        <w:rPr>
          <w:rFonts w:ascii="宋体" w:hAnsi="宋体"/>
          <w:color w:val="000000"/>
          <w:szCs w:val="21"/>
        </w:rPr>
        <w:t>4</w:t>
      </w:r>
      <w:r>
        <w:rPr>
          <w:rFonts w:ascii="宋体" w:hAnsi="宋体" w:hint="eastAsia"/>
          <w:color w:val="000000"/>
          <w:szCs w:val="21"/>
        </w:rPr>
        <w:t>）投标人通过相关认证情况（格式自定）</w:t>
      </w:r>
    </w:p>
    <w:p w:rsidR="007900F6">
      <w:pPr>
        <w:pStyle w:val="NormalIndent"/>
        <w:spacing w:line="360" w:lineRule="auto"/>
        <w:ind w:firstLine="1133" w:firstLineChars="472"/>
        <w:contextualSpacing/>
        <w:rPr>
          <w:rFonts w:ascii="宋体" w:hAnsi="宋体"/>
          <w:color w:val="000000"/>
          <w:szCs w:val="21"/>
        </w:rPr>
      </w:pPr>
      <w:r>
        <w:rPr>
          <w:rFonts w:ascii="宋体" w:hAnsi="宋体" w:cs="宋体" w:hint="eastAsia"/>
          <w:color w:val="000000"/>
          <w:szCs w:val="21"/>
        </w:rPr>
        <w:sym w:font="宋体" w:char="F0A7"/>
      </w:r>
      <w:r>
        <w:rPr>
          <w:rFonts w:ascii="宋体" w:hAnsi="宋体" w:cs="宋体" w:hint="eastAsia"/>
          <w:color w:val="000000"/>
          <w:szCs w:val="21"/>
        </w:rPr>
        <w:sym w:font="宋体" w:char="0009"/>
      </w:r>
      <w:r>
        <w:rPr>
          <w:rFonts w:ascii="宋体" w:hAnsi="宋体" w:hint="eastAsia"/>
          <w:color w:val="000000"/>
          <w:szCs w:val="21"/>
        </w:rPr>
        <w:t>（</w:t>
      </w:r>
      <w:r>
        <w:rPr>
          <w:rFonts w:ascii="宋体" w:hAnsi="宋体"/>
          <w:color w:val="000000"/>
          <w:szCs w:val="21"/>
        </w:rPr>
        <w:t>5</w:t>
      </w:r>
      <w:r>
        <w:rPr>
          <w:rFonts w:ascii="宋体" w:hAnsi="宋体" w:hint="eastAsia"/>
          <w:color w:val="000000"/>
          <w:szCs w:val="21"/>
        </w:rPr>
        <w:t>）投标人同类项目业绩情况（格式自定）</w:t>
      </w:r>
    </w:p>
    <w:p w:rsidR="007900F6">
      <w:pPr>
        <w:pStyle w:val="NormalIndent"/>
        <w:spacing w:line="360" w:lineRule="auto"/>
        <w:ind w:firstLine="1133" w:firstLineChars="472"/>
        <w:contextualSpacing/>
        <w:rPr>
          <w:rFonts w:ascii="宋体" w:hAnsi="宋体"/>
          <w:color w:val="000000"/>
          <w:szCs w:val="21"/>
        </w:rPr>
      </w:pPr>
      <w:r>
        <w:rPr>
          <w:rFonts w:ascii="宋体" w:hAnsi="宋体" w:cs="宋体" w:hint="eastAsia"/>
          <w:color w:val="000000"/>
          <w:szCs w:val="21"/>
        </w:rPr>
        <w:sym w:font="宋体" w:char="F0A7"/>
      </w:r>
      <w:r>
        <w:rPr>
          <w:rFonts w:ascii="宋体" w:hAnsi="宋体" w:cs="宋体" w:hint="eastAsia"/>
          <w:color w:val="000000"/>
          <w:szCs w:val="21"/>
        </w:rPr>
        <w:sym w:font="宋体" w:char="0009"/>
      </w:r>
      <w:r>
        <w:rPr>
          <w:rFonts w:ascii="宋体" w:hAnsi="宋体" w:hint="eastAsia"/>
          <w:color w:val="000000"/>
          <w:szCs w:val="21"/>
        </w:rPr>
        <w:t>（</w:t>
      </w:r>
      <w:r>
        <w:rPr>
          <w:rFonts w:ascii="宋体" w:hAnsi="宋体"/>
          <w:color w:val="000000"/>
          <w:szCs w:val="21"/>
        </w:rPr>
        <w:t>6</w:t>
      </w:r>
      <w:r>
        <w:rPr>
          <w:rFonts w:ascii="宋体" w:hAnsi="宋体" w:hint="eastAsia"/>
          <w:color w:val="000000"/>
          <w:szCs w:val="21"/>
        </w:rPr>
        <w:t>）投标人奖项（荣誉、表彰）情况（格式自定）</w:t>
      </w:r>
    </w:p>
    <w:p w:rsidR="007900F6">
      <w:pPr>
        <w:pStyle w:val="NormalIndent"/>
        <w:spacing w:line="360" w:lineRule="auto"/>
        <w:ind w:left="1853" w:hanging="720" w:leftChars="472" w:hangingChars="300"/>
        <w:contextualSpacing/>
        <w:rPr>
          <w:rFonts w:ascii="宋体" w:hAnsi="宋体"/>
          <w:color w:val="000000"/>
          <w:szCs w:val="21"/>
        </w:rPr>
      </w:pPr>
      <w:r>
        <w:rPr>
          <w:rFonts w:ascii="宋体" w:hAnsi="宋体" w:cs="宋体" w:hint="eastAsia"/>
          <w:color w:val="000000"/>
          <w:szCs w:val="21"/>
        </w:rPr>
        <w:sym w:font="宋体" w:char="F0A7"/>
      </w:r>
      <w:r>
        <w:rPr>
          <w:rFonts w:ascii="宋体" w:hAnsi="宋体" w:cs="宋体" w:hint="eastAsia"/>
          <w:color w:val="000000"/>
          <w:szCs w:val="21"/>
        </w:rPr>
        <w:sym w:font="宋体" w:char="0020"/>
      </w:r>
      <w:r>
        <w:rPr>
          <w:rFonts w:ascii="宋体" w:hAnsi="宋体" w:hint="eastAsia"/>
          <w:color w:val="000000"/>
          <w:szCs w:val="21"/>
        </w:rPr>
        <w:t>（7）拟投入劳动力（项目经理、技术人员、管理班子、机械设备、场地）情况（格式自定）</w:t>
      </w:r>
    </w:p>
    <w:p w:rsidR="007900F6">
      <w:pPr>
        <w:pStyle w:val="NormalIndent"/>
        <w:spacing w:line="360" w:lineRule="auto"/>
        <w:ind w:firstLine="1133" w:firstLineChars="472"/>
        <w:contextualSpacing/>
        <w:rPr>
          <w:rFonts w:ascii="宋体" w:hAnsi="宋体"/>
          <w:color w:val="000000"/>
          <w:szCs w:val="21"/>
        </w:rPr>
      </w:pPr>
      <w:r>
        <w:rPr>
          <w:rFonts w:ascii="宋体" w:hAnsi="宋体" w:cs="宋体" w:hint="eastAsia"/>
          <w:color w:val="000000"/>
          <w:szCs w:val="21"/>
        </w:rPr>
        <w:sym w:font="宋体" w:char="F0A7"/>
      </w:r>
      <w:r>
        <w:rPr>
          <w:rFonts w:ascii="宋体" w:hAnsi="宋体" w:cs="宋体" w:hint="eastAsia"/>
          <w:color w:val="000000"/>
          <w:szCs w:val="21"/>
        </w:rPr>
        <w:sym w:font="宋体" w:char="0009"/>
      </w:r>
      <w:r>
        <w:rPr>
          <w:rFonts w:ascii="宋体" w:hAnsi="宋体" w:hint="eastAsia"/>
          <w:color w:val="000000"/>
          <w:szCs w:val="21"/>
        </w:rPr>
        <w:t>（8）</w:t>
      </w:r>
      <w:r>
        <w:rPr>
          <w:rFonts w:ascii="宋体" w:hAnsi="宋体"/>
          <w:color w:val="000000"/>
          <w:szCs w:val="21"/>
        </w:rPr>
        <w:t>投标人</w:t>
      </w:r>
      <w:r>
        <w:rPr>
          <w:rFonts w:ascii="宋体" w:hAnsi="宋体" w:hint="eastAsia"/>
          <w:color w:val="000000"/>
          <w:szCs w:val="21"/>
        </w:rPr>
        <w:t>售后服务</w:t>
      </w:r>
      <w:r>
        <w:rPr>
          <w:rFonts w:ascii="宋体" w:hAnsi="宋体"/>
          <w:color w:val="000000"/>
          <w:szCs w:val="21"/>
        </w:rPr>
        <w:t>能力</w:t>
      </w:r>
      <w:r>
        <w:rPr>
          <w:rFonts w:ascii="宋体" w:hAnsi="宋体" w:hint="eastAsia"/>
          <w:color w:val="000000"/>
          <w:szCs w:val="21"/>
        </w:rPr>
        <w:t>（格式自定）</w:t>
      </w:r>
    </w:p>
    <w:p w:rsidR="007900F6">
      <w:pPr>
        <w:snapToGrid w:val="0"/>
        <w:spacing w:line="360" w:lineRule="auto"/>
        <w:ind w:firstLine="1440" w:firstLineChars="600"/>
        <w:rPr>
          <w:rFonts w:ascii="宋体" w:hAnsi="宋体"/>
          <w:szCs w:val="21"/>
        </w:rPr>
      </w:pPr>
      <w:r>
        <w:rPr>
          <w:rFonts w:ascii="宋体" w:hAnsi="宋体" w:hint="eastAsia"/>
          <w:color w:val="000000"/>
          <w:szCs w:val="21"/>
        </w:rPr>
        <w:t>（9）</w:t>
      </w:r>
      <w:r>
        <w:rPr>
          <w:rFonts w:ascii="宋体" w:hAnsi="宋体"/>
          <w:szCs w:val="21"/>
        </w:rPr>
        <w:t>技术规格偏离情况</w:t>
      </w:r>
      <w:r>
        <w:rPr>
          <w:rFonts w:ascii="宋体" w:hAnsi="宋体" w:hint="eastAsia"/>
          <w:szCs w:val="21"/>
        </w:rPr>
        <w:t>（格式详见附件）</w:t>
      </w:r>
    </w:p>
    <w:p w:rsidR="007900F6">
      <w:pPr>
        <w:pStyle w:val="NormalIndent"/>
        <w:spacing w:line="360" w:lineRule="auto"/>
        <w:ind w:firstLine="1368" w:firstLineChars="570"/>
        <w:contextualSpacing/>
        <w:rPr>
          <w:rFonts w:ascii="宋体" w:hAnsi="宋体"/>
          <w:color w:val="000000"/>
          <w:szCs w:val="21"/>
        </w:rPr>
      </w:pPr>
      <w:r>
        <w:rPr>
          <w:rFonts w:ascii="宋体" w:hAnsi="宋体" w:hint="eastAsia"/>
          <w:color w:val="000000"/>
          <w:szCs w:val="21"/>
        </w:rPr>
        <w:t xml:space="preserve"> （10）其它招标文件要求的内容及投标人认为需要补充的内容（格式自定）</w:t>
      </w:r>
    </w:p>
    <w:p w:rsidR="007900F6">
      <w:pPr>
        <w:pStyle w:val="NormalIndent"/>
        <w:spacing w:line="360" w:lineRule="auto"/>
        <w:ind w:left="240" w:firstLine="1133" w:leftChars="100" w:firstLineChars="472"/>
        <w:contextualSpacing/>
        <w:rPr>
          <w:rFonts w:ascii="宋体" w:hAnsi="宋体"/>
          <w:color w:val="000000"/>
          <w:szCs w:val="21"/>
        </w:rPr>
      </w:pPr>
      <w:r>
        <w:rPr>
          <w:rFonts w:ascii="宋体" w:hAnsi="宋体" w:hint="eastAsia"/>
          <w:color w:val="000000"/>
          <w:szCs w:val="21"/>
        </w:rPr>
        <w:t>注：具体按评分信息设置标书节点</w:t>
      </w:r>
    </w:p>
    <w:p w:rsidR="007900F6">
      <w:pPr>
        <w:pStyle w:val="NormalIndent"/>
        <w:spacing w:line="360" w:lineRule="auto"/>
        <w:ind w:left="240" w:firstLine="1541" w:leftChars="100" w:firstLineChars="642"/>
        <w:contextualSpacing/>
        <w:rPr>
          <w:rFonts w:ascii="宋体" w:hAnsi="宋体"/>
          <w:color w:val="000000"/>
          <w:szCs w:val="21"/>
        </w:rPr>
      </w:pPr>
    </w:p>
    <w:p w:rsidR="007900F6">
      <w:pPr>
        <w:pStyle w:val="NormalIndent"/>
        <w:spacing w:line="360" w:lineRule="auto"/>
        <w:ind w:left="240" w:firstLine="893" w:leftChars="100" w:firstLineChars="372"/>
        <w:contextualSpacing/>
        <w:rPr>
          <w:rFonts w:ascii="宋体" w:hAnsi="宋体"/>
          <w:color w:val="000000"/>
          <w:szCs w:val="21"/>
        </w:rPr>
      </w:pPr>
      <w:r>
        <w:rPr>
          <w:rFonts w:ascii="宋体" w:hAnsi="宋体" w:hint="eastAsia"/>
          <w:color w:val="000000"/>
          <w:szCs w:val="21"/>
        </w:rPr>
        <w:t>2、投标文件附件</w:t>
      </w:r>
      <w:r>
        <w:rPr>
          <w:rFonts w:ascii="宋体" w:hAnsi="宋体" w:hint="eastAsia"/>
          <w:b/>
          <w:color w:val="000000"/>
          <w:szCs w:val="21"/>
        </w:rPr>
        <w:t>（非信息公开部分）</w:t>
      </w:r>
      <w:r>
        <w:rPr>
          <w:rFonts w:ascii="宋体" w:hAnsi="宋体" w:hint="eastAsia"/>
          <w:color w:val="000000"/>
          <w:szCs w:val="21"/>
        </w:rPr>
        <w:t>，主要包括下列内容：</w:t>
      </w:r>
    </w:p>
    <w:p w:rsidR="007900F6">
      <w:pPr>
        <w:pStyle w:val="NormalIndent"/>
        <w:spacing w:line="360" w:lineRule="auto"/>
        <w:ind w:left="240" w:firstLine="893" w:leftChars="100" w:firstLineChars="372"/>
        <w:contextualSpacing/>
        <w:rPr>
          <w:rFonts w:ascii="宋体" w:hAnsi="宋体"/>
          <w:color w:val="000000"/>
          <w:szCs w:val="21"/>
        </w:rPr>
      </w:pPr>
      <w:r>
        <w:rPr>
          <w:rFonts w:ascii="宋体" w:hAnsi="宋体" w:hint="eastAsia"/>
          <w:color w:val="000000"/>
          <w:szCs w:val="21"/>
        </w:rPr>
        <w:t>（1）法定代表人证明书</w:t>
      </w:r>
      <w:r>
        <w:rPr>
          <w:rFonts w:ascii="宋体" w:hAnsi="宋体" w:hint="eastAsia"/>
          <w:szCs w:val="21"/>
        </w:rPr>
        <w:t>（格式详见附件）</w:t>
      </w:r>
    </w:p>
    <w:p w:rsidR="007900F6">
      <w:pPr>
        <w:pStyle w:val="NormalIndent"/>
        <w:spacing w:line="360" w:lineRule="auto"/>
        <w:ind w:left="240" w:firstLine="893" w:leftChars="100" w:firstLineChars="372"/>
        <w:contextualSpacing/>
        <w:rPr>
          <w:rFonts w:ascii="宋体" w:hAnsi="宋体"/>
          <w:color w:val="000000"/>
          <w:szCs w:val="21"/>
        </w:rPr>
      </w:pPr>
      <w:r>
        <w:rPr>
          <w:rFonts w:ascii="宋体" w:hAnsi="宋体" w:hint="eastAsia"/>
          <w:color w:val="000000"/>
          <w:szCs w:val="21"/>
        </w:rPr>
        <w:t>（2）投标文件签署授权委托书</w:t>
      </w:r>
      <w:r>
        <w:rPr>
          <w:rFonts w:ascii="宋体" w:hAnsi="宋体" w:hint="eastAsia"/>
          <w:szCs w:val="21"/>
        </w:rPr>
        <w:t>（格式详见附件）</w:t>
      </w:r>
    </w:p>
    <w:p w:rsidR="007900F6">
      <w:pPr>
        <w:pStyle w:val="NormalIndent"/>
        <w:spacing w:line="360" w:lineRule="auto"/>
        <w:ind w:left="240" w:firstLine="893" w:leftChars="100" w:firstLineChars="372"/>
        <w:contextualSpacing/>
        <w:rPr>
          <w:rFonts w:ascii="宋体" w:hAnsi="宋体"/>
          <w:color w:val="000000"/>
          <w:szCs w:val="21"/>
        </w:rPr>
      </w:pPr>
      <w:r>
        <w:rPr>
          <w:rFonts w:ascii="宋体" w:hAnsi="宋体" w:hint="eastAsia"/>
          <w:color w:val="000000"/>
          <w:szCs w:val="21"/>
        </w:rPr>
        <w:t>（3）实质性条款响应情况表</w:t>
      </w:r>
      <w:r>
        <w:rPr>
          <w:rFonts w:ascii="宋体" w:hAnsi="宋体" w:hint="eastAsia"/>
          <w:szCs w:val="21"/>
        </w:rPr>
        <w:t>（格式详见附件）</w:t>
      </w:r>
    </w:p>
    <w:p w:rsidR="007900F6">
      <w:pPr>
        <w:pStyle w:val="NormalIndent"/>
        <w:spacing w:line="360" w:lineRule="auto"/>
        <w:ind w:left="240" w:firstLine="893" w:leftChars="100" w:firstLineChars="372"/>
        <w:contextualSpacing/>
        <w:rPr>
          <w:rFonts w:ascii="宋体" w:hAnsi="宋体"/>
          <w:color w:val="000000"/>
          <w:szCs w:val="21"/>
        </w:rPr>
      </w:pPr>
      <w:r>
        <w:rPr>
          <w:rFonts w:ascii="宋体" w:hAnsi="宋体" w:hint="eastAsia"/>
          <w:color w:val="000000"/>
          <w:szCs w:val="21"/>
        </w:rPr>
        <w:t>（4）</w:t>
      </w:r>
      <w:r>
        <w:rPr>
          <w:rFonts w:ascii="宋体" w:hAnsi="宋体" w:hint="eastAsia"/>
          <w:b/>
          <w:color w:val="000000"/>
          <w:szCs w:val="21"/>
        </w:rPr>
        <w:t>工程量清单报价格式</w:t>
      </w:r>
      <w:r>
        <w:rPr>
          <w:rFonts w:ascii="宋体" w:hAnsi="宋体" w:hint="eastAsia"/>
          <w:szCs w:val="21"/>
        </w:rPr>
        <w:t>（格式详见附件）</w:t>
      </w:r>
    </w:p>
    <w:p w:rsidR="007900F6">
      <w:pPr>
        <w:pStyle w:val="NormalIndent"/>
        <w:spacing w:line="360" w:lineRule="auto"/>
        <w:ind w:left="240" w:firstLine="893" w:leftChars="100" w:firstLineChars="372"/>
        <w:contextualSpacing/>
        <w:rPr>
          <w:rFonts w:ascii="宋体" w:hAnsi="宋体"/>
          <w:color w:val="000000"/>
          <w:szCs w:val="21"/>
        </w:rPr>
      </w:pPr>
      <w:r>
        <w:rPr>
          <w:rFonts w:ascii="宋体" w:hAnsi="宋体" w:hint="eastAsia"/>
          <w:color w:val="000000"/>
          <w:szCs w:val="21"/>
        </w:rPr>
        <w:t>（5）项目总体概述及理解（格式自定）</w:t>
      </w:r>
    </w:p>
    <w:p w:rsidR="007900F6">
      <w:pPr>
        <w:pStyle w:val="NormalIndent"/>
        <w:spacing w:line="360" w:lineRule="auto"/>
        <w:ind w:left="240" w:firstLine="893" w:leftChars="100" w:firstLineChars="372"/>
        <w:contextualSpacing/>
        <w:rPr>
          <w:rFonts w:ascii="宋体" w:hAnsi="宋体"/>
          <w:color w:val="000000"/>
          <w:szCs w:val="21"/>
        </w:rPr>
      </w:pPr>
      <w:r>
        <w:rPr>
          <w:rFonts w:ascii="宋体" w:hAnsi="宋体" w:hint="eastAsia"/>
          <w:color w:val="000000"/>
          <w:szCs w:val="21"/>
        </w:rPr>
        <w:t>（6）施工组织计划、施工技术、施工工艺及相关的合理化建议（格式自定）</w:t>
      </w:r>
    </w:p>
    <w:p w:rsidR="007900F6">
      <w:pPr>
        <w:pStyle w:val="NormalIndent"/>
        <w:spacing w:line="360" w:lineRule="auto"/>
        <w:ind w:left="240" w:firstLine="893" w:leftChars="100" w:firstLineChars="372"/>
        <w:contextualSpacing/>
        <w:rPr>
          <w:rFonts w:ascii="宋体" w:hAnsi="宋体"/>
          <w:color w:val="000000"/>
          <w:szCs w:val="21"/>
        </w:rPr>
      </w:pPr>
      <w:r>
        <w:rPr>
          <w:rFonts w:ascii="宋体" w:hAnsi="宋体" w:hint="eastAsia"/>
          <w:color w:val="000000"/>
          <w:szCs w:val="21"/>
        </w:rPr>
        <w:t>（7）项目实施关键施工技术（重点难点）分析及解决方案（格式自定）</w:t>
      </w:r>
    </w:p>
    <w:p w:rsidR="007900F6" w:rsidRPr="00B94935" w:rsidP="00B94935">
      <w:pPr>
        <w:pStyle w:val="NormalIndent"/>
        <w:spacing w:line="360" w:lineRule="auto"/>
        <w:ind w:left="240" w:firstLine="893" w:leftChars="100" w:firstLineChars="372"/>
        <w:contextualSpacing/>
        <w:rPr>
          <w:rFonts w:ascii="宋体" w:hAnsi="宋体" w:hint="eastAsia"/>
          <w:color w:val="000000"/>
          <w:szCs w:val="21"/>
        </w:rPr>
      </w:pPr>
      <w:r>
        <w:rPr>
          <w:rFonts w:hint="eastAsia"/>
        </w:rPr>
        <w:t>（8）</w:t>
      </w:r>
      <w:r>
        <w:t>施工质量（安全、环保、工期、售后服务）保障措施</w:t>
      </w:r>
      <w:r>
        <w:rPr>
          <w:rFonts w:hint="eastAsia"/>
        </w:rPr>
        <w:t>（格式自定）</w:t>
      </w:r>
    </w:p>
    <w:p w:rsidR="007900F6">
      <w:pPr>
        <w:spacing w:line="360" w:lineRule="auto"/>
        <w:ind w:firstLine="485" w:firstLineChars="202"/>
        <w:contextualSpacing/>
        <w:rPr>
          <w:rFonts w:ascii="宋体" w:hAnsi="宋体"/>
          <w:color w:val="000000"/>
          <w:szCs w:val="21"/>
        </w:rPr>
      </w:pPr>
      <w:r>
        <w:rPr>
          <w:rFonts w:ascii="宋体" w:hAnsi="宋体" w:hint="eastAsia"/>
          <w:color w:val="000000"/>
          <w:szCs w:val="21"/>
        </w:rPr>
        <w:t>备注：</w:t>
      </w:r>
    </w:p>
    <w:p w:rsidR="007900F6">
      <w:pPr>
        <w:spacing w:line="360" w:lineRule="auto"/>
        <w:ind w:firstLine="485" w:firstLineChars="202"/>
        <w:contextualSpacing/>
        <w:rPr>
          <w:rFonts w:ascii="宋体" w:hAnsi="宋体"/>
          <w:color w:val="000000"/>
          <w:szCs w:val="21"/>
        </w:rPr>
      </w:pPr>
      <w:r>
        <w:rPr>
          <w:rFonts w:ascii="宋体" w:hAnsi="宋体" w:hint="eastAsia"/>
          <w:color w:val="000000"/>
          <w:szCs w:val="21"/>
        </w:rPr>
        <w:t>1.本项目为网上电子投标项目，投标文件不需法人或授权委托人另行签字，无需加盖单位公章，招标文件专用条款另有规定的除外。</w:t>
      </w:r>
    </w:p>
    <w:p w:rsidR="007900F6">
      <w:pPr>
        <w:spacing w:line="360" w:lineRule="auto"/>
        <w:ind w:firstLine="485" w:firstLineChars="202"/>
        <w:contextualSpacing/>
        <w:rPr>
          <w:rFonts w:ascii="宋体" w:hAnsi="宋体"/>
          <w:b/>
          <w:color w:val="000000"/>
          <w:szCs w:val="21"/>
        </w:rPr>
      </w:pPr>
      <w:r>
        <w:rPr>
          <w:rFonts w:ascii="宋体" w:hAnsi="宋体" w:hint="eastAsia"/>
          <w:b/>
          <w:color w:val="000000"/>
          <w:szCs w:val="21"/>
        </w:rPr>
        <w:t>2.关于“开标一览表”的评标说明：“开标一览表”中除“投标总价”外，其他信息不作评审依据。</w:t>
      </w:r>
    </w:p>
    <w:p w:rsidR="007900F6">
      <w:pPr>
        <w:spacing w:line="360" w:lineRule="auto"/>
        <w:ind w:firstLine="485" w:firstLineChars="202"/>
        <w:contextualSpacing/>
        <w:rPr>
          <w:rFonts w:ascii="宋体" w:hAnsi="宋体"/>
          <w:b/>
          <w:color w:val="000000"/>
          <w:szCs w:val="21"/>
        </w:rPr>
      </w:pPr>
      <w:r>
        <w:rPr>
          <w:rFonts w:ascii="宋体" w:hAnsi="宋体" w:hint="eastAsia"/>
          <w:b/>
          <w:color w:val="000000"/>
          <w:szCs w:val="21"/>
        </w:rPr>
        <w:t>3.关于投标书编制软件中“开标一览表”的填写说明：“开标一览表”中“完工期”一栏的填写内容不作任何要求，由投标人自行填写。</w:t>
      </w:r>
    </w:p>
    <w:p w:rsidR="007900F6">
      <w:pPr>
        <w:widowControl/>
        <w:jc w:val="left"/>
        <w:rPr>
          <w:rFonts w:ascii="宋体" w:hAnsi="宋体"/>
          <w:color w:val="000000"/>
          <w:sz w:val="24"/>
        </w:rPr>
      </w:pPr>
      <w:r>
        <w:rPr>
          <w:rFonts w:ascii="宋体" w:hAnsi="宋体"/>
          <w:color w:val="000000"/>
          <w:sz w:val="24"/>
        </w:rPr>
        <w:br w:type="page"/>
      </w:r>
    </w:p>
    <w:p w:rsidR="007900F6">
      <w:pPr>
        <w:widowControl/>
        <w:spacing w:line="360" w:lineRule="auto"/>
        <w:contextualSpacing/>
        <w:jc w:val="left"/>
        <w:rPr>
          <w:rFonts w:ascii="宋体" w:hAnsi="宋体"/>
          <w:color w:val="000000"/>
          <w:sz w:val="24"/>
        </w:rPr>
      </w:pPr>
    </w:p>
    <w:p w:rsidR="007900F6">
      <w:pPr>
        <w:spacing w:line="360" w:lineRule="auto"/>
        <w:contextualSpacing/>
        <w:jc w:val="center"/>
        <w:outlineLvl w:val="1"/>
        <w:rPr>
          <w:rFonts w:ascii="宋体" w:hAnsi="宋体"/>
          <w:b/>
          <w:color w:val="000000"/>
          <w:sz w:val="36"/>
          <w:szCs w:val="36"/>
        </w:rPr>
      </w:pPr>
      <w:r>
        <w:rPr>
          <w:rFonts w:ascii="宋体" w:hAnsi="宋体" w:hint="eastAsia"/>
          <w:b/>
          <w:color w:val="000000"/>
          <w:sz w:val="36"/>
          <w:szCs w:val="36"/>
        </w:rPr>
        <w:t>温馨提示</w:t>
      </w:r>
    </w:p>
    <w:p w:rsidR="007900F6">
      <w:pPr>
        <w:spacing w:line="360" w:lineRule="auto"/>
        <w:contextualSpacing/>
        <w:jc w:val="center"/>
        <w:outlineLvl w:val="1"/>
        <w:rPr>
          <w:rFonts w:ascii="宋体" w:hAnsi="宋体"/>
          <w:b/>
          <w:color w:val="000000"/>
          <w:sz w:val="28"/>
          <w:szCs w:val="28"/>
        </w:rPr>
      </w:pPr>
    </w:p>
    <w:p w:rsidR="007900F6">
      <w:pPr>
        <w:spacing w:line="360" w:lineRule="auto"/>
        <w:ind w:firstLine="480" w:firstLineChars="200"/>
        <w:contextualSpacing/>
        <w:rPr>
          <w:rFonts w:ascii="宋体" w:hAnsi="宋体"/>
          <w:color w:val="000000"/>
          <w:kern w:val="0"/>
          <w:sz w:val="28"/>
          <w:szCs w:val="28"/>
        </w:rPr>
      </w:pPr>
      <w:r>
        <w:rPr>
          <w:rFonts w:ascii="宋体" w:hAnsi="宋体" w:hint="eastAsia"/>
          <w:color w:val="000000"/>
          <w:kern w:val="0"/>
          <w:sz w:val="28"/>
          <w:szCs w:val="28"/>
        </w:rPr>
        <w:t>投标文件中存在以下情况的，将会导致投标无效：</w:t>
      </w:r>
    </w:p>
    <w:p w:rsidR="007900F6">
      <w:pPr>
        <w:spacing w:line="360" w:lineRule="auto"/>
        <w:ind w:firstLine="480" w:firstLineChars="200"/>
        <w:contextualSpacing/>
        <w:rPr>
          <w:rFonts w:ascii="宋体" w:hAnsi="宋体"/>
          <w:color w:val="000000"/>
          <w:kern w:val="0"/>
          <w:sz w:val="28"/>
          <w:szCs w:val="28"/>
        </w:rPr>
      </w:pPr>
      <w:r>
        <w:rPr>
          <w:rFonts w:ascii="宋体" w:hAnsi="宋体" w:hint="eastAsia"/>
          <w:color w:val="000000"/>
          <w:kern w:val="0"/>
          <w:sz w:val="28"/>
          <w:szCs w:val="28"/>
        </w:rPr>
        <w:t>1.未按投标人资格要求提供有效的营业执照或事业单位法人证扫描件、《政府采购投标及履约承诺函》声明等证明文件；</w:t>
      </w:r>
    </w:p>
    <w:p w:rsidR="007900F6">
      <w:pPr>
        <w:spacing w:line="360" w:lineRule="auto"/>
        <w:ind w:firstLine="480" w:firstLineChars="200"/>
        <w:contextualSpacing/>
        <w:rPr>
          <w:rFonts w:ascii="宋体" w:hAnsi="宋体"/>
          <w:color w:val="000000"/>
          <w:kern w:val="0"/>
          <w:sz w:val="28"/>
          <w:szCs w:val="28"/>
        </w:rPr>
      </w:pPr>
      <w:r>
        <w:rPr>
          <w:rFonts w:ascii="宋体" w:hAnsi="宋体" w:hint="eastAsia"/>
          <w:color w:val="000000"/>
          <w:kern w:val="0"/>
          <w:sz w:val="28"/>
          <w:szCs w:val="28"/>
        </w:rPr>
        <w:t>2.投标报价不符合要求，包括但不限于：投标总价或项目报价表中单个采购预算条目报价超过对应的财政预算限额、投标文件报价出现前后不一致且按照法定程序进行修正后投标人不确认的；</w:t>
      </w:r>
    </w:p>
    <w:p w:rsidR="007900F6">
      <w:pPr>
        <w:spacing w:line="360" w:lineRule="auto"/>
        <w:ind w:firstLine="480" w:firstLineChars="200"/>
        <w:contextualSpacing/>
        <w:rPr>
          <w:rFonts w:ascii="宋体" w:hAnsi="宋体"/>
          <w:color w:val="000000"/>
          <w:kern w:val="0"/>
          <w:sz w:val="28"/>
          <w:szCs w:val="28"/>
        </w:rPr>
      </w:pPr>
      <w:r>
        <w:rPr>
          <w:rFonts w:ascii="宋体" w:hAnsi="宋体" w:hint="eastAsia"/>
          <w:color w:val="000000"/>
          <w:kern w:val="0"/>
          <w:sz w:val="28"/>
          <w:szCs w:val="28"/>
        </w:rPr>
        <w:t>3. 未对实质性条款响应情况表进行响应；</w:t>
      </w:r>
    </w:p>
    <w:p w:rsidR="007900F6">
      <w:pPr>
        <w:spacing w:line="360" w:lineRule="auto"/>
        <w:ind w:firstLine="480" w:firstLineChars="200"/>
        <w:contextualSpacing/>
        <w:rPr>
          <w:rFonts w:ascii="宋体" w:hAnsi="宋体"/>
          <w:color w:val="000000"/>
          <w:kern w:val="0"/>
          <w:sz w:val="28"/>
          <w:szCs w:val="28"/>
        </w:rPr>
      </w:pPr>
      <w:r>
        <w:rPr>
          <w:rFonts w:ascii="宋体" w:hAnsi="宋体" w:hint="eastAsia"/>
          <w:color w:val="000000"/>
          <w:kern w:val="0"/>
          <w:sz w:val="28"/>
          <w:szCs w:val="28"/>
        </w:rPr>
        <w:t xml:space="preserve">4. 投标文件正文（信息公开部分）内容缺漏，包括但不限于：《投标函》中未填写项目编号或名称、《政府采购投标及履约承诺函》未署名投标人名称； </w:t>
      </w:r>
    </w:p>
    <w:p w:rsidR="007900F6">
      <w:pPr>
        <w:spacing w:line="360" w:lineRule="auto"/>
        <w:ind w:firstLine="480" w:firstLineChars="200"/>
        <w:contextualSpacing/>
        <w:rPr>
          <w:rFonts w:ascii="宋体" w:hAnsi="宋体"/>
          <w:color w:val="000000"/>
          <w:kern w:val="0"/>
          <w:sz w:val="28"/>
          <w:szCs w:val="28"/>
        </w:rPr>
      </w:pPr>
      <w:r>
        <w:rPr>
          <w:rFonts w:ascii="宋体" w:hAnsi="宋体" w:hint="eastAsia"/>
          <w:color w:val="000000"/>
          <w:kern w:val="0"/>
          <w:sz w:val="28"/>
          <w:szCs w:val="28"/>
        </w:rPr>
        <w:t>5. 投标文件附件（信息不公开部分）内容缺漏，包括但不限于：未提供完整的法定代表人证明书（含法定代表人身份证正反两面扫描件）、投标文件签署授权委托书（含授权委托代理人身份证正反两面扫描件）；</w:t>
      </w:r>
    </w:p>
    <w:p w:rsidR="007900F6">
      <w:pPr>
        <w:spacing w:line="360" w:lineRule="auto"/>
        <w:ind w:firstLine="480" w:firstLineChars="200"/>
        <w:contextualSpacing/>
        <w:rPr>
          <w:rFonts w:ascii="宋体" w:hAnsi="宋体"/>
          <w:color w:val="000000"/>
          <w:kern w:val="0"/>
          <w:sz w:val="28"/>
          <w:szCs w:val="28"/>
        </w:rPr>
      </w:pPr>
      <w:r>
        <w:rPr>
          <w:rFonts w:ascii="宋体" w:hAnsi="宋体" w:hint="eastAsia"/>
          <w:color w:val="000000"/>
          <w:kern w:val="0"/>
          <w:sz w:val="28"/>
          <w:szCs w:val="28"/>
        </w:rPr>
        <w:t>6.投标文件正文（信息公开部分）内容未放置于投标文件信息公开部分。</w:t>
      </w:r>
    </w:p>
    <w:p w:rsidR="007900F6">
      <w:pPr>
        <w:spacing w:line="360" w:lineRule="auto"/>
        <w:ind w:firstLine="485" w:firstLineChars="202"/>
        <w:contextualSpacing/>
        <w:rPr>
          <w:rFonts w:ascii="宋体" w:hAnsi="宋体"/>
          <w:color w:val="000000"/>
          <w:szCs w:val="21"/>
        </w:rPr>
      </w:pPr>
    </w:p>
    <w:p w:rsidR="007900F6">
      <w:pPr>
        <w:widowControl/>
        <w:spacing w:line="360" w:lineRule="auto"/>
        <w:contextualSpacing/>
        <w:jc w:val="left"/>
        <w:rPr>
          <w:rFonts w:ascii="宋体" w:hAnsi="宋体"/>
          <w:color w:val="000000"/>
          <w:szCs w:val="21"/>
        </w:rPr>
      </w:pPr>
      <w:r>
        <w:rPr>
          <w:rFonts w:ascii="宋体" w:hAnsi="宋体"/>
          <w:color w:val="000000"/>
          <w:szCs w:val="21"/>
        </w:rPr>
        <w:br w:type="page"/>
      </w:r>
    </w:p>
    <w:p w:rsidR="007900F6">
      <w:pPr>
        <w:pStyle w:val="Heading3"/>
        <w:spacing w:before="0" w:after="0" w:line="360" w:lineRule="auto"/>
        <w:contextualSpacing/>
        <w:rPr>
          <w:rFonts w:ascii="仿宋_GB2312" w:eastAsia="仿宋_GB2312"/>
          <w:b w:val="0"/>
          <w:color w:val="000000"/>
          <w:sz w:val="30"/>
          <w:szCs w:val="30"/>
        </w:rPr>
      </w:pPr>
      <w:r>
        <w:rPr>
          <w:rFonts w:ascii="仿宋_GB2312" w:eastAsia="仿宋_GB2312" w:hint="eastAsia"/>
          <w:b w:val="0"/>
          <w:color w:val="000000"/>
          <w:sz w:val="30"/>
          <w:szCs w:val="30"/>
        </w:rPr>
        <w:t>投标文件正文（信息公开部分，此部分内容须公示）：</w:t>
      </w:r>
    </w:p>
    <w:p w:rsidR="007900F6">
      <w:pPr>
        <w:pStyle w:val="Heading4"/>
        <w:spacing w:before="0" w:after="0" w:line="360" w:lineRule="auto"/>
        <w:contextualSpacing/>
        <w:jc w:val="center"/>
        <w:rPr>
          <w:rFonts w:ascii="黑体"/>
          <w:b w:val="0"/>
          <w:color w:val="000000"/>
          <w:kern w:val="0"/>
          <w:sz w:val="24"/>
        </w:rPr>
      </w:pPr>
      <w:r>
        <w:rPr>
          <w:rFonts w:ascii="黑体" w:hint="eastAsia"/>
          <w:b w:val="0"/>
          <w:color w:val="000000"/>
          <w:kern w:val="0"/>
          <w:sz w:val="24"/>
        </w:rPr>
        <w:t>一、投标函</w:t>
      </w:r>
    </w:p>
    <w:p w:rsidR="007900F6">
      <w:pPr>
        <w:spacing w:line="360" w:lineRule="auto"/>
        <w:contextualSpacing/>
        <w:rPr>
          <w:rFonts w:ascii="宋体" w:hAnsi="宋体"/>
          <w:color w:val="000000"/>
          <w:szCs w:val="21"/>
        </w:rPr>
      </w:pPr>
      <w:r>
        <w:rPr>
          <w:rFonts w:ascii="宋体" w:hAnsi="宋体" w:hint="eastAsia"/>
          <w:color w:val="000000"/>
          <w:szCs w:val="21"/>
        </w:rPr>
        <w:t>致：</w:t>
      </w:r>
      <w:r>
        <w:rPr>
          <w:rFonts w:ascii="宋体" w:hAnsi="宋体" w:hint="eastAsia"/>
          <w:color w:val="000000"/>
          <w:szCs w:val="21"/>
          <w:u w:val="single"/>
        </w:rPr>
        <w:t>深圳市国信招标有限公司</w:t>
      </w:r>
    </w:p>
    <w:p w:rsidR="007900F6">
      <w:pPr>
        <w:spacing w:line="360" w:lineRule="auto"/>
        <w:ind w:firstLine="480" w:firstLineChars="200"/>
        <w:contextualSpacing/>
        <w:rPr>
          <w:color w:val="000000"/>
          <w:szCs w:val="21"/>
        </w:rPr>
      </w:pPr>
      <w:r>
        <w:rPr>
          <w:rFonts w:hint="eastAsia"/>
          <w:color w:val="000000"/>
          <w:szCs w:val="21"/>
        </w:rPr>
        <w:t>1.根据已收到贵方的项目编号为</w:t>
      </w:r>
      <w:r>
        <w:rPr>
          <w:rFonts w:hint="eastAsia"/>
          <w:color w:val="000000"/>
          <w:szCs w:val="21"/>
          <w:u w:val="single"/>
        </w:rPr>
        <w:t xml:space="preserve">        </w:t>
      </w:r>
      <w:r>
        <w:rPr>
          <w:rFonts w:hint="eastAsia"/>
          <w:color w:val="000000"/>
          <w:szCs w:val="21"/>
        </w:rPr>
        <w:t>的</w:t>
      </w:r>
      <w:r>
        <w:rPr>
          <w:rFonts w:hint="eastAsia"/>
          <w:color w:val="000000"/>
          <w:szCs w:val="21"/>
          <w:u w:val="single"/>
        </w:rPr>
        <w:t xml:space="preserve">               </w:t>
      </w:r>
      <w:r>
        <w:rPr>
          <w:rFonts w:hint="eastAsia"/>
          <w:color w:val="000000"/>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7900F6">
      <w:pPr>
        <w:spacing w:line="360" w:lineRule="auto"/>
        <w:ind w:firstLine="480" w:firstLineChars="200"/>
        <w:contextualSpacing/>
        <w:rPr>
          <w:color w:val="000000"/>
          <w:szCs w:val="21"/>
        </w:rPr>
      </w:pPr>
      <w:r>
        <w:rPr>
          <w:color w:val="000000"/>
          <w:szCs w:val="21"/>
        </w:rPr>
        <w:t>2</w:t>
      </w:r>
      <w:r>
        <w:rPr>
          <w:rFonts w:hint="eastAsia"/>
          <w:color w:val="000000"/>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7900F6" w:rsidP="007900F6">
      <w:pPr>
        <w:spacing w:line="360" w:lineRule="auto"/>
        <w:ind w:firstLine="470" w:firstLineChars="196"/>
        <w:contextualSpacing/>
        <w:rPr>
          <w:rFonts w:ascii="宋体" w:hAnsi="宋体"/>
          <w:color w:val="000000"/>
          <w:szCs w:val="21"/>
        </w:rPr>
      </w:pPr>
      <w:r>
        <w:rPr>
          <w:rFonts w:ascii="宋体" w:hAnsi="宋体" w:hint="eastAsia"/>
          <w:color w:val="000000"/>
          <w:szCs w:val="21"/>
        </w:rPr>
        <w:t>3.我方同意所递交的投标文件在“对通用条款的补充内容”中的投标有效期内有效，在此期间内我方的投标有可能中标，我方将受此约束。</w:t>
      </w:r>
    </w:p>
    <w:p w:rsidR="007900F6" w:rsidP="007900F6">
      <w:pPr>
        <w:spacing w:line="360" w:lineRule="auto"/>
        <w:ind w:firstLine="470" w:firstLineChars="196"/>
        <w:contextualSpacing/>
        <w:rPr>
          <w:rFonts w:ascii="宋体" w:hAnsi="宋体"/>
          <w:color w:val="000000"/>
          <w:szCs w:val="21"/>
        </w:rPr>
      </w:pPr>
      <w:r>
        <w:rPr>
          <w:rFonts w:ascii="宋体" w:hAnsi="宋体" w:hint="eastAsia"/>
          <w:color w:val="000000"/>
          <w:szCs w:val="21"/>
        </w:rPr>
        <w:t>4.除非另外达成协议并生效，贵方的中标通知书和本投标文件将构成约束我们双方的合同。</w:t>
      </w:r>
    </w:p>
    <w:p w:rsidR="007900F6" w:rsidP="007900F6">
      <w:pPr>
        <w:spacing w:line="360" w:lineRule="auto"/>
        <w:ind w:firstLine="470" w:firstLineChars="196"/>
        <w:contextualSpacing/>
        <w:rPr>
          <w:rFonts w:ascii="宋体" w:hAnsi="宋体"/>
          <w:color w:val="000000"/>
          <w:szCs w:val="21"/>
        </w:rPr>
      </w:pPr>
      <w:r>
        <w:rPr>
          <w:rFonts w:ascii="宋体" w:hAnsi="宋体" w:hint="eastAsia"/>
          <w:color w:val="000000"/>
          <w:szCs w:val="21"/>
        </w:rPr>
        <w:t>5.我方理解贵方将不受必须接受你们所收到的最低标价或其它任何投标文件的约束。</w:t>
      </w:r>
    </w:p>
    <w:p w:rsidR="007900F6">
      <w:pPr>
        <w:spacing w:line="360" w:lineRule="auto"/>
        <w:ind w:left="617" w:leftChars="257"/>
        <w:contextualSpacing/>
        <w:rPr>
          <w:color w:val="000000"/>
          <w:szCs w:val="21"/>
          <w:u w:val="single"/>
        </w:rPr>
      </w:pPr>
      <w:r>
        <w:rPr>
          <w:rFonts w:hint="eastAsia"/>
          <w:b/>
          <w:color w:val="000000"/>
          <w:szCs w:val="21"/>
        </w:rPr>
        <w:t>投标人：</w:t>
      </w:r>
      <w:r>
        <w:rPr>
          <w:rFonts w:hint="eastAsia"/>
          <w:b/>
          <w:color w:val="000000"/>
          <w:szCs w:val="21"/>
          <w:u w:val="single"/>
        </w:rPr>
        <w:t xml:space="preserve">                   </w:t>
      </w:r>
      <w:r>
        <w:rPr>
          <w:rFonts w:hint="eastAsia"/>
          <w:color w:val="000000"/>
          <w:szCs w:val="21"/>
        </w:rPr>
        <w:t xml:space="preserve">    单位地址：</w:t>
      </w:r>
      <w:r>
        <w:rPr>
          <w:rFonts w:hint="eastAsia"/>
          <w:color w:val="000000"/>
          <w:szCs w:val="21"/>
          <w:u w:val="single"/>
        </w:rPr>
        <w:t xml:space="preserve">               </w:t>
      </w:r>
    </w:p>
    <w:p w:rsidR="007900F6">
      <w:pPr>
        <w:spacing w:line="360" w:lineRule="auto"/>
        <w:ind w:left="617" w:leftChars="257"/>
        <w:contextualSpacing/>
        <w:rPr>
          <w:b/>
          <w:color w:val="000000"/>
          <w:szCs w:val="21"/>
          <w:u w:val="single"/>
        </w:rPr>
      </w:pPr>
      <w:r>
        <w:rPr>
          <w:rFonts w:hint="eastAsia"/>
          <w:b/>
          <w:color w:val="000000"/>
          <w:szCs w:val="21"/>
        </w:rPr>
        <w:t>法定代表人或其委托代理人：</w:t>
      </w:r>
      <w:r>
        <w:rPr>
          <w:rFonts w:hint="eastAsia"/>
          <w:b/>
          <w:color w:val="000000"/>
          <w:szCs w:val="21"/>
          <w:u w:val="single"/>
        </w:rPr>
        <w:t xml:space="preserve">                   </w:t>
      </w:r>
    </w:p>
    <w:p w:rsidR="007900F6">
      <w:pPr>
        <w:spacing w:line="360" w:lineRule="auto"/>
        <w:ind w:left="617" w:leftChars="257"/>
        <w:contextualSpacing/>
        <w:rPr>
          <w:color w:val="000000"/>
          <w:szCs w:val="21"/>
          <w:u w:val="single"/>
        </w:rPr>
      </w:pPr>
      <w:r>
        <w:rPr>
          <w:rFonts w:hint="eastAsia"/>
          <w:color w:val="000000"/>
          <w:szCs w:val="21"/>
        </w:rPr>
        <w:t>邮政编码：</w:t>
      </w:r>
      <w:r>
        <w:rPr>
          <w:rFonts w:hint="eastAsia"/>
          <w:color w:val="000000"/>
          <w:szCs w:val="21"/>
          <w:u w:val="single"/>
        </w:rPr>
        <w:t xml:space="preserve">          </w:t>
      </w:r>
      <w:r>
        <w:rPr>
          <w:rFonts w:hint="eastAsia"/>
          <w:color w:val="000000"/>
          <w:szCs w:val="21"/>
        </w:rPr>
        <w:t xml:space="preserve">  电话：</w:t>
      </w:r>
      <w:r>
        <w:rPr>
          <w:rFonts w:hint="eastAsia"/>
          <w:color w:val="000000"/>
          <w:szCs w:val="21"/>
          <w:u w:val="single"/>
        </w:rPr>
        <w:t xml:space="preserve">          </w:t>
      </w:r>
      <w:r>
        <w:rPr>
          <w:rFonts w:hint="eastAsia"/>
          <w:color w:val="000000"/>
          <w:szCs w:val="21"/>
        </w:rPr>
        <w:t xml:space="preserve">  传真：</w:t>
      </w:r>
      <w:r>
        <w:rPr>
          <w:rFonts w:hint="eastAsia"/>
          <w:color w:val="000000"/>
          <w:szCs w:val="21"/>
          <w:u w:val="single"/>
        </w:rPr>
        <w:t xml:space="preserve">            </w:t>
      </w:r>
    </w:p>
    <w:p w:rsidR="007900F6">
      <w:pPr>
        <w:spacing w:line="360" w:lineRule="auto"/>
        <w:ind w:left="617" w:leftChars="257"/>
        <w:contextualSpacing/>
        <w:rPr>
          <w:color w:val="000000"/>
          <w:szCs w:val="21"/>
        </w:rPr>
      </w:pPr>
      <w:r>
        <w:rPr>
          <w:rFonts w:hint="eastAsia"/>
          <w:color w:val="000000"/>
          <w:szCs w:val="21"/>
        </w:rPr>
        <w:t>开户银行名称：</w:t>
      </w:r>
      <w:r>
        <w:rPr>
          <w:rFonts w:hint="eastAsia"/>
          <w:color w:val="000000"/>
          <w:szCs w:val="21"/>
          <w:u w:val="single"/>
        </w:rPr>
        <w:tab/>
        <w:tab/>
        <w:tab/>
        <w:tab/>
      </w:r>
      <w:r>
        <w:rPr>
          <w:rFonts w:hint="eastAsia"/>
          <w:color w:val="000000"/>
          <w:szCs w:val="21"/>
        </w:rPr>
        <w:tab/>
        <w:t>开户银行帐号：</w:t>
      </w:r>
      <w:r>
        <w:rPr>
          <w:rFonts w:hint="eastAsia"/>
          <w:color w:val="000000"/>
          <w:szCs w:val="21"/>
          <w:u w:val="single"/>
        </w:rPr>
        <w:tab/>
        <w:tab/>
        <w:tab/>
        <w:tab/>
      </w:r>
    </w:p>
    <w:p w:rsidR="007900F6">
      <w:pPr>
        <w:spacing w:line="360" w:lineRule="auto"/>
        <w:ind w:left="617" w:leftChars="257"/>
        <w:contextualSpacing/>
        <w:rPr>
          <w:color w:val="000000"/>
          <w:szCs w:val="21"/>
        </w:rPr>
      </w:pPr>
      <w:r>
        <w:rPr>
          <w:rFonts w:hint="eastAsia"/>
          <w:color w:val="000000"/>
          <w:szCs w:val="21"/>
        </w:rPr>
        <w:t>开户银行地址：</w:t>
      </w:r>
      <w:r>
        <w:rPr>
          <w:rFonts w:hint="eastAsia"/>
          <w:color w:val="000000"/>
          <w:szCs w:val="21"/>
          <w:u w:val="single"/>
        </w:rPr>
        <w:tab/>
        <w:tab/>
        <w:tab/>
        <w:tab/>
      </w:r>
      <w:r>
        <w:rPr>
          <w:rFonts w:hint="eastAsia"/>
          <w:color w:val="000000"/>
          <w:szCs w:val="21"/>
        </w:rPr>
        <w:tab/>
        <w:t>开户银行电话：</w:t>
      </w:r>
      <w:r>
        <w:rPr>
          <w:rFonts w:hint="eastAsia"/>
          <w:color w:val="000000"/>
          <w:szCs w:val="21"/>
          <w:u w:val="single"/>
        </w:rPr>
        <w:tab/>
        <w:tab/>
        <w:tab/>
        <w:tab/>
      </w:r>
    </w:p>
    <w:p w:rsidR="007900F6" w:rsidP="007900F6">
      <w:pPr>
        <w:spacing w:line="360" w:lineRule="auto"/>
        <w:ind w:firstLine="617" w:firstLineChars="257"/>
        <w:contextualSpacing/>
        <w:rPr>
          <w:color w:val="000000"/>
          <w:sz w:val="24"/>
        </w:rPr>
      </w:pPr>
      <w:r>
        <w:rPr>
          <w:rFonts w:ascii="宋体" w:hAnsi="宋体" w:hint="eastAsia"/>
          <w:color w:val="000000"/>
          <w:szCs w:val="21"/>
        </w:rPr>
        <w:t>日期：</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w:t>
      </w:r>
      <w:r>
        <w:rPr>
          <w:rFonts w:hint="eastAsia"/>
          <w:color w:val="000000"/>
          <w:sz w:val="24"/>
        </w:rPr>
        <w:t xml:space="preserve">                                </w:t>
      </w:r>
    </w:p>
    <w:p w:rsidR="007900F6" w:rsidP="007900F6">
      <w:pPr>
        <w:spacing w:line="360" w:lineRule="auto"/>
        <w:ind w:firstLine="470" w:firstLineChars="196"/>
        <w:contextualSpacing/>
        <w:rPr>
          <w:rFonts w:ascii="宋体" w:hAnsi="宋体"/>
          <w:color w:val="000000"/>
          <w:szCs w:val="21"/>
        </w:rPr>
      </w:pPr>
    </w:p>
    <w:p w:rsidR="007900F6">
      <w:pPr>
        <w:spacing w:line="360" w:lineRule="auto"/>
        <w:contextualSpacing/>
        <w:rPr>
          <w:rFonts w:ascii="黑体" w:eastAsia="黑体" w:hAnsi="宋体"/>
          <w:color w:val="000000"/>
        </w:rPr>
      </w:pPr>
    </w:p>
    <w:p w:rsidR="007900F6">
      <w:pPr>
        <w:widowControl/>
        <w:spacing w:line="360" w:lineRule="auto"/>
        <w:contextualSpacing/>
        <w:jc w:val="left"/>
        <w:rPr>
          <w:rFonts w:ascii="黑体" w:eastAsia="黑体" w:hAnsi="宋体"/>
          <w:color w:val="000000"/>
        </w:rPr>
      </w:pPr>
      <w:r>
        <w:rPr>
          <w:rFonts w:ascii="黑体" w:eastAsia="黑体" w:hAnsi="宋体"/>
          <w:color w:val="000000"/>
        </w:rPr>
        <w:br w:type="page"/>
      </w:r>
    </w:p>
    <w:p w:rsidR="007900F6">
      <w:pPr>
        <w:pStyle w:val="Heading4"/>
        <w:spacing w:before="0" w:after="0" w:line="360" w:lineRule="auto"/>
        <w:contextualSpacing/>
        <w:jc w:val="center"/>
        <w:rPr>
          <w:rFonts w:ascii="黑体"/>
          <w:b w:val="0"/>
          <w:color w:val="000000"/>
          <w:kern w:val="0"/>
          <w:sz w:val="24"/>
        </w:rPr>
      </w:pPr>
      <w:r>
        <w:rPr>
          <w:rFonts w:ascii="黑体" w:hint="eastAsia"/>
          <w:b w:val="0"/>
          <w:color w:val="000000"/>
          <w:kern w:val="0"/>
          <w:sz w:val="24"/>
        </w:rPr>
        <w:t>二、政府采购投标及履约承诺函</w:t>
      </w:r>
    </w:p>
    <w:p w:rsidR="007900F6">
      <w:pPr>
        <w:spacing w:line="360" w:lineRule="auto"/>
        <w:contextualSpacing/>
        <w:rPr>
          <w:rFonts w:ascii="宋体" w:hAnsi="宋体"/>
          <w:color w:val="000000"/>
          <w:szCs w:val="21"/>
        </w:rPr>
      </w:pPr>
    </w:p>
    <w:p w:rsidR="007900F6">
      <w:pPr>
        <w:spacing w:line="360" w:lineRule="auto"/>
        <w:contextualSpacing/>
        <w:rPr>
          <w:rFonts w:ascii="宋体" w:hAnsi="宋体"/>
          <w:color w:val="000000"/>
          <w:szCs w:val="21"/>
        </w:rPr>
      </w:pPr>
      <w:r>
        <w:rPr>
          <w:rFonts w:ascii="宋体" w:hAnsi="宋体" w:hint="eastAsia"/>
          <w:color w:val="000000"/>
          <w:szCs w:val="21"/>
        </w:rPr>
        <w:t>致：</w:t>
      </w:r>
      <w:r>
        <w:rPr>
          <w:rFonts w:ascii="宋体" w:hAnsi="宋体" w:hint="eastAsia"/>
          <w:color w:val="000000"/>
          <w:szCs w:val="21"/>
          <w:u w:val="single"/>
        </w:rPr>
        <w:t>深圳市国信招标有限公司</w:t>
      </w:r>
    </w:p>
    <w:p w:rsidR="007900F6">
      <w:pPr>
        <w:spacing w:line="360" w:lineRule="auto"/>
        <w:ind w:right="-815" w:firstLine="480" w:firstLineChars="200"/>
        <w:contextualSpacing/>
        <w:rPr>
          <w:rFonts w:ascii="宋体" w:hAnsi="宋体"/>
          <w:color w:val="000000"/>
          <w:szCs w:val="21"/>
        </w:rPr>
      </w:pPr>
      <w:r>
        <w:rPr>
          <w:rFonts w:ascii="宋体" w:hAnsi="宋体" w:hint="eastAsia"/>
          <w:color w:val="000000"/>
          <w:szCs w:val="21"/>
        </w:rPr>
        <w:t>我公司承诺：</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1.我公司本招标项目所提供的货物或服务未侵犯知识产权。</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2.我公司参与本项目投标前三年内，在经营活动中没有重大违法记录。</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3.我公司参与本项目政府采购活动时不存在被有关部门禁止参与政府采购活动且在有效期内的情况。</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4.我公司具备《中华人民共和国政府采购法》第二十二条第一款规定的六项条件。</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5.我公司未被列入失信被执行人、重大税收违法案件当事人名单、政府采购严重违法失信行为记录名单。</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6.我公司参与该项目投标，严格遵循公平竞争的原则，不恶意串通，不妨碍其他投标人的竞争行为，不损害采购人或者其他投标人的合法权益。我公司已清楚，如违反上述要求，将作投标无效处理。</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7.我公司如果中标，做到守信，不偷工减料，依照本项目招标文件需求内容、签署的采购合同及本公司在投标中所作的一切承诺履约。</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10.我公司承诺不非法转包、分包。</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以上承诺，如有违反，愿依照国家相关法律处理，并承担由此给采购人带来的损失。</w:t>
      </w:r>
    </w:p>
    <w:p w:rsidR="007900F6">
      <w:pPr>
        <w:spacing w:line="360" w:lineRule="auto"/>
        <w:contextualSpacing/>
        <w:rPr>
          <w:rFonts w:ascii="宋体" w:hAnsi="宋体"/>
          <w:color w:val="000000"/>
          <w:szCs w:val="21"/>
        </w:rPr>
      </w:pPr>
      <w:r>
        <w:rPr>
          <w:rFonts w:ascii="宋体" w:hAnsi="宋体" w:hint="eastAsia"/>
          <w:color w:val="000000"/>
          <w:szCs w:val="21"/>
        </w:rPr>
        <w:t xml:space="preserve">                                                 </w:t>
      </w:r>
    </w:p>
    <w:p w:rsidR="007900F6">
      <w:pPr>
        <w:spacing w:line="360" w:lineRule="auto"/>
        <w:contextualSpacing/>
        <w:rPr>
          <w:rFonts w:ascii="宋体" w:hAnsi="宋体"/>
          <w:b/>
          <w:color w:val="000000"/>
          <w:szCs w:val="21"/>
        </w:rPr>
      </w:pPr>
      <w:r>
        <w:rPr>
          <w:rFonts w:ascii="宋体" w:hAnsi="宋体" w:hint="eastAsia"/>
          <w:color w:val="000000"/>
          <w:szCs w:val="21"/>
        </w:rPr>
        <w:t xml:space="preserve">                                                      </w:t>
      </w:r>
      <w:r>
        <w:rPr>
          <w:rFonts w:ascii="宋体" w:hAnsi="宋体" w:hint="eastAsia"/>
          <w:b/>
          <w:color w:val="000000"/>
          <w:szCs w:val="21"/>
        </w:rPr>
        <w:t>投标人：</w:t>
      </w:r>
      <w:r>
        <w:rPr>
          <w:rFonts w:ascii="宋体" w:hAnsi="宋体" w:hint="eastAsia"/>
          <w:b/>
          <w:color w:val="000000"/>
          <w:szCs w:val="21"/>
          <w:u w:val="single"/>
        </w:rPr>
        <w:t xml:space="preserve">          </w:t>
      </w:r>
    </w:p>
    <w:p w:rsidR="007900F6">
      <w:pPr>
        <w:spacing w:line="360" w:lineRule="auto"/>
        <w:contextualSpacing/>
        <w:rPr>
          <w:rFonts w:ascii="宋体" w:hAnsi="宋体"/>
          <w:color w:val="000000"/>
          <w:szCs w:val="21"/>
        </w:rPr>
      </w:pPr>
      <w:r>
        <w:rPr>
          <w:rFonts w:ascii="宋体" w:hAnsi="宋体" w:hint="eastAsia"/>
          <w:color w:val="000000"/>
          <w:szCs w:val="21"/>
        </w:rPr>
        <w:t xml:space="preserve">                                                      日期：</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w:t>
      </w:r>
    </w:p>
    <w:p w:rsidR="007900F6">
      <w:pPr>
        <w:spacing w:line="360" w:lineRule="auto"/>
        <w:contextualSpacing/>
        <w:rPr>
          <w:rFonts w:ascii="宋体" w:hAnsi="宋体"/>
          <w:color w:val="000000"/>
          <w:szCs w:val="21"/>
          <w:u w:val="single"/>
        </w:rPr>
      </w:pPr>
    </w:p>
    <w:p w:rsidR="007900F6">
      <w:pPr>
        <w:spacing w:line="360" w:lineRule="auto"/>
        <w:contextualSpacing/>
        <w:rPr>
          <w:rFonts w:ascii="宋体" w:hAnsi="宋体"/>
          <w:color w:val="000000"/>
          <w:szCs w:val="21"/>
        </w:rPr>
      </w:pPr>
    </w:p>
    <w:p w:rsidR="007900F6">
      <w:pPr>
        <w:pStyle w:val="Heading4"/>
        <w:spacing w:before="0" w:after="0" w:line="360" w:lineRule="auto"/>
        <w:contextualSpacing/>
        <w:jc w:val="center"/>
        <w:rPr>
          <w:rFonts w:ascii="黑体"/>
          <w:b w:val="0"/>
          <w:color w:val="000000"/>
          <w:kern w:val="0"/>
          <w:sz w:val="24"/>
        </w:rPr>
      </w:pPr>
      <w:r>
        <w:rPr>
          <w:rFonts w:ascii="黑体" w:hint="eastAsia"/>
          <w:b w:val="0"/>
          <w:color w:val="000000"/>
          <w:kern w:val="0"/>
          <w:sz w:val="24"/>
        </w:rPr>
        <w:t>三、投标人情况介绍及资格要求</w:t>
      </w:r>
    </w:p>
    <w:p w:rsidR="007900F6">
      <w:pPr>
        <w:spacing w:line="360" w:lineRule="auto"/>
        <w:ind w:left="632" w:hanging="720" w:hangingChars="300"/>
        <w:contextualSpacing/>
        <w:rPr>
          <w:rFonts w:ascii="宋体" w:hAnsi="宋体"/>
          <w:b/>
          <w:bCs/>
          <w:color w:val="000000"/>
          <w:szCs w:val="21"/>
        </w:rPr>
      </w:pPr>
      <w:r>
        <w:rPr>
          <w:rFonts w:ascii="宋体" w:hAnsi="宋体" w:hint="eastAsia"/>
          <w:b/>
          <w:bCs/>
          <w:color w:val="000000"/>
          <w:szCs w:val="21"/>
        </w:rPr>
        <w:t>1.投标人情况介绍：</w:t>
      </w:r>
    </w:p>
    <w:p w:rsidR="007900F6">
      <w:pPr>
        <w:spacing w:line="360" w:lineRule="auto"/>
        <w:ind w:left="632" w:hanging="720" w:hangingChars="300"/>
        <w:contextualSpacing/>
        <w:rPr>
          <w:rFonts w:ascii="宋体" w:hAnsi="宋体"/>
          <w:b/>
          <w:bCs/>
          <w:color w:val="000000"/>
          <w:szCs w:val="21"/>
        </w:rPr>
      </w:pPr>
      <w:r>
        <w:rPr>
          <w:rFonts w:ascii="宋体" w:hAnsi="宋体" w:hint="eastAsia"/>
          <w:b/>
          <w:bCs/>
          <w:color w:val="000000"/>
          <w:szCs w:val="21"/>
        </w:rPr>
        <w:t>2.资格证明材料：</w:t>
      </w:r>
    </w:p>
    <w:p w:rsidR="007900F6">
      <w:pPr>
        <w:spacing w:line="360" w:lineRule="auto"/>
        <w:ind w:left="632" w:hanging="720" w:hangingChars="300"/>
        <w:contextualSpacing/>
        <w:rPr>
          <w:rFonts w:ascii="宋体" w:hAnsi="宋体"/>
          <w:b/>
          <w:bCs/>
          <w:color w:val="000000"/>
          <w:szCs w:val="21"/>
        </w:rPr>
      </w:pPr>
      <w:r>
        <w:rPr>
          <w:rFonts w:ascii="宋体" w:hAnsi="宋体" w:hint="eastAsia"/>
          <w:b/>
          <w:bCs/>
          <w:color w:val="000000"/>
          <w:szCs w:val="21"/>
        </w:rPr>
        <w:t>注意：资格证明材料必须至少包含招标公告中“投标人资格要求”中的相关证明材料（均要求提供证明材料扫描件，原件备查）。</w:t>
      </w:r>
    </w:p>
    <w:p w:rsidR="007900F6">
      <w:pPr>
        <w:spacing w:line="360" w:lineRule="auto"/>
        <w:ind w:left="632" w:hanging="720" w:hangingChars="300"/>
        <w:contextualSpacing/>
        <w:rPr>
          <w:rFonts w:ascii="宋体" w:hAnsi="宋体"/>
          <w:b/>
          <w:bCs/>
          <w:color w:val="000000"/>
          <w:szCs w:val="21"/>
        </w:rPr>
      </w:pPr>
      <w:r>
        <w:rPr>
          <w:rFonts w:ascii="宋体" w:hAnsi="宋体" w:hint="eastAsia"/>
          <w:b/>
          <w:bCs/>
          <w:color w:val="000000"/>
          <w:szCs w:val="21"/>
        </w:rPr>
        <w:t>3.如联合体投标，投标人还必须提供《联合体投标协议》</w:t>
      </w:r>
      <w:r>
        <w:rPr>
          <w:rFonts w:ascii="宋体" w:hAnsi="宋体" w:hint="eastAsia"/>
          <w:bCs/>
          <w:color w:val="000000"/>
          <w:kern w:val="0"/>
          <w:szCs w:val="21"/>
        </w:rPr>
        <w:t>(可选项)</w:t>
      </w:r>
      <w:r>
        <w:rPr>
          <w:rFonts w:ascii="宋体" w:hAnsi="宋体" w:hint="eastAsia"/>
          <w:b/>
          <w:bCs/>
          <w:color w:val="000000"/>
          <w:szCs w:val="21"/>
        </w:rPr>
        <w:t>。</w:t>
      </w:r>
    </w:p>
    <w:p w:rsidR="007900F6">
      <w:pPr>
        <w:spacing w:line="360" w:lineRule="auto"/>
        <w:contextualSpacing/>
        <w:rPr>
          <w:rFonts w:ascii="宋体" w:hAnsi="宋体"/>
          <w:bCs/>
          <w:color w:val="000000"/>
          <w:kern w:val="0"/>
          <w:szCs w:val="21"/>
        </w:rPr>
      </w:pPr>
      <w:r>
        <w:rPr>
          <w:rFonts w:ascii="宋体" w:hAnsi="宋体" w:hint="eastAsia"/>
          <w:bCs/>
          <w:color w:val="000000"/>
          <w:kern w:val="0"/>
          <w:szCs w:val="21"/>
        </w:rPr>
        <w:t>4、</w:t>
      </w:r>
      <w:r>
        <w:rPr>
          <w:rFonts w:ascii="宋体" w:hAnsi="宋体" w:hint="eastAsia"/>
          <w:b/>
          <w:bCs/>
          <w:color w:val="000000"/>
          <w:szCs w:val="21"/>
        </w:rPr>
        <w:t>如投标人为中小微企业或残疾人福利性单位投标，投标人可提供中小企业声明函及残疾人福利性单位声明函（或省级以上监狱管理局、戒毒管理局（含新疆生产建设兵团）出具的属于监狱企业的证明文件）</w:t>
      </w:r>
      <w:r>
        <w:rPr>
          <w:rFonts w:ascii="宋体" w:hAnsi="宋体" w:hint="eastAsia"/>
          <w:bCs/>
          <w:color w:val="000000"/>
          <w:kern w:val="0"/>
          <w:szCs w:val="21"/>
        </w:rPr>
        <w:t>(可选项)</w:t>
      </w:r>
    </w:p>
    <w:p w:rsidR="007900F6">
      <w:pPr>
        <w:spacing w:line="360" w:lineRule="auto"/>
        <w:contextualSpacing/>
        <w:rPr>
          <w:rFonts w:ascii="宋体" w:hAnsi="宋体"/>
          <w:bCs/>
          <w:color w:val="000000"/>
          <w:kern w:val="0"/>
          <w:szCs w:val="21"/>
        </w:rPr>
      </w:pPr>
    </w:p>
    <w:p w:rsidR="007900F6">
      <w:pPr>
        <w:spacing w:line="360" w:lineRule="auto"/>
        <w:contextualSpacing/>
        <w:rPr>
          <w:rFonts w:ascii="宋体" w:hAnsi="宋体"/>
          <w:b/>
          <w:bCs/>
          <w:color w:val="000000"/>
          <w:kern w:val="0"/>
          <w:szCs w:val="21"/>
        </w:rPr>
      </w:pPr>
      <w:r>
        <w:rPr>
          <w:rFonts w:ascii="宋体" w:hAnsi="宋体" w:hint="eastAsia"/>
          <w:bCs/>
          <w:color w:val="000000"/>
          <w:kern w:val="0"/>
          <w:szCs w:val="21"/>
        </w:rPr>
        <w:t>备注：该部分内容由供应商根据自身情况填写相关声明，不符合要求的供应商可以不填写或删除相应的声明函。</w:t>
      </w:r>
      <w:r>
        <w:rPr>
          <w:rFonts w:ascii="宋体" w:hAnsi="宋体" w:hint="eastAsia"/>
          <w:color w:val="000000"/>
          <w:szCs w:val="21"/>
        </w:rPr>
        <w:t>投标人对声明函的真实性负责。如提供虚假声明，将报送主管部门给予行政处罚。</w:t>
      </w:r>
    </w:p>
    <w:p w:rsidR="007900F6">
      <w:pPr>
        <w:spacing w:line="360" w:lineRule="auto"/>
        <w:contextualSpacing/>
        <w:jc w:val="center"/>
        <w:outlineLvl w:val="4"/>
        <w:rPr>
          <w:rFonts w:ascii="黑体" w:eastAsia="黑体" w:hAnsi="宋体"/>
          <w:bCs/>
          <w:color w:val="000000"/>
          <w:kern w:val="0"/>
          <w:sz w:val="24"/>
          <w:szCs w:val="32"/>
        </w:rPr>
      </w:pPr>
      <w:r>
        <w:rPr>
          <w:rFonts w:ascii="黑体" w:eastAsia="黑体" w:hAnsi="宋体" w:hint="eastAsia"/>
          <w:bCs/>
          <w:color w:val="000000"/>
          <w:kern w:val="0"/>
          <w:sz w:val="24"/>
          <w:szCs w:val="32"/>
        </w:rPr>
        <w:t>（一）中小企业声明函</w:t>
      </w:r>
    </w:p>
    <w:p w:rsidR="007900F6">
      <w:pPr>
        <w:spacing w:line="360" w:lineRule="auto"/>
        <w:contextualSpacing/>
        <w:rPr>
          <w:rFonts w:ascii="黑体" w:eastAsia="黑体" w:hAnsi="宋体"/>
          <w:bCs/>
          <w:color w:val="000000"/>
          <w:kern w:val="0"/>
          <w:sz w:val="24"/>
          <w:szCs w:val="32"/>
        </w:rPr>
      </w:pP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本公司郑重声明，根据《政府采购促进中小企业发展管理办法》（财库〔2020〕46号）的规定，本公司参加</w:t>
      </w:r>
      <w:r>
        <w:rPr>
          <w:rFonts w:ascii="宋体" w:hAnsi="宋体" w:hint="eastAsia"/>
          <w:color w:val="000000"/>
          <w:szCs w:val="21"/>
          <w:u w:val="single"/>
        </w:rPr>
        <w:t xml:space="preserve">   （单位名称）  </w:t>
      </w:r>
      <w:r>
        <w:rPr>
          <w:rFonts w:ascii="宋体" w:hAnsi="宋体" w:hint="eastAsia"/>
          <w:color w:val="000000"/>
          <w:szCs w:val="21"/>
        </w:rPr>
        <w:t>的</w:t>
      </w:r>
      <w:r>
        <w:rPr>
          <w:rFonts w:ascii="宋体" w:hAnsi="宋体" w:hint="eastAsia"/>
          <w:color w:val="000000"/>
          <w:szCs w:val="21"/>
          <w:u w:val="single"/>
        </w:rPr>
        <w:t xml:space="preserve">   （项目名称）   </w:t>
      </w:r>
      <w:r>
        <w:rPr>
          <w:rFonts w:ascii="宋体" w:hAnsi="宋体" w:hint="eastAsia"/>
          <w:color w:val="000000"/>
          <w:szCs w:val="21"/>
        </w:rPr>
        <w:t>采购活动，服务全部由符合政策要求的中小企业承接。相关企业的具体情况如下：</w:t>
      </w:r>
    </w:p>
    <w:p w:rsidR="007900F6">
      <w:pPr>
        <w:spacing w:line="360" w:lineRule="auto"/>
        <w:ind w:firstLine="480" w:firstLineChars="200"/>
        <w:contextualSpacing/>
        <w:rPr>
          <w:rFonts w:ascii="宋体" w:hAnsi="宋体"/>
          <w:color w:val="000000"/>
          <w:szCs w:val="21"/>
          <w:u w:val="single"/>
        </w:rPr>
      </w:pPr>
      <w:r>
        <w:rPr>
          <w:rFonts w:ascii="宋体" w:hAnsi="宋体" w:hint="eastAsia"/>
          <w:color w:val="000000"/>
          <w:szCs w:val="21"/>
          <w:u w:val="single"/>
        </w:rPr>
        <w:t xml:space="preserve">   （标的名称）  </w:t>
      </w:r>
      <w:r>
        <w:rPr>
          <w:rFonts w:ascii="宋体" w:hAnsi="宋体" w:hint="eastAsia"/>
          <w:color w:val="000000"/>
          <w:szCs w:val="21"/>
        </w:rPr>
        <w:t>，属于</w:t>
      </w:r>
      <w:r>
        <w:rPr>
          <w:rFonts w:hint="eastAsia"/>
          <w:color w:val="000000"/>
        </w:rPr>
        <w:t>建筑业</w:t>
      </w:r>
      <w:r>
        <w:rPr>
          <w:rFonts w:ascii="宋体" w:hAnsi="宋体" w:hint="eastAsia"/>
          <w:color w:val="000000"/>
          <w:szCs w:val="21"/>
        </w:rPr>
        <w:t>；承接企业为</w:t>
      </w:r>
      <w:r>
        <w:rPr>
          <w:rFonts w:ascii="宋体" w:hAnsi="宋体" w:hint="eastAsia"/>
          <w:color w:val="000000"/>
          <w:szCs w:val="21"/>
          <w:u w:val="single"/>
        </w:rPr>
        <w:t xml:space="preserve">  （企业名称） </w:t>
      </w:r>
      <w:r>
        <w:rPr>
          <w:rFonts w:ascii="宋体" w:hAnsi="宋体" w:hint="eastAsia"/>
          <w:color w:val="000000"/>
          <w:szCs w:val="21"/>
        </w:rPr>
        <w:t>，从业人员</w:t>
      </w:r>
      <w:r>
        <w:rPr>
          <w:rFonts w:ascii="宋体" w:hAnsi="宋体" w:hint="eastAsia"/>
          <w:color w:val="000000"/>
          <w:szCs w:val="21"/>
          <w:u w:val="single"/>
        </w:rPr>
        <w:t xml:space="preserve">    </w:t>
      </w:r>
      <w:r>
        <w:rPr>
          <w:rFonts w:ascii="宋体" w:hAnsi="宋体" w:hint="eastAsia"/>
          <w:color w:val="000000"/>
          <w:szCs w:val="21"/>
        </w:rPr>
        <w:t>人，营业收入为</w:t>
      </w:r>
      <w:r>
        <w:rPr>
          <w:rFonts w:ascii="宋体" w:hAnsi="宋体" w:hint="eastAsia"/>
          <w:color w:val="000000"/>
          <w:szCs w:val="21"/>
          <w:u w:val="single"/>
        </w:rPr>
        <w:t xml:space="preserve">    </w:t>
      </w:r>
      <w:r>
        <w:rPr>
          <w:rFonts w:ascii="宋体" w:hAnsi="宋体" w:hint="eastAsia"/>
          <w:color w:val="000000"/>
          <w:szCs w:val="21"/>
        </w:rPr>
        <w:t>万元，资产总额为</w:t>
      </w:r>
      <w:r>
        <w:rPr>
          <w:rFonts w:ascii="宋体" w:hAnsi="宋体" w:hint="eastAsia"/>
          <w:color w:val="000000"/>
          <w:szCs w:val="21"/>
          <w:u w:val="single"/>
        </w:rPr>
        <w:t xml:space="preserve">     </w:t>
      </w:r>
      <w:r>
        <w:rPr>
          <w:rFonts w:ascii="宋体" w:hAnsi="宋体" w:hint="eastAsia"/>
          <w:color w:val="000000"/>
          <w:szCs w:val="21"/>
        </w:rPr>
        <w:t>万元，属于</w:t>
      </w:r>
      <w:r>
        <w:rPr>
          <w:rFonts w:ascii="宋体" w:hAnsi="宋体" w:hint="eastAsia"/>
          <w:color w:val="000000"/>
          <w:szCs w:val="21"/>
          <w:u w:val="single"/>
        </w:rPr>
        <w:t xml:space="preserve">  (中型企业/小型企业/微型企业)</w:t>
      </w:r>
      <w:r>
        <w:rPr>
          <w:rFonts w:ascii="宋体" w:hAnsi="宋体" w:hint="eastAsia"/>
          <w:color w:val="000000"/>
          <w:szCs w:val="21"/>
        </w:rPr>
        <w:t>；</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本公司不属于大企业的分支机构，不存在控股股东为大企业的情形，也不存在与大企业的负责人为同一人的情形。</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本企业对上述声明内容的真实性负责。如有虚假，将依法承担相应责任。</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本公司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中华人民共和国政府采购法》等政府采购有关法律法规规定追究相应责任。</w:t>
      </w:r>
    </w:p>
    <w:p w:rsidR="007900F6">
      <w:pPr>
        <w:widowControl/>
        <w:jc w:val="left"/>
        <w:rPr>
          <w:rFonts w:ascii="宋体" w:hAnsi="宋体"/>
          <w:color w:val="000000"/>
          <w:szCs w:val="21"/>
        </w:rPr>
      </w:pPr>
      <w:r>
        <w:rPr>
          <w:rFonts w:ascii="宋体" w:hAnsi="宋体"/>
          <w:color w:val="000000"/>
          <w:szCs w:val="21"/>
        </w:rPr>
        <w:br w:type="page"/>
      </w:r>
    </w:p>
    <w:p w:rsidR="007900F6">
      <w:pPr>
        <w:spacing w:line="360" w:lineRule="auto"/>
        <w:ind w:firstLine="480" w:firstLineChars="200"/>
        <w:contextualSpacing/>
        <w:rPr>
          <w:rFonts w:ascii="宋体" w:hAnsi="宋体"/>
          <w:color w:val="000000"/>
          <w:szCs w:val="21"/>
        </w:rPr>
      </w:pPr>
    </w:p>
    <w:p w:rsidR="007900F6">
      <w:pPr>
        <w:spacing w:line="360" w:lineRule="auto"/>
        <w:contextualSpacing/>
        <w:jc w:val="center"/>
        <w:outlineLvl w:val="4"/>
        <w:rPr>
          <w:rFonts w:ascii="黑体" w:eastAsia="黑体" w:hAnsi="宋体"/>
          <w:bCs/>
          <w:color w:val="000000"/>
          <w:kern w:val="0"/>
          <w:sz w:val="24"/>
          <w:szCs w:val="32"/>
        </w:rPr>
      </w:pPr>
      <w:r>
        <w:rPr>
          <w:rFonts w:ascii="黑体" w:eastAsia="黑体" w:hAnsi="宋体" w:hint="eastAsia"/>
          <w:bCs/>
          <w:color w:val="000000"/>
          <w:kern w:val="0"/>
          <w:sz w:val="24"/>
          <w:szCs w:val="32"/>
        </w:rPr>
        <w:t>（二）残疾人福利性单位声明函</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本单位对上述声明的真实性负责。如有虚假，将依法承担相应责任。</w:t>
      </w:r>
    </w:p>
    <w:p w:rsidR="007900F6">
      <w:pPr>
        <w:spacing w:line="360" w:lineRule="auto"/>
        <w:ind w:firstLine="480" w:firstLineChars="200"/>
        <w:contextualSpacing/>
        <w:rPr>
          <w:rFonts w:ascii="宋体" w:hAnsi="宋体"/>
          <w:color w:val="000000"/>
          <w:szCs w:val="21"/>
        </w:rPr>
      </w:pPr>
      <w:r>
        <w:rPr>
          <w:rFonts w:ascii="宋体" w:hAnsi="宋体" w:hint="eastAsia"/>
          <w:color w:val="000000"/>
          <w:szCs w:val="21"/>
        </w:rPr>
        <w:t>本单位知悉《关于促进残疾人就业政府采购政策的通知》（财库〔2017〕141号）的规定，承诺提供的声明函内容是真实的，如提供声明函内容不实，则依法追究相关法律责任。</w:t>
      </w:r>
    </w:p>
    <w:p w:rsidR="007900F6">
      <w:pPr>
        <w:spacing w:line="360" w:lineRule="auto"/>
        <w:ind w:firstLine="480" w:firstLineChars="200"/>
        <w:contextualSpacing/>
        <w:rPr>
          <w:rFonts w:ascii="宋体" w:hAnsi="宋体"/>
          <w:color w:val="000000"/>
          <w:szCs w:val="21"/>
        </w:rPr>
      </w:pPr>
    </w:p>
    <w:p w:rsidR="007900F6">
      <w:pPr>
        <w:spacing w:line="360" w:lineRule="auto"/>
        <w:contextualSpacing/>
        <w:jc w:val="center"/>
        <w:outlineLvl w:val="4"/>
        <w:rPr>
          <w:rFonts w:ascii="黑体" w:eastAsia="黑体" w:hAnsi="宋体"/>
          <w:bCs/>
          <w:color w:val="000000"/>
          <w:kern w:val="0"/>
          <w:sz w:val="24"/>
          <w:szCs w:val="32"/>
        </w:rPr>
      </w:pPr>
      <w:r>
        <w:rPr>
          <w:rFonts w:ascii="黑体" w:eastAsia="黑体" w:hAnsi="宋体" w:hint="eastAsia"/>
          <w:bCs/>
          <w:color w:val="000000"/>
          <w:kern w:val="0"/>
          <w:sz w:val="24"/>
          <w:szCs w:val="32"/>
        </w:rPr>
        <w:t>（三）省级以上监狱管理局、戒毒管理局（含新疆生产建设兵团）出具的属于监狱企业的证明文件（仅限监狱企业，格式自定）</w:t>
      </w:r>
    </w:p>
    <w:p w:rsidR="007900F6">
      <w:pPr>
        <w:rPr>
          <w:rFonts w:ascii="黑体" w:eastAsia="黑体" w:hAnsi="宋体"/>
          <w:bCs/>
          <w:color w:val="000000"/>
          <w:kern w:val="0"/>
          <w:sz w:val="24"/>
          <w:szCs w:val="32"/>
        </w:rPr>
      </w:pPr>
    </w:p>
    <w:p w:rsidR="007900F6">
      <w:pPr>
        <w:pStyle w:val="Heading4"/>
        <w:spacing w:before="0" w:after="0" w:line="360" w:lineRule="auto"/>
        <w:contextualSpacing/>
        <w:jc w:val="left"/>
        <w:rPr>
          <w:rFonts w:ascii="黑体"/>
          <w:b w:val="0"/>
          <w:color w:val="000000"/>
          <w:kern w:val="0"/>
          <w:sz w:val="24"/>
        </w:rPr>
      </w:pPr>
      <w:r>
        <w:rPr>
          <w:rFonts w:ascii="黑体" w:hint="eastAsia"/>
          <w:b w:val="0"/>
          <w:color w:val="000000"/>
          <w:kern w:val="0"/>
          <w:sz w:val="24"/>
        </w:rPr>
        <w:t>四、其它内容格式自定</w:t>
      </w:r>
    </w:p>
    <w:p w:rsidR="007900F6">
      <w:pPr>
        <w:spacing w:line="360" w:lineRule="auto"/>
        <w:contextualSpacing/>
        <w:jc w:val="center"/>
        <w:rPr>
          <w:b/>
          <w:color w:val="000000"/>
          <w:sz w:val="32"/>
          <w:szCs w:val="32"/>
        </w:rPr>
      </w:pPr>
    </w:p>
    <w:p w:rsidR="007900F6">
      <w:pPr>
        <w:widowControl/>
        <w:spacing w:line="360" w:lineRule="auto"/>
        <w:contextualSpacing/>
        <w:jc w:val="left"/>
        <w:rPr>
          <w:b/>
          <w:color w:val="000000"/>
          <w:sz w:val="32"/>
          <w:szCs w:val="32"/>
        </w:rPr>
      </w:pPr>
      <w:r>
        <w:rPr>
          <w:b/>
          <w:color w:val="000000"/>
          <w:sz w:val="32"/>
          <w:szCs w:val="32"/>
        </w:rPr>
        <w:br w:type="page"/>
      </w:r>
    </w:p>
    <w:p w:rsidR="007900F6">
      <w:pPr>
        <w:pStyle w:val="Heading3"/>
        <w:spacing w:before="0" w:after="0" w:line="360" w:lineRule="auto"/>
        <w:contextualSpacing/>
        <w:rPr>
          <w:rFonts w:ascii="仿宋_GB2312" w:eastAsia="仿宋_GB2312"/>
          <w:b w:val="0"/>
          <w:color w:val="000000"/>
          <w:sz w:val="30"/>
          <w:szCs w:val="30"/>
        </w:rPr>
      </w:pPr>
      <w:r>
        <w:rPr>
          <w:rFonts w:ascii="仿宋_GB2312" w:eastAsia="仿宋_GB2312" w:hint="eastAsia"/>
          <w:b w:val="0"/>
          <w:color w:val="000000"/>
          <w:sz w:val="30"/>
          <w:szCs w:val="30"/>
        </w:rPr>
        <w:t>投标文件附件（非信息公开部分，此部分内部不公示）：</w:t>
      </w:r>
    </w:p>
    <w:p w:rsidR="007900F6">
      <w:pPr>
        <w:spacing w:line="360" w:lineRule="auto"/>
        <w:contextualSpacing/>
        <w:rPr>
          <w:rFonts w:ascii="仿宋_GB2312" w:eastAsia="仿宋_GB2312"/>
          <w:b/>
          <w:color w:val="000000"/>
          <w:sz w:val="30"/>
          <w:szCs w:val="30"/>
        </w:rPr>
      </w:pPr>
    </w:p>
    <w:p w:rsidR="007900F6">
      <w:pPr>
        <w:pStyle w:val="Heading3"/>
        <w:spacing w:before="0" w:after="0" w:line="360" w:lineRule="auto"/>
        <w:contextualSpacing/>
        <w:jc w:val="center"/>
        <w:rPr>
          <w:rFonts w:ascii="黑体" w:eastAsia="黑体"/>
          <w:b w:val="0"/>
          <w:color w:val="000000"/>
          <w:kern w:val="0"/>
          <w:sz w:val="24"/>
        </w:rPr>
      </w:pPr>
      <w:r>
        <w:rPr>
          <w:rFonts w:ascii="黑体" w:eastAsia="黑体" w:hint="eastAsia"/>
          <w:b w:val="0"/>
          <w:color w:val="000000"/>
          <w:kern w:val="0"/>
          <w:sz w:val="24"/>
        </w:rPr>
        <w:t>一、法定代表人资格证明书</w:t>
      </w:r>
    </w:p>
    <w:p w:rsidR="007900F6">
      <w:pPr>
        <w:spacing w:line="360" w:lineRule="auto"/>
        <w:contextualSpacing/>
        <w:rPr>
          <w:color w:val="000000"/>
          <w:sz w:val="24"/>
        </w:rPr>
      </w:pPr>
    </w:p>
    <w:p w:rsidR="007900F6">
      <w:pPr>
        <w:spacing w:line="360" w:lineRule="auto"/>
        <w:contextualSpacing/>
        <w:rPr>
          <w:color w:val="000000"/>
          <w:szCs w:val="21"/>
        </w:rPr>
      </w:pPr>
      <w:r>
        <w:rPr>
          <w:rFonts w:hint="eastAsia"/>
          <w:color w:val="000000"/>
          <w:szCs w:val="21"/>
        </w:rPr>
        <w:t xml:space="preserve">   </w:t>
      </w:r>
      <w:r>
        <w:rPr>
          <w:rFonts w:hint="eastAsia"/>
          <w:color w:val="000000"/>
          <w:szCs w:val="21"/>
          <w:u w:val="single"/>
        </w:rPr>
        <w:t xml:space="preserve">         </w:t>
      </w:r>
      <w:r>
        <w:rPr>
          <w:rFonts w:hint="eastAsia"/>
          <w:color w:val="000000"/>
          <w:szCs w:val="21"/>
        </w:rPr>
        <w:t>同志，现任我单位</w:t>
      </w:r>
      <w:r>
        <w:rPr>
          <w:rFonts w:hint="eastAsia"/>
          <w:color w:val="000000"/>
          <w:szCs w:val="21"/>
          <w:u w:val="single"/>
        </w:rPr>
        <w:t xml:space="preserve">         </w:t>
      </w:r>
      <w:r>
        <w:rPr>
          <w:rFonts w:hint="eastAsia"/>
          <w:color w:val="000000"/>
          <w:szCs w:val="21"/>
        </w:rPr>
        <w:t>职务，为法定代表人，特此证明。</w:t>
      </w:r>
    </w:p>
    <w:p w:rsidR="007900F6">
      <w:pPr>
        <w:spacing w:line="360" w:lineRule="auto"/>
        <w:contextualSpacing/>
        <w:rPr>
          <w:color w:val="000000"/>
          <w:szCs w:val="21"/>
        </w:rPr>
      </w:pPr>
      <w:r>
        <w:rPr>
          <w:rFonts w:hint="eastAsia"/>
          <w:color w:val="000000"/>
          <w:szCs w:val="21"/>
        </w:rPr>
        <w:t>说明：1、法定代表人为企业事业单位、国家机关、社会团体的主要负责人。</w:t>
      </w:r>
    </w:p>
    <w:p w:rsidR="007900F6">
      <w:pPr>
        <w:spacing w:line="360" w:lineRule="auto"/>
        <w:contextualSpacing/>
        <w:rPr>
          <w:color w:val="000000"/>
          <w:szCs w:val="21"/>
        </w:rPr>
      </w:pPr>
      <w:r>
        <w:rPr>
          <w:rFonts w:hint="eastAsia"/>
          <w:color w:val="000000"/>
          <w:szCs w:val="21"/>
        </w:rPr>
        <w:t xml:space="preserve">      2、内容必须填写真实、清楚，涂改无效，不得转让、买卖。</w:t>
      </w:r>
    </w:p>
    <w:p w:rsidR="007900F6">
      <w:pPr>
        <w:spacing w:line="360" w:lineRule="auto"/>
        <w:contextualSpacing/>
        <w:rPr>
          <w:b/>
          <w:color w:val="000000"/>
          <w:szCs w:val="21"/>
        </w:rPr>
      </w:pPr>
    </w:p>
    <w:p w:rsidR="007900F6">
      <w:pPr>
        <w:spacing w:line="360" w:lineRule="auto"/>
        <w:contextualSpacing/>
        <w:rPr>
          <w:b/>
          <w:color w:val="000000"/>
          <w:sz w:val="32"/>
          <w:szCs w:val="32"/>
        </w:rPr>
      </w:pPr>
      <w:r>
        <w:rPr>
          <w:rFonts w:hint="eastAsia"/>
          <w:b/>
          <w:color w:val="000000"/>
          <w:sz w:val="32"/>
          <w:szCs w:val="32"/>
        </w:rPr>
        <w:t>附：必须提供法定代表人身份证（境外人员无法提供身份证的，可提供护照）扫描件（正反两面）。</w:t>
      </w:r>
    </w:p>
    <w:p w:rsidR="007900F6">
      <w:pPr>
        <w:spacing w:line="360" w:lineRule="auto"/>
        <w:contextualSpacing/>
        <w:rPr>
          <w:b/>
          <w:color w:val="000000"/>
          <w:sz w:val="32"/>
          <w:szCs w:val="32"/>
        </w:rPr>
      </w:pPr>
    </w:p>
    <w:p w:rsidR="007900F6">
      <w:pPr>
        <w:spacing w:line="360" w:lineRule="auto"/>
        <w:contextualSpacing/>
        <w:rPr>
          <w:b/>
          <w:color w:val="000000"/>
          <w:sz w:val="32"/>
          <w:szCs w:val="32"/>
        </w:rPr>
      </w:pPr>
    </w:p>
    <w:p w:rsidR="007900F6">
      <w:pPr>
        <w:pStyle w:val="Heading3"/>
        <w:spacing w:before="0" w:after="0" w:line="360" w:lineRule="auto"/>
        <w:contextualSpacing/>
        <w:jc w:val="center"/>
        <w:rPr>
          <w:rFonts w:ascii="黑体" w:eastAsia="黑体"/>
          <w:b w:val="0"/>
          <w:color w:val="000000"/>
          <w:sz w:val="24"/>
          <w:szCs w:val="24"/>
        </w:rPr>
      </w:pPr>
      <w:r>
        <w:rPr>
          <w:color w:val="000000"/>
        </w:rPr>
        <w:tab/>
      </w:r>
      <w:r>
        <w:rPr>
          <w:rFonts w:ascii="黑体" w:eastAsia="黑体" w:hint="eastAsia"/>
          <w:b w:val="0"/>
          <w:color w:val="000000"/>
          <w:kern w:val="0"/>
          <w:sz w:val="24"/>
          <w:szCs w:val="24"/>
        </w:rPr>
        <w:t>二、投标文件签署授权委托书</w:t>
      </w:r>
    </w:p>
    <w:p w:rsidR="007900F6">
      <w:pPr>
        <w:spacing w:line="360" w:lineRule="auto"/>
        <w:ind w:firstLine="480" w:firstLineChars="200"/>
        <w:contextualSpacing/>
        <w:rPr>
          <w:color w:val="000000"/>
          <w:szCs w:val="21"/>
        </w:rPr>
      </w:pPr>
      <w:r>
        <w:rPr>
          <w:rFonts w:hint="eastAsia"/>
          <w:color w:val="000000"/>
          <w:szCs w:val="21"/>
        </w:rPr>
        <w:t>本授权委托书声明：我</w:t>
      </w:r>
      <w:r>
        <w:rPr>
          <w:rFonts w:hint="eastAsia"/>
          <w:color w:val="000000"/>
          <w:szCs w:val="21"/>
          <w:u w:val="single"/>
        </w:rPr>
        <w:t xml:space="preserve">           </w:t>
      </w:r>
      <w:r>
        <w:rPr>
          <w:rFonts w:hint="eastAsia"/>
          <w:color w:val="000000"/>
          <w:szCs w:val="21"/>
        </w:rPr>
        <w:t>（姓名）系</w:t>
      </w:r>
      <w:r>
        <w:rPr>
          <w:rFonts w:hint="eastAsia"/>
          <w:color w:val="000000"/>
          <w:szCs w:val="21"/>
          <w:u w:val="single"/>
        </w:rPr>
        <w:t xml:space="preserve">             </w:t>
      </w:r>
      <w:r>
        <w:rPr>
          <w:rFonts w:hint="eastAsia"/>
          <w:color w:val="000000"/>
          <w:szCs w:val="21"/>
        </w:rPr>
        <w:t>（投标供应商名称）的法定代表人，现授权委托</w:t>
      </w:r>
      <w:r>
        <w:rPr>
          <w:rFonts w:hint="eastAsia"/>
          <w:color w:val="000000"/>
          <w:szCs w:val="21"/>
          <w:u w:val="single"/>
        </w:rPr>
        <w:t xml:space="preserve">            </w:t>
      </w:r>
      <w:r>
        <w:rPr>
          <w:rFonts w:hint="eastAsia"/>
          <w:color w:val="000000"/>
          <w:szCs w:val="21"/>
        </w:rPr>
        <w:t>（姓名）为我公司签署本项目已递交的投标文件的法定代表人的授权委托代理人，代理人全权代表我所签署的本项目已递交的投标文件内容我均承认。</w:t>
      </w:r>
    </w:p>
    <w:p w:rsidR="007900F6">
      <w:pPr>
        <w:pStyle w:val="NormalIndent"/>
        <w:spacing w:line="360" w:lineRule="auto"/>
        <w:contextualSpacing/>
        <w:rPr>
          <w:color w:val="000000"/>
          <w:szCs w:val="21"/>
        </w:rPr>
      </w:pPr>
      <w:r>
        <w:rPr>
          <w:rFonts w:hint="eastAsia"/>
          <w:color w:val="000000"/>
          <w:szCs w:val="21"/>
        </w:rPr>
        <w:t>代理人无转委托权，特此委托。</w:t>
      </w:r>
    </w:p>
    <w:p w:rsidR="007900F6">
      <w:pPr>
        <w:pStyle w:val="NormalIndent"/>
        <w:spacing w:line="360" w:lineRule="auto"/>
        <w:contextualSpacing/>
        <w:rPr>
          <w:color w:val="000000"/>
          <w:szCs w:val="21"/>
        </w:rPr>
      </w:pPr>
    </w:p>
    <w:p w:rsidR="007900F6">
      <w:pPr>
        <w:spacing w:line="360" w:lineRule="auto"/>
        <w:ind w:left="617" w:leftChars="257"/>
        <w:contextualSpacing/>
        <w:rPr>
          <w:b/>
          <w:color w:val="000000"/>
          <w:szCs w:val="21"/>
          <w:u w:val="single"/>
        </w:rPr>
      </w:pPr>
      <w:r>
        <w:rPr>
          <w:rFonts w:hint="eastAsia"/>
          <w:b/>
          <w:color w:val="000000"/>
          <w:szCs w:val="21"/>
        </w:rPr>
        <w:t>代理人：</w:t>
      </w:r>
      <w:r>
        <w:rPr>
          <w:b/>
          <w:color w:val="000000"/>
          <w:szCs w:val="21"/>
          <w:u w:val="single"/>
        </w:rPr>
        <w:t xml:space="preserve">             </w:t>
      </w:r>
    </w:p>
    <w:p w:rsidR="007900F6">
      <w:pPr>
        <w:spacing w:line="360" w:lineRule="auto"/>
        <w:ind w:left="617" w:leftChars="257"/>
        <w:contextualSpacing/>
        <w:rPr>
          <w:color w:val="000000"/>
          <w:szCs w:val="21"/>
        </w:rPr>
      </w:pPr>
      <w:r>
        <w:rPr>
          <w:rFonts w:hint="eastAsia"/>
          <w:color w:val="000000"/>
          <w:szCs w:val="21"/>
        </w:rPr>
        <w:t>联系电话：</w:t>
      </w:r>
      <w:r>
        <w:rPr>
          <w:color w:val="000000"/>
          <w:szCs w:val="21"/>
          <w:u w:val="single"/>
        </w:rPr>
        <w:t xml:space="preserve">            </w:t>
      </w:r>
      <w:r>
        <w:rPr>
          <w:color w:val="000000"/>
          <w:szCs w:val="21"/>
        </w:rPr>
        <w:t xml:space="preserve">  </w:t>
      </w:r>
      <w:r>
        <w:rPr>
          <w:rFonts w:hint="eastAsia"/>
          <w:color w:val="000000"/>
          <w:szCs w:val="21"/>
        </w:rPr>
        <w:t>手机：</w:t>
      </w:r>
      <w:r>
        <w:rPr>
          <w:color w:val="000000"/>
          <w:szCs w:val="21"/>
          <w:u w:val="single"/>
        </w:rPr>
        <w:t xml:space="preserve">                   </w:t>
      </w:r>
    </w:p>
    <w:p w:rsidR="007900F6">
      <w:pPr>
        <w:spacing w:line="360" w:lineRule="auto"/>
        <w:ind w:left="617" w:leftChars="257"/>
        <w:contextualSpacing/>
        <w:rPr>
          <w:color w:val="000000"/>
          <w:szCs w:val="21"/>
          <w:u w:val="single"/>
        </w:rPr>
      </w:pPr>
      <w:r>
        <w:rPr>
          <w:rFonts w:hint="eastAsia"/>
          <w:b/>
          <w:color w:val="000000"/>
          <w:szCs w:val="21"/>
        </w:rPr>
        <w:t>身份证号码：</w:t>
      </w:r>
      <w:r>
        <w:rPr>
          <w:b/>
          <w:color w:val="000000"/>
          <w:szCs w:val="21"/>
          <w:u w:val="single"/>
        </w:rPr>
        <w:t xml:space="preserve">                        </w:t>
      </w:r>
      <w:r>
        <w:rPr>
          <w:rFonts w:hint="eastAsia"/>
          <w:color w:val="000000"/>
          <w:szCs w:val="21"/>
        </w:rPr>
        <w:t>职务：</w:t>
      </w:r>
      <w:r>
        <w:rPr>
          <w:color w:val="000000"/>
          <w:szCs w:val="21"/>
          <w:u w:val="single"/>
        </w:rPr>
        <w:t xml:space="preserve">       </w:t>
      </w:r>
    </w:p>
    <w:p w:rsidR="007900F6">
      <w:pPr>
        <w:spacing w:line="360" w:lineRule="auto"/>
        <w:ind w:left="617" w:leftChars="257"/>
        <w:contextualSpacing/>
        <w:rPr>
          <w:color w:val="000000"/>
          <w:szCs w:val="21"/>
        </w:rPr>
      </w:pPr>
      <w:r>
        <w:rPr>
          <w:rFonts w:hint="eastAsia"/>
          <w:color w:val="000000"/>
          <w:szCs w:val="21"/>
        </w:rPr>
        <w:t>授权委托日期：</w:t>
      </w:r>
      <w:r>
        <w:rPr>
          <w:color w:val="000000"/>
          <w:szCs w:val="21"/>
          <w:u w:val="single"/>
        </w:rPr>
        <w:t xml:space="preserve">         </w:t>
      </w:r>
      <w:r>
        <w:rPr>
          <w:rFonts w:hint="eastAsia"/>
          <w:color w:val="000000"/>
          <w:szCs w:val="21"/>
        </w:rPr>
        <w:t>年</w:t>
      </w:r>
      <w:r>
        <w:rPr>
          <w:color w:val="000000"/>
          <w:szCs w:val="21"/>
          <w:u w:val="single"/>
        </w:rPr>
        <w:t xml:space="preserve">     </w:t>
      </w:r>
      <w:r>
        <w:rPr>
          <w:rFonts w:hint="eastAsia"/>
          <w:color w:val="000000"/>
          <w:szCs w:val="21"/>
        </w:rPr>
        <w:t>月</w:t>
      </w:r>
      <w:r>
        <w:rPr>
          <w:color w:val="000000"/>
          <w:szCs w:val="21"/>
        </w:rPr>
        <w:t xml:space="preserve"> </w:t>
      </w:r>
      <w:r>
        <w:rPr>
          <w:color w:val="000000"/>
          <w:szCs w:val="21"/>
          <w:u w:val="single"/>
        </w:rPr>
        <w:t xml:space="preserve">      </w:t>
      </w:r>
      <w:r>
        <w:rPr>
          <w:rFonts w:hint="eastAsia"/>
          <w:color w:val="000000"/>
          <w:szCs w:val="21"/>
        </w:rPr>
        <w:t>日</w:t>
      </w:r>
    </w:p>
    <w:p w:rsidR="007900F6">
      <w:pPr>
        <w:spacing w:line="360" w:lineRule="auto"/>
        <w:contextualSpacing/>
        <w:rPr>
          <w:b/>
          <w:color w:val="000000"/>
          <w:sz w:val="32"/>
          <w:szCs w:val="32"/>
        </w:rPr>
      </w:pPr>
    </w:p>
    <w:p w:rsidR="007900F6">
      <w:pPr>
        <w:spacing w:line="360" w:lineRule="auto"/>
        <w:contextualSpacing/>
        <w:rPr>
          <w:b/>
          <w:color w:val="000000"/>
          <w:sz w:val="32"/>
          <w:szCs w:val="32"/>
        </w:rPr>
      </w:pPr>
      <w:r>
        <w:rPr>
          <w:rFonts w:hint="eastAsia"/>
          <w:b/>
          <w:color w:val="000000"/>
          <w:sz w:val="32"/>
          <w:szCs w:val="32"/>
        </w:rPr>
        <w:t>附：必须提供代理人身份证（境外人员无法提供身份证的，可提供护照）扫描件（正反两面）。</w:t>
      </w:r>
    </w:p>
    <w:p w:rsidR="007900F6">
      <w:pPr>
        <w:spacing w:line="360" w:lineRule="auto"/>
        <w:ind w:left="617" w:leftChars="257"/>
        <w:contextualSpacing/>
        <w:rPr>
          <w:color w:val="000000"/>
          <w:szCs w:val="21"/>
          <w:u w:val="single"/>
        </w:rPr>
      </w:pPr>
    </w:p>
    <w:p w:rsidR="007900F6">
      <w:pPr>
        <w:spacing w:line="360" w:lineRule="auto"/>
        <w:ind w:left="617" w:leftChars="257"/>
        <w:contextualSpacing/>
        <w:rPr>
          <w:color w:val="000000"/>
          <w:szCs w:val="21"/>
          <w:u w:val="single"/>
        </w:rPr>
      </w:pPr>
    </w:p>
    <w:p w:rsidR="007900F6">
      <w:pPr>
        <w:spacing w:line="360" w:lineRule="auto"/>
        <w:ind w:left="617" w:leftChars="257"/>
        <w:contextualSpacing/>
        <w:rPr>
          <w:color w:val="000000"/>
          <w:szCs w:val="21"/>
          <w:u w:val="single"/>
        </w:rPr>
      </w:pPr>
    </w:p>
    <w:p w:rsidR="007900F6">
      <w:pPr>
        <w:pStyle w:val="Heading4"/>
        <w:spacing w:before="0" w:after="0" w:line="360" w:lineRule="auto"/>
        <w:contextualSpacing/>
        <w:jc w:val="center"/>
        <w:rPr>
          <w:rFonts w:ascii="黑体"/>
          <w:b w:val="0"/>
          <w:color w:val="000000"/>
          <w:kern w:val="0"/>
          <w:sz w:val="24"/>
          <w:szCs w:val="24"/>
        </w:rPr>
      </w:pPr>
      <w:r>
        <w:rPr>
          <w:rFonts w:ascii="黑体" w:hint="eastAsia"/>
          <w:b w:val="0"/>
          <w:color w:val="000000"/>
          <w:kern w:val="0"/>
          <w:sz w:val="24"/>
          <w:szCs w:val="24"/>
        </w:rPr>
        <w:t>三、实质性条款响应情况表</w:t>
      </w:r>
    </w:p>
    <w:tbl>
      <w:tblPr>
        <w:tblStyle w:val="TableNormal"/>
        <w:tblW w:w="775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4"/>
        <w:gridCol w:w="5807"/>
        <w:gridCol w:w="1233"/>
      </w:tblGrid>
      <w:tr>
        <w:tblPrEx>
          <w:tblW w:w="775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714" w:type="dxa"/>
            <w:vAlign w:val="center"/>
          </w:tcPr>
          <w:p w:rsidR="007900F6">
            <w:pPr>
              <w:adjustRightInd w:val="0"/>
              <w:spacing w:line="360" w:lineRule="auto"/>
              <w:contextualSpacing/>
              <w:jc w:val="center"/>
              <w:rPr>
                <w:rFonts w:ascii="宋体" w:hAnsi="宋体"/>
                <w:color w:val="000000"/>
                <w:kern w:val="0"/>
                <w:szCs w:val="21"/>
              </w:rPr>
            </w:pPr>
            <w:r>
              <w:rPr>
                <w:rFonts w:ascii="宋体" w:hAnsi="宋体" w:hint="eastAsia"/>
                <w:color w:val="000000"/>
                <w:kern w:val="0"/>
                <w:szCs w:val="21"/>
              </w:rPr>
              <w:t>序号</w:t>
            </w:r>
          </w:p>
        </w:tc>
        <w:tc>
          <w:tcPr>
            <w:tcW w:w="5807" w:type="dxa"/>
            <w:vAlign w:val="center"/>
          </w:tcPr>
          <w:p w:rsidR="007900F6">
            <w:pPr>
              <w:adjustRightInd w:val="0"/>
              <w:spacing w:line="360" w:lineRule="auto"/>
              <w:contextualSpacing/>
              <w:jc w:val="center"/>
              <w:rPr>
                <w:rFonts w:ascii="宋体" w:hAnsi="宋体"/>
                <w:color w:val="000000"/>
                <w:kern w:val="0"/>
                <w:szCs w:val="21"/>
              </w:rPr>
            </w:pPr>
            <w:r>
              <w:rPr>
                <w:rFonts w:ascii="宋体" w:hAnsi="宋体" w:hint="eastAsia"/>
                <w:color w:val="000000"/>
                <w:kern w:val="0"/>
                <w:szCs w:val="21"/>
              </w:rPr>
              <w:t>采购人要求内容</w:t>
            </w:r>
          </w:p>
        </w:tc>
        <w:tc>
          <w:tcPr>
            <w:tcW w:w="1233" w:type="dxa"/>
            <w:vAlign w:val="center"/>
          </w:tcPr>
          <w:p w:rsidR="007900F6">
            <w:pPr>
              <w:adjustRightInd w:val="0"/>
              <w:spacing w:line="360" w:lineRule="auto"/>
              <w:contextualSpacing/>
              <w:jc w:val="center"/>
              <w:rPr>
                <w:rFonts w:ascii="宋体" w:hAnsi="宋体"/>
                <w:color w:val="000000"/>
                <w:kern w:val="0"/>
                <w:szCs w:val="21"/>
              </w:rPr>
            </w:pPr>
            <w:r>
              <w:rPr>
                <w:rFonts w:ascii="宋体" w:hAnsi="宋体" w:hint="eastAsia"/>
                <w:color w:val="000000"/>
                <w:kern w:val="0"/>
                <w:szCs w:val="21"/>
              </w:rPr>
              <w:t>投标人响应情况</w:t>
            </w:r>
          </w:p>
        </w:tc>
      </w:tr>
      <w:tr>
        <w:tblPrEx>
          <w:tblW w:w="7754" w:type="dxa"/>
          <w:jc w:val="center"/>
          <w:tblInd w:w="0" w:type="dxa"/>
          <w:tblLook w:val="0000"/>
        </w:tblPrEx>
        <w:trPr>
          <w:jc w:val="center"/>
        </w:trPr>
        <w:tc>
          <w:tcPr>
            <w:tcW w:w="714" w:type="dxa"/>
            <w:vAlign w:val="center"/>
          </w:tcPr>
          <w:p w:rsidR="007900F6">
            <w:pPr>
              <w:adjustRightInd w:val="0"/>
              <w:spacing w:line="360" w:lineRule="auto"/>
              <w:contextualSpacing/>
              <w:rPr>
                <w:rFonts w:ascii="宋体" w:hAnsi="宋体"/>
                <w:color w:val="000000"/>
                <w:kern w:val="0"/>
                <w:szCs w:val="21"/>
              </w:rPr>
            </w:pPr>
            <w:r>
              <w:rPr>
                <w:rFonts w:ascii="宋体" w:hAnsi="宋体" w:hint="eastAsia"/>
                <w:color w:val="000000"/>
                <w:kern w:val="0"/>
                <w:szCs w:val="21"/>
              </w:rPr>
              <w:t>1</w:t>
            </w:r>
          </w:p>
        </w:tc>
        <w:tc>
          <w:tcPr>
            <w:tcW w:w="5807" w:type="dxa"/>
          </w:tcPr>
          <w:p w:rsidR="007900F6">
            <w:pPr>
              <w:adjustRightInd w:val="0"/>
              <w:spacing w:line="360" w:lineRule="auto"/>
              <w:contextualSpacing/>
              <w:rPr>
                <w:rFonts w:hAnsi="宋体"/>
                <w:color w:val="000000"/>
                <w:kern w:val="0"/>
                <w:szCs w:val="21"/>
              </w:rPr>
            </w:pPr>
          </w:p>
        </w:tc>
        <w:tc>
          <w:tcPr>
            <w:tcW w:w="1233" w:type="dxa"/>
            <w:vAlign w:val="center"/>
          </w:tcPr>
          <w:p w:rsidR="007900F6">
            <w:pPr>
              <w:adjustRightInd w:val="0"/>
              <w:spacing w:line="360" w:lineRule="auto"/>
              <w:contextualSpacing/>
              <w:rPr>
                <w:rFonts w:ascii="宋体" w:hAnsi="宋体"/>
                <w:color w:val="000000"/>
                <w:kern w:val="0"/>
                <w:szCs w:val="21"/>
              </w:rPr>
            </w:pPr>
          </w:p>
        </w:tc>
      </w:tr>
      <w:tr>
        <w:tblPrEx>
          <w:tblW w:w="7754" w:type="dxa"/>
          <w:jc w:val="center"/>
          <w:tblInd w:w="0" w:type="dxa"/>
          <w:tblLook w:val="0000"/>
        </w:tblPrEx>
        <w:trPr>
          <w:jc w:val="center"/>
        </w:trPr>
        <w:tc>
          <w:tcPr>
            <w:tcW w:w="714" w:type="dxa"/>
            <w:vAlign w:val="center"/>
          </w:tcPr>
          <w:p w:rsidR="007900F6">
            <w:pPr>
              <w:adjustRightInd w:val="0"/>
              <w:spacing w:line="360" w:lineRule="auto"/>
              <w:contextualSpacing/>
              <w:rPr>
                <w:rFonts w:ascii="宋体" w:hAnsi="宋体"/>
                <w:color w:val="000000"/>
                <w:kern w:val="0"/>
                <w:szCs w:val="21"/>
              </w:rPr>
            </w:pPr>
            <w:r>
              <w:rPr>
                <w:rFonts w:ascii="宋体" w:hAnsi="宋体" w:hint="eastAsia"/>
                <w:color w:val="000000"/>
                <w:kern w:val="0"/>
                <w:szCs w:val="21"/>
              </w:rPr>
              <w:t>2</w:t>
            </w:r>
          </w:p>
        </w:tc>
        <w:tc>
          <w:tcPr>
            <w:tcW w:w="5807" w:type="dxa"/>
          </w:tcPr>
          <w:p w:rsidR="007900F6">
            <w:pPr>
              <w:adjustRightInd w:val="0"/>
              <w:spacing w:line="360" w:lineRule="auto"/>
              <w:contextualSpacing/>
              <w:rPr>
                <w:rFonts w:hAnsi="宋体"/>
                <w:color w:val="000000"/>
                <w:kern w:val="0"/>
                <w:szCs w:val="21"/>
              </w:rPr>
            </w:pPr>
          </w:p>
        </w:tc>
        <w:tc>
          <w:tcPr>
            <w:tcW w:w="1233" w:type="dxa"/>
            <w:vAlign w:val="center"/>
          </w:tcPr>
          <w:p w:rsidR="007900F6">
            <w:pPr>
              <w:adjustRightInd w:val="0"/>
              <w:spacing w:line="360" w:lineRule="auto"/>
              <w:contextualSpacing/>
              <w:rPr>
                <w:rFonts w:ascii="宋体" w:hAnsi="宋体"/>
                <w:color w:val="000000"/>
                <w:kern w:val="0"/>
                <w:szCs w:val="21"/>
              </w:rPr>
            </w:pPr>
          </w:p>
        </w:tc>
      </w:tr>
      <w:tr>
        <w:tblPrEx>
          <w:tblW w:w="7754" w:type="dxa"/>
          <w:jc w:val="center"/>
          <w:tblInd w:w="0" w:type="dxa"/>
          <w:tblLook w:val="0000"/>
        </w:tblPrEx>
        <w:trPr>
          <w:jc w:val="center"/>
        </w:trPr>
        <w:tc>
          <w:tcPr>
            <w:tcW w:w="714" w:type="dxa"/>
          </w:tcPr>
          <w:p w:rsidR="007900F6">
            <w:pPr>
              <w:adjustRightInd w:val="0"/>
              <w:spacing w:line="360" w:lineRule="auto"/>
              <w:contextualSpacing/>
              <w:rPr>
                <w:rFonts w:ascii="宋体" w:hAnsi="宋体"/>
                <w:color w:val="000000"/>
                <w:kern w:val="0"/>
                <w:szCs w:val="21"/>
              </w:rPr>
            </w:pPr>
            <w:r>
              <w:rPr>
                <w:rFonts w:ascii="宋体" w:hAnsi="宋体" w:hint="eastAsia"/>
                <w:color w:val="000000"/>
                <w:kern w:val="0"/>
                <w:szCs w:val="21"/>
              </w:rPr>
              <w:t>3</w:t>
            </w:r>
          </w:p>
        </w:tc>
        <w:tc>
          <w:tcPr>
            <w:tcW w:w="5807" w:type="dxa"/>
          </w:tcPr>
          <w:p w:rsidR="007900F6">
            <w:pPr>
              <w:tabs>
                <w:tab w:val="left" w:pos="5289"/>
              </w:tabs>
              <w:spacing w:line="360" w:lineRule="auto"/>
              <w:contextualSpacing/>
              <w:rPr>
                <w:rFonts w:ascii="宋体" w:hAnsi="宋体"/>
                <w:b/>
                <w:bCs/>
                <w:color w:val="000000"/>
                <w:szCs w:val="21"/>
              </w:rPr>
            </w:pPr>
          </w:p>
        </w:tc>
        <w:tc>
          <w:tcPr>
            <w:tcW w:w="1233" w:type="dxa"/>
            <w:vAlign w:val="center"/>
          </w:tcPr>
          <w:p w:rsidR="007900F6">
            <w:pPr>
              <w:adjustRightInd w:val="0"/>
              <w:spacing w:line="360" w:lineRule="auto"/>
              <w:contextualSpacing/>
              <w:rPr>
                <w:rFonts w:ascii="宋体" w:hAnsi="宋体"/>
                <w:color w:val="000000"/>
                <w:kern w:val="0"/>
                <w:szCs w:val="21"/>
              </w:rPr>
            </w:pPr>
          </w:p>
        </w:tc>
      </w:tr>
      <w:tr>
        <w:tblPrEx>
          <w:tblW w:w="7754" w:type="dxa"/>
          <w:jc w:val="center"/>
          <w:tblInd w:w="0" w:type="dxa"/>
          <w:tblLook w:val="0000"/>
        </w:tblPrEx>
        <w:trPr>
          <w:jc w:val="center"/>
        </w:trPr>
        <w:tc>
          <w:tcPr>
            <w:tcW w:w="714" w:type="dxa"/>
          </w:tcPr>
          <w:p w:rsidR="007900F6">
            <w:pPr>
              <w:adjustRightInd w:val="0"/>
              <w:spacing w:line="360" w:lineRule="auto"/>
              <w:contextualSpacing/>
              <w:rPr>
                <w:rFonts w:ascii="宋体" w:hAnsi="宋体"/>
                <w:color w:val="000000"/>
                <w:kern w:val="0"/>
                <w:szCs w:val="21"/>
              </w:rPr>
            </w:pPr>
            <w:r>
              <w:rPr>
                <w:rFonts w:ascii="宋体" w:hAnsi="宋体" w:hint="eastAsia"/>
                <w:color w:val="000000"/>
                <w:kern w:val="0"/>
                <w:szCs w:val="21"/>
              </w:rPr>
              <w:t>4</w:t>
            </w:r>
          </w:p>
        </w:tc>
        <w:tc>
          <w:tcPr>
            <w:tcW w:w="5807" w:type="dxa"/>
          </w:tcPr>
          <w:p w:rsidR="007900F6">
            <w:pPr>
              <w:tabs>
                <w:tab w:val="left" w:pos="5289"/>
              </w:tabs>
              <w:spacing w:line="360" w:lineRule="auto"/>
              <w:contextualSpacing/>
              <w:rPr>
                <w:rFonts w:ascii="宋体" w:hAnsi="宋体"/>
                <w:b/>
                <w:bCs/>
                <w:color w:val="000000"/>
                <w:szCs w:val="21"/>
              </w:rPr>
            </w:pPr>
          </w:p>
        </w:tc>
        <w:tc>
          <w:tcPr>
            <w:tcW w:w="1233" w:type="dxa"/>
            <w:vAlign w:val="center"/>
          </w:tcPr>
          <w:p w:rsidR="007900F6">
            <w:pPr>
              <w:adjustRightInd w:val="0"/>
              <w:spacing w:line="360" w:lineRule="auto"/>
              <w:contextualSpacing/>
              <w:rPr>
                <w:rFonts w:ascii="宋体" w:hAnsi="宋体"/>
                <w:color w:val="000000"/>
                <w:kern w:val="0"/>
                <w:szCs w:val="21"/>
              </w:rPr>
            </w:pPr>
          </w:p>
        </w:tc>
      </w:tr>
    </w:tbl>
    <w:p w:rsidR="007900F6">
      <w:pPr>
        <w:spacing w:line="360" w:lineRule="auto"/>
        <w:contextualSpacing/>
        <w:rPr>
          <w:b/>
          <w:color w:val="000000"/>
        </w:rPr>
      </w:pPr>
      <w:r>
        <w:rPr>
          <w:rFonts w:hint="eastAsia"/>
          <w:b/>
          <w:color w:val="000000"/>
        </w:rPr>
        <w:t>注：1. 上表所列内容为不可负偏离条款。</w:t>
      </w:r>
    </w:p>
    <w:p w:rsidR="007900F6">
      <w:pPr>
        <w:spacing w:line="360" w:lineRule="auto"/>
        <w:ind w:firstLine="480" w:firstLineChars="200"/>
        <w:contextualSpacing/>
        <w:rPr>
          <w:b/>
          <w:color w:val="000000"/>
        </w:rPr>
      </w:pPr>
      <w:r>
        <w:rPr>
          <w:b/>
          <w:color w:val="000000"/>
        </w:rPr>
        <w:t>2.</w:t>
      </w:r>
      <w:r>
        <w:rPr>
          <w:rFonts w:hint="eastAsia"/>
          <w:b/>
          <w:color w:val="000000"/>
        </w:rPr>
        <w:t>“投标人响应情况”一栏应如实填写“响应”或“不响应”。</w:t>
      </w:r>
    </w:p>
    <w:p w:rsidR="007900F6">
      <w:pPr>
        <w:spacing w:line="360" w:lineRule="auto"/>
        <w:ind w:firstLine="480" w:firstLineChars="200"/>
        <w:contextualSpacing/>
        <w:rPr>
          <w:b/>
          <w:color w:val="000000"/>
        </w:rPr>
      </w:pPr>
      <w:r>
        <w:rPr>
          <w:rFonts w:hint="eastAsia"/>
          <w:b/>
          <w:color w:val="000000"/>
        </w:rPr>
        <w:t>3. “实质性响应条款响应情况”与投标文件其它内容冲突的，以“实质性响应条款响应情况”为准。</w:t>
      </w:r>
    </w:p>
    <w:p w:rsidR="007900F6">
      <w:pPr>
        <w:widowControl/>
        <w:spacing w:line="360" w:lineRule="auto"/>
        <w:contextualSpacing/>
        <w:jc w:val="left"/>
        <w:rPr>
          <w:rFonts w:ascii="仿宋_GB2312" w:eastAsia="仿宋_GB2312"/>
          <w:b/>
          <w:color w:val="000000"/>
          <w:sz w:val="30"/>
          <w:szCs w:val="30"/>
        </w:rPr>
      </w:pPr>
      <w:r>
        <w:rPr>
          <w:rFonts w:ascii="仿宋_GB2312" w:eastAsia="仿宋_GB2312"/>
          <w:b/>
          <w:color w:val="000000"/>
          <w:sz w:val="30"/>
          <w:szCs w:val="30"/>
        </w:rPr>
        <w:br w:type="page"/>
      </w:r>
    </w:p>
    <w:p w:rsidR="007900F6">
      <w:pPr>
        <w:pStyle w:val="Heading4"/>
        <w:spacing w:before="0" w:after="0" w:line="360" w:lineRule="auto"/>
        <w:contextualSpacing/>
        <w:jc w:val="center"/>
        <w:rPr>
          <w:rFonts w:ascii="黑体"/>
          <w:b w:val="0"/>
          <w:color w:val="000000"/>
          <w:kern w:val="0"/>
          <w:sz w:val="24"/>
          <w:szCs w:val="24"/>
        </w:rPr>
      </w:pPr>
      <w:r>
        <w:rPr>
          <w:rFonts w:ascii="黑体" w:hint="eastAsia"/>
          <w:b w:val="0"/>
          <w:color w:val="000000"/>
          <w:kern w:val="0"/>
          <w:sz w:val="24"/>
          <w:szCs w:val="24"/>
        </w:rPr>
        <w:t>四、工程量清单报价格式</w:t>
      </w:r>
    </w:p>
    <w:p w:rsidR="007900F6">
      <w:pPr>
        <w:pStyle w:val="Heading4"/>
        <w:spacing w:before="0" w:after="0" w:line="360" w:lineRule="auto"/>
        <w:contextualSpacing/>
        <w:rPr>
          <w:color w:val="000000"/>
        </w:rPr>
      </w:pPr>
      <w:r>
        <w:rPr>
          <w:rFonts w:hint="eastAsia"/>
          <w:color w:val="000000"/>
        </w:rPr>
        <w:t>（一）工程项目投标价汇总表</w:t>
      </w:r>
    </w:p>
    <w:tbl>
      <w:tblPr>
        <w:tblStyle w:val="TableNormal"/>
        <w:tblW w:w="8379" w:type="dxa"/>
        <w:tblInd w:w="93" w:type="dxa"/>
        <w:tblLook w:val="0000"/>
      </w:tblPr>
      <w:tblGrid>
        <w:gridCol w:w="472"/>
        <w:gridCol w:w="3087"/>
        <w:gridCol w:w="992"/>
        <w:gridCol w:w="1134"/>
        <w:gridCol w:w="1351"/>
        <w:gridCol w:w="67"/>
        <w:gridCol w:w="1276"/>
      </w:tblGrid>
      <w:tr>
        <w:tblPrEx>
          <w:tblW w:w="8379" w:type="dxa"/>
          <w:tblInd w:w="93" w:type="dxa"/>
          <w:tblLook w:val="0000"/>
        </w:tblPrEx>
        <w:trPr>
          <w:trHeight w:val="668"/>
        </w:trPr>
        <w:tc>
          <w:tcPr>
            <w:tcW w:w="7036" w:type="dxa"/>
            <w:gridSpan w:val="5"/>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 xml:space="preserve">工程名称:           </w:t>
            </w:r>
          </w:p>
        </w:tc>
        <w:tc>
          <w:tcPr>
            <w:tcW w:w="1343" w:type="dxa"/>
            <w:gridSpan w:val="2"/>
            <w:tcBorders>
              <w:top w:val="nil"/>
              <w:left w:val="nil"/>
              <w:bottom w:val="nil"/>
              <w:right w:val="nil"/>
            </w:tcBorders>
            <w:vAlign w:val="bottom"/>
          </w:tcPr>
          <w:p w:rsidR="007900F6">
            <w:pPr>
              <w:widowControl/>
              <w:spacing w:line="360" w:lineRule="auto"/>
              <w:ind w:right="300"/>
              <w:contextualSpacing/>
              <w:jc w:val="right"/>
              <w:rPr>
                <w:rFonts w:ascii="宋体" w:hAnsi="宋体" w:cs="宋体"/>
                <w:color w:val="000000"/>
                <w:kern w:val="0"/>
                <w:szCs w:val="21"/>
              </w:rPr>
            </w:pPr>
          </w:p>
        </w:tc>
      </w:tr>
      <w:tr>
        <w:tblPrEx>
          <w:tblW w:w="8379" w:type="dxa"/>
          <w:tblInd w:w="93" w:type="dxa"/>
          <w:tblLook w:val="0000"/>
        </w:tblPrEx>
        <w:trPr>
          <w:trHeight w:val="372"/>
        </w:trPr>
        <w:tc>
          <w:tcPr>
            <w:tcW w:w="472"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序号</w:t>
            </w:r>
          </w:p>
        </w:tc>
        <w:tc>
          <w:tcPr>
            <w:tcW w:w="3087"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单项工程名称</w:t>
            </w:r>
          </w:p>
        </w:tc>
        <w:tc>
          <w:tcPr>
            <w:tcW w:w="992" w:type="dxa"/>
            <w:vMerge w:val="restart"/>
            <w:tcBorders>
              <w:top w:val="single" w:sz="4" w:space="0" w:color="auto"/>
              <w:left w:val="single" w:sz="4" w:space="0" w:color="000000"/>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金额(元)</w:t>
            </w:r>
          </w:p>
        </w:tc>
        <w:tc>
          <w:tcPr>
            <w:tcW w:w="3828" w:type="dxa"/>
            <w:gridSpan w:val="4"/>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其中</w:t>
            </w:r>
          </w:p>
        </w:tc>
      </w:tr>
      <w:tr>
        <w:tblPrEx>
          <w:tblW w:w="8379" w:type="dxa"/>
          <w:tblInd w:w="93" w:type="dxa"/>
          <w:tblLook w:val="0000"/>
        </w:tblPrEx>
        <w:trPr>
          <w:trHeight w:val="668"/>
        </w:trPr>
        <w:tc>
          <w:tcPr>
            <w:tcW w:w="472"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3087"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992"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暂估价</w:t>
              <w:br/>
              <w:t>(元)</w:t>
            </w:r>
          </w:p>
        </w:tc>
        <w:tc>
          <w:tcPr>
            <w:tcW w:w="1418" w:type="dxa"/>
            <w:gridSpan w:val="2"/>
            <w:tcBorders>
              <w:top w:val="nil"/>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安全文明施工</w:t>
              <w:br/>
              <w:t>措施费(元)</w:t>
            </w:r>
          </w:p>
        </w:tc>
        <w:tc>
          <w:tcPr>
            <w:tcW w:w="1276" w:type="dxa"/>
            <w:tcBorders>
              <w:top w:val="nil"/>
              <w:left w:val="nil"/>
              <w:bottom w:val="single" w:sz="4" w:space="0" w:color="000000"/>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规费</w:t>
              <w:br/>
              <w:t>(元)</w:t>
            </w:r>
          </w:p>
        </w:tc>
      </w:tr>
      <w:tr>
        <w:tblPrEx>
          <w:tblW w:w="8379" w:type="dxa"/>
          <w:tblInd w:w="93" w:type="dxa"/>
          <w:tblLook w:val="0000"/>
        </w:tblPrEx>
        <w:trPr>
          <w:trHeight w:val="668"/>
        </w:trPr>
        <w:tc>
          <w:tcPr>
            <w:tcW w:w="472"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1</w:t>
            </w:r>
          </w:p>
        </w:tc>
        <w:tc>
          <w:tcPr>
            <w:tcW w:w="3087"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992"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13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418" w:type="dxa"/>
            <w:gridSpan w:val="2"/>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240"/>
        </w:trPr>
        <w:tc>
          <w:tcPr>
            <w:tcW w:w="472"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08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9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18" w:type="dxa"/>
            <w:gridSpan w:val="2"/>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379" w:type="dxa"/>
          <w:tblInd w:w="93" w:type="dxa"/>
          <w:tblLook w:val="0000"/>
        </w:tblPrEx>
        <w:trPr>
          <w:trHeight w:val="240"/>
        </w:trPr>
        <w:tc>
          <w:tcPr>
            <w:tcW w:w="472"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08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9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18" w:type="dxa"/>
            <w:gridSpan w:val="2"/>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379" w:type="dxa"/>
          <w:tblInd w:w="93" w:type="dxa"/>
          <w:tblLook w:val="0000"/>
        </w:tblPrEx>
        <w:trPr>
          <w:trHeight w:val="240"/>
        </w:trPr>
        <w:tc>
          <w:tcPr>
            <w:tcW w:w="472"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08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9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18" w:type="dxa"/>
            <w:gridSpan w:val="2"/>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379" w:type="dxa"/>
          <w:tblInd w:w="93" w:type="dxa"/>
          <w:tblLook w:val="0000"/>
        </w:tblPrEx>
        <w:trPr>
          <w:trHeight w:val="240"/>
        </w:trPr>
        <w:tc>
          <w:tcPr>
            <w:tcW w:w="472"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08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9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18" w:type="dxa"/>
            <w:gridSpan w:val="2"/>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379" w:type="dxa"/>
          <w:tblInd w:w="93" w:type="dxa"/>
          <w:tblLook w:val="0000"/>
        </w:tblPrEx>
        <w:trPr>
          <w:trHeight w:val="372"/>
        </w:trPr>
        <w:tc>
          <w:tcPr>
            <w:tcW w:w="3559" w:type="dxa"/>
            <w:gridSpan w:val="2"/>
            <w:tcBorders>
              <w:top w:val="single" w:sz="4" w:space="0" w:color="auto"/>
              <w:left w:val="single" w:sz="4" w:space="0" w:color="auto"/>
              <w:bottom w:val="single" w:sz="4" w:space="0" w:color="auto"/>
              <w:right w:val="single" w:sz="4" w:space="0" w:color="000000"/>
            </w:tcBorders>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合    计</w:t>
            </w:r>
          </w:p>
        </w:tc>
        <w:tc>
          <w:tcPr>
            <w:tcW w:w="99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18" w:type="dxa"/>
            <w:gridSpan w:val="2"/>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bl>
    <w:p w:rsidR="007900F6">
      <w:pPr>
        <w:spacing w:line="360" w:lineRule="auto"/>
        <w:contextualSpacing/>
        <w:rPr>
          <w:color w:val="000000"/>
        </w:rPr>
      </w:pPr>
    </w:p>
    <w:p w:rsidR="007900F6">
      <w:pPr>
        <w:widowControl/>
        <w:spacing w:line="360" w:lineRule="auto"/>
        <w:contextualSpacing/>
        <w:jc w:val="left"/>
        <w:rPr>
          <w:color w:val="000000"/>
        </w:rPr>
      </w:pPr>
    </w:p>
    <w:p w:rsidR="007900F6">
      <w:pPr>
        <w:pStyle w:val="Heading4"/>
        <w:spacing w:before="0" w:after="0" w:line="360" w:lineRule="auto"/>
        <w:contextualSpacing/>
        <w:rPr>
          <w:color w:val="000000"/>
        </w:rPr>
      </w:pPr>
      <w:r>
        <w:rPr>
          <w:rFonts w:hint="eastAsia"/>
          <w:color w:val="000000"/>
        </w:rPr>
        <w:t>（二）</w:t>
      </w:r>
      <w:r>
        <w:rPr>
          <w:rFonts w:hint="eastAsia"/>
          <w:color w:val="000000"/>
          <w:kern w:val="0"/>
        </w:rPr>
        <w:t>单项工程投标价汇总表</w:t>
      </w:r>
    </w:p>
    <w:tbl>
      <w:tblPr>
        <w:tblStyle w:val="TableNormal"/>
        <w:tblW w:w="8379" w:type="dxa"/>
        <w:tblInd w:w="93" w:type="dxa"/>
        <w:tblLook w:val="0000"/>
      </w:tblPr>
      <w:tblGrid>
        <w:gridCol w:w="472"/>
        <w:gridCol w:w="3371"/>
        <w:gridCol w:w="850"/>
        <w:gridCol w:w="1276"/>
        <w:gridCol w:w="810"/>
        <w:gridCol w:w="607"/>
        <w:gridCol w:w="993"/>
      </w:tblGrid>
      <w:tr>
        <w:tblPrEx>
          <w:tblW w:w="8379" w:type="dxa"/>
          <w:tblInd w:w="93" w:type="dxa"/>
          <w:tblLook w:val="0000"/>
        </w:tblPrEx>
        <w:trPr>
          <w:trHeight w:val="372"/>
        </w:trPr>
        <w:tc>
          <w:tcPr>
            <w:tcW w:w="6779" w:type="dxa"/>
            <w:gridSpan w:val="5"/>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 xml:space="preserve">工程名称: </w:t>
            </w:r>
          </w:p>
        </w:tc>
        <w:tc>
          <w:tcPr>
            <w:tcW w:w="1600" w:type="dxa"/>
            <w:gridSpan w:val="2"/>
            <w:tcBorders>
              <w:top w:val="nil"/>
              <w:left w:val="nil"/>
              <w:bottom w:val="nil"/>
              <w:right w:val="nil"/>
            </w:tcBorders>
            <w:vAlign w:val="bottom"/>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372"/>
        </w:trPr>
        <w:tc>
          <w:tcPr>
            <w:tcW w:w="472"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序号</w:t>
            </w:r>
          </w:p>
        </w:tc>
        <w:tc>
          <w:tcPr>
            <w:tcW w:w="3371"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单位工程名称</w:t>
            </w:r>
          </w:p>
        </w:tc>
        <w:tc>
          <w:tcPr>
            <w:tcW w:w="850" w:type="dxa"/>
            <w:vMerge w:val="restart"/>
            <w:tcBorders>
              <w:top w:val="single" w:sz="4" w:space="0" w:color="auto"/>
              <w:left w:val="single" w:sz="4" w:space="0" w:color="000000"/>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金额(元)</w:t>
            </w:r>
          </w:p>
        </w:tc>
        <w:tc>
          <w:tcPr>
            <w:tcW w:w="3686" w:type="dxa"/>
            <w:gridSpan w:val="4"/>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其中</w:t>
            </w:r>
          </w:p>
        </w:tc>
      </w:tr>
      <w:tr>
        <w:tblPrEx>
          <w:tblW w:w="8379" w:type="dxa"/>
          <w:tblInd w:w="93" w:type="dxa"/>
          <w:tblLook w:val="0000"/>
        </w:tblPrEx>
        <w:trPr>
          <w:trHeight w:val="668"/>
        </w:trPr>
        <w:tc>
          <w:tcPr>
            <w:tcW w:w="472"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3371"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850"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材料设备</w:t>
              <w:br/>
              <w:t>暂估价(元)</w:t>
            </w:r>
          </w:p>
        </w:tc>
        <w:tc>
          <w:tcPr>
            <w:tcW w:w="1417" w:type="dxa"/>
            <w:gridSpan w:val="2"/>
            <w:tcBorders>
              <w:top w:val="nil"/>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安全文明施工</w:t>
              <w:br/>
              <w:t>措施费(元)</w:t>
            </w:r>
          </w:p>
        </w:tc>
        <w:tc>
          <w:tcPr>
            <w:tcW w:w="993" w:type="dxa"/>
            <w:tcBorders>
              <w:top w:val="nil"/>
              <w:left w:val="nil"/>
              <w:bottom w:val="single" w:sz="4" w:space="0" w:color="000000"/>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规费</w:t>
              <w:br/>
              <w:t>(元)</w:t>
            </w:r>
          </w:p>
        </w:tc>
      </w:tr>
      <w:tr>
        <w:tblPrEx>
          <w:tblW w:w="8379" w:type="dxa"/>
          <w:tblInd w:w="93" w:type="dxa"/>
          <w:tblLook w:val="0000"/>
        </w:tblPrEx>
        <w:trPr>
          <w:trHeight w:val="668"/>
        </w:trPr>
        <w:tc>
          <w:tcPr>
            <w:tcW w:w="472"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1</w:t>
            </w:r>
          </w:p>
        </w:tc>
        <w:tc>
          <w:tcPr>
            <w:tcW w:w="3371"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85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27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417" w:type="dxa"/>
            <w:gridSpan w:val="2"/>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993"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342"/>
        </w:trPr>
        <w:tc>
          <w:tcPr>
            <w:tcW w:w="472"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37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5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17" w:type="dxa"/>
            <w:gridSpan w:val="2"/>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9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379" w:type="dxa"/>
          <w:tblInd w:w="93" w:type="dxa"/>
          <w:tblLook w:val="0000"/>
        </w:tblPrEx>
        <w:trPr>
          <w:trHeight w:val="342"/>
        </w:trPr>
        <w:tc>
          <w:tcPr>
            <w:tcW w:w="472"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37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5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17" w:type="dxa"/>
            <w:gridSpan w:val="2"/>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9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379" w:type="dxa"/>
          <w:tblInd w:w="93" w:type="dxa"/>
          <w:tblLook w:val="0000"/>
        </w:tblPrEx>
        <w:trPr>
          <w:trHeight w:val="342"/>
        </w:trPr>
        <w:tc>
          <w:tcPr>
            <w:tcW w:w="472"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37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5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17" w:type="dxa"/>
            <w:gridSpan w:val="2"/>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9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379" w:type="dxa"/>
          <w:tblInd w:w="93" w:type="dxa"/>
          <w:tblLook w:val="0000"/>
        </w:tblPrEx>
        <w:trPr>
          <w:trHeight w:val="342"/>
        </w:trPr>
        <w:tc>
          <w:tcPr>
            <w:tcW w:w="472"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37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5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17" w:type="dxa"/>
            <w:gridSpan w:val="2"/>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9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379" w:type="dxa"/>
          <w:tblInd w:w="93" w:type="dxa"/>
          <w:tblLook w:val="0000"/>
        </w:tblPrEx>
        <w:trPr>
          <w:trHeight w:val="215"/>
        </w:trPr>
        <w:tc>
          <w:tcPr>
            <w:tcW w:w="3843" w:type="dxa"/>
            <w:gridSpan w:val="2"/>
            <w:tcBorders>
              <w:top w:val="single" w:sz="4" w:space="0" w:color="auto"/>
              <w:left w:val="single" w:sz="4" w:space="0" w:color="auto"/>
              <w:bottom w:val="single" w:sz="4" w:space="0" w:color="auto"/>
              <w:right w:val="single" w:sz="4" w:space="0" w:color="000000"/>
            </w:tcBorders>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合    计</w:t>
            </w:r>
          </w:p>
        </w:tc>
        <w:tc>
          <w:tcPr>
            <w:tcW w:w="85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7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17" w:type="dxa"/>
            <w:gridSpan w:val="2"/>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9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bl>
    <w:p w:rsidR="007900F6">
      <w:pPr>
        <w:pStyle w:val="Heading4"/>
        <w:spacing w:before="0" w:after="0" w:line="360" w:lineRule="auto"/>
        <w:contextualSpacing/>
        <w:rPr>
          <w:color w:val="000000"/>
        </w:rPr>
      </w:pPr>
      <w:r>
        <w:rPr>
          <w:rFonts w:hint="eastAsia"/>
          <w:color w:val="000000"/>
        </w:rPr>
        <w:t>（三）</w:t>
      </w:r>
      <w:r>
        <w:rPr>
          <w:rFonts w:hint="eastAsia"/>
          <w:color w:val="000000"/>
          <w:kern w:val="0"/>
        </w:rPr>
        <w:t>单位工程投标报价汇总表</w:t>
      </w:r>
    </w:p>
    <w:tbl>
      <w:tblPr>
        <w:tblStyle w:val="TableNormal"/>
        <w:tblW w:w="8379" w:type="dxa"/>
        <w:tblInd w:w="93" w:type="dxa"/>
        <w:tblLook w:val="0000"/>
      </w:tblPr>
      <w:tblGrid>
        <w:gridCol w:w="1575"/>
        <w:gridCol w:w="3685"/>
        <w:gridCol w:w="1134"/>
        <w:gridCol w:w="1985"/>
      </w:tblGrid>
      <w:tr>
        <w:tblPrEx>
          <w:tblW w:w="8379" w:type="dxa"/>
          <w:tblInd w:w="93" w:type="dxa"/>
          <w:tblLook w:val="0000"/>
        </w:tblPrEx>
        <w:trPr>
          <w:trHeight w:val="668"/>
        </w:trPr>
        <w:tc>
          <w:tcPr>
            <w:tcW w:w="1575" w:type="dxa"/>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工程名称:</w:t>
            </w:r>
            <w:r>
              <w:rPr>
                <w:rFonts w:ascii="宋体" w:hAnsi="宋体" w:cs="宋体"/>
                <w:color w:val="000000"/>
                <w:kern w:val="0"/>
                <w:szCs w:val="21"/>
              </w:rPr>
              <w:t xml:space="preserve"> </w:t>
            </w:r>
          </w:p>
        </w:tc>
        <w:tc>
          <w:tcPr>
            <w:tcW w:w="3685" w:type="dxa"/>
            <w:tcBorders>
              <w:top w:val="nil"/>
              <w:left w:val="nil"/>
              <w:bottom w:val="nil"/>
              <w:right w:val="nil"/>
            </w:tcBorders>
            <w:vAlign w:val="bottom"/>
          </w:tcPr>
          <w:p w:rsidR="007900F6">
            <w:pPr>
              <w:widowControl/>
              <w:spacing w:line="360" w:lineRule="auto"/>
              <w:contextualSpacing/>
              <w:jc w:val="center"/>
              <w:rPr>
                <w:rFonts w:ascii="宋体" w:hAnsi="宋体" w:cs="宋体"/>
                <w:color w:val="000000"/>
                <w:kern w:val="0"/>
                <w:szCs w:val="21"/>
              </w:rPr>
            </w:pPr>
          </w:p>
        </w:tc>
        <w:tc>
          <w:tcPr>
            <w:tcW w:w="3119" w:type="dxa"/>
            <w:gridSpan w:val="2"/>
            <w:tcBorders>
              <w:top w:val="nil"/>
              <w:left w:val="nil"/>
              <w:bottom w:val="nil"/>
              <w:right w:val="nil"/>
            </w:tcBorders>
            <w:vAlign w:val="bottom"/>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1174"/>
        </w:trPr>
        <w:tc>
          <w:tcPr>
            <w:tcW w:w="1575" w:type="dxa"/>
            <w:tcBorders>
              <w:top w:val="single" w:sz="4" w:space="0" w:color="auto"/>
              <w:left w:val="single" w:sz="4" w:space="0" w:color="auto"/>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 xml:space="preserve"> 序 号</w:t>
            </w:r>
          </w:p>
        </w:tc>
        <w:tc>
          <w:tcPr>
            <w:tcW w:w="3685"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汇 总 内 容</w:t>
            </w:r>
          </w:p>
        </w:tc>
        <w:tc>
          <w:tcPr>
            <w:tcW w:w="1134" w:type="dxa"/>
            <w:tcBorders>
              <w:top w:val="single" w:sz="4" w:space="0" w:color="auto"/>
              <w:left w:val="nil"/>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金额(元)</w:t>
            </w:r>
          </w:p>
        </w:tc>
        <w:tc>
          <w:tcPr>
            <w:tcW w:w="1985" w:type="dxa"/>
            <w:tcBorders>
              <w:top w:val="single" w:sz="4" w:space="0" w:color="auto"/>
              <w:left w:val="nil"/>
              <w:bottom w:val="single" w:sz="4" w:space="0" w:color="000000"/>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其中：</w:t>
              <w:br/>
              <w:t>材料设备暂估价</w:t>
              <w:br/>
              <w:t>(元)</w:t>
            </w:r>
          </w:p>
        </w:tc>
      </w:tr>
      <w:tr>
        <w:tblPrEx>
          <w:tblW w:w="8379"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685"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985"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685"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985"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685"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985"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685"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985"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685"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985"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685"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985"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685"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985"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8379" w:type="dxa"/>
          <w:tblInd w:w="93" w:type="dxa"/>
          <w:tblLook w:val="0000"/>
        </w:tblPrEx>
        <w:trPr>
          <w:trHeight w:val="357"/>
        </w:trPr>
        <w:tc>
          <w:tcPr>
            <w:tcW w:w="1575"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685" w:type="dxa"/>
            <w:tcBorders>
              <w:top w:val="single" w:sz="4" w:space="0" w:color="auto"/>
              <w:left w:val="nil"/>
              <w:bottom w:val="single" w:sz="4" w:space="0" w:color="auto"/>
              <w:right w:val="single" w:sz="4" w:space="0" w:color="000000"/>
            </w:tcBorders>
            <w:noWrap/>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985"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379" w:type="dxa"/>
          <w:tblInd w:w="93" w:type="dxa"/>
          <w:tblLook w:val="0000"/>
        </w:tblPrEx>
        <w:trPr>
          <w:trHeight w:val="357"/>
        </w:trPr>
        <w:tc>
          <w:tcPr>
            <w:tcW w:w="1575"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685" w:type="dxa"/>
            <w:tcBorders>
              <w:top w:val="single" w:sz="4" w:space="0" w:color="auto"/>
              <w:left w:val="nil"/>
              <w:bottom w:val="single" w:sz="4" w:space="0" w:color="auto"/>
              <w:right w:val="single" w:sz="4" w:space="0" w:color="000000"/>
            </w:tcBorders>
            <w:noWrap/>
            <w:vAlign w:val="center"/>
          </w:tcPr>
          <w:p w:rsidR="007900F6">
            <w:pPr>
              <w:widowControl/>
              <w:spacing w:line="360" w:lineRule="auto"/>
              <w:contextualSpacing/>
              <w:jc w:val="left"/>
              <w:rPr>
                <w:rFonts w:ascii="宋体" w:hAnsi="宋体" w:cs="宋体"/>
                <w:color w:val="000000"/>
                <w:kern w:val="0"/>
                <w:szCs w:val="21"/>
              </w:rPr>
            </w:pPr>
          </w:p>
        </w:tc>
        <w:tc>
          <w:tcPr>
            <w:tcW w:w="113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985"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379" w:type="dxa"/>
          <w:tblInd w:w="93" w:type="dxa"/>
          <w:tblLook w:val="0000"/>
        </w:tblPrEx>
        <w:trPr>
          <w:trHeight w:val="342"/>
        </w:trPr>
        <w:tc>
          <w:tcPr>
            <w:tcW w:w="5260" w:type="dxa"/>
            <w:gridSpan w:val="2"/>
            <w:tcBorders>
              <w:top w:val="single" w:sz="4" w:space="0" w:color="auto"/>
              <w:left w:val="single" w:sz="4" w:space="0" w:color="auto"/>
              <w:bottom w:val="single" w:sz="4" w:space="0" w:color="auto"/>
              <w:right w:val="single" w:sz="4" w:space="0" w:color="000000"/>
            </w:tcBorders>
            <w:vAlign w:val="center"/>
          </w:tcPr>
          <w:p w:rsidR="007900F6">
            <w:pPr>
              <w:widowControl/>
              <w:spacing w:line="360" w:lineRule="auto"/>
              <w:contextualSpacing/>
              <w:jc w:val="center"/>
              <w:rPr>
                <w:rFonts w:ascii="宋体" w:hAnsi="宋体" w:cs="宋体"/>
                <w:color w:val="000000"/>
                <w:kern w:val="0"/>
                <w:szCs w:val="21"/>
              </w:rPr>
            </w:pPr>
          </w:p>
        </w:tc>
        <w:tc>
          <w:tcPr>
            <w:tcW w:w="1134" w:type="dxa"/>
            <w:tcBorders>
              <w:top w:val="nil"/>
              <w:left w:val="nil"/>
              <w:bottom w:val="single" w:sz="4" w:space="0" w:color="auto"/>
              <w:right w:val="single" w:sz="4" w:space="0" w:color="auto"/>
            </w:tcBorders>
            <w:noWrap/>
            <w:vAlign w:val="center"/>
          </w:tcPr>
          <w:p w:rsidR="007900F6">
            <w:pPr>
              <w:widowControl/>
              <w:spacing w:line="360" w:lineRule="auto"/>
              <w:contextualSpacing/>
              <w:jc w:val="right"/>
              <w:rPr>
                <w:rFonts w:ascii="宋体" w:hAnsi="宋体" w:cs="宋体"/>
                <w:color w:val="000000"/>
                <w:kern w:val="0"/>
                <w:szCs w:val="21"/>
              </w:rPr>
            </w:pPr>
          </w:p>
        </w:tc>
        <w:tc>
          <w:tcPr>
            <w:tcW w:w="1985"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bl>
    <w:p w:rsidR="007900F6">
      <w:pPr>
        <w:widowControl/>
        <w:spacing w:line="360" w:lineRule="auto"/>
        <w:contextualSpacing/>
        <w:jc w:val="left"/>
        <w:rPr>
          <w:color w:val="000000"/>
        </w:rPr>
      </w:pPr>
    </w:p>
    <w:p w:rsidR="007900F6">
      <w:pPr>
        <w:pStyle w:val="Heading4"/>
        <w:spacing w:before="0" w:after="0" w:line="360" w:lineRule="auto"/>
        <w:contextualSpacing/>
        <w:rPr>
          <w:color w:val="000000"/>
        </w:rPr>
      </w:pPr>
      <w:r>
        <w:rPr>
          <w:rFonts w:hint="eastAsia"/>
          <w:color w:val="000000"/>
        </w:rPr>
        <w:t>（四）</w:t>
      </w:r>
      <w:r>
        <w:rPr>
          <w:rFonts w:hint="eastAsia"/>
          <w:color w:val="000000"/>
          <w:kern w:val="0"/>
        </w:rPr>
        <w:t>分部分项工程量清单与计价表</w:t>
      </w:r>
    </w:p>
    <w:tbl>
      <w:tblPr>
        <w:tblStyle w:val="TableNormal"/>
        <w:tblW w:w="8534" w:type="dxa"/>
        <w:jc w:val="center"/>
        <w:tblInd w:w="0" w:type="dxa"/>
        <w:tblLook w:val="0000"/>
      </w:tblPr>
      <w:tblGrid>
        <w:gridCol w:w="713"/>
        <w:gridCol w:w="1236"/>
        <w:gridCol w:w="1643"/>
        <w:gridCol w:w="1537"/>
        <w:gridCol w:w="746"/>
        <w:gridCol w:w="603"/>
        <w:gridCol w:w="426"/>
        <w:gridCol w:w="426"/>
        <w:gridCol w:w="1224"/>
      </w:tblGrid>
      <w:tr>
        <w:tblPrEx>
          <w:tblW w:w="8534" w:type="dxa"/>
          <w:jc w:val="center"/>
          <w:tblInd w:w="0" w:type="dxa"/>
          <w:tblLook w:val="0000"/>
        </w:tblPrEx>
        <w:trPr>
          <w:trHeight w:val="671"/>
          <w:jc w:val="center"/>
        </w:trPr>
        <w:tc>
          <w:tcPr>
            <w:tcW w:w="3592" w:type="dxa"/>
            <w:gridSpan w:val="3"/>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工程名称:</w:t>
            </w:r>
            <w:r>
              <w:rPr>
                <w:rFonts w:ascii="宋体" w:hAnsi="宋体" w:cs="宋体"/>
                <w:color w:val="000000"/>
                <w:kern w:val="0"/>
                <w:szCs w:val="21"/>
              </w:rPr>
              <w:t xml:space="preserve"> </w:t>
            </w:r>
          </w:p>
        </w:tc>
        <w:tc>
          <w:tcPr>
            <w:tcW w:w="2886" w:type="dxa"/>
            <w:gridSpan w:val="3"/>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2056" w:type="dxa"/>
            <w:gridSpan w:val="3"/>
            <w:tcBorders>
              <w:top w:val="nil"/>
              <w:left w:val="nil"/>
              <w:bottom w:val="nil"/>
              <w:right w:val="nil"/>
            </w:tcBorders>
            <w:vAlign w:val="bottom"/>
          </w:tcPr>
          <w:p w:rsidR="007900F6">
            <w:pPr>
              <w:widowControl/>
              <w:spacing w:line="360" w:lineRule="auto"/>
              <w:contextualSpacing/>
              <w:jc w:val="right"/>
              <w:rPr>
                <w:rFonts w:ascii="宋体" w:hAnsi="宋体" w:cs="宋体"/>
                <w:color w:val="000000"/>
                <w:kern w:val="0"/>
                <w:szCs w:val="21"/>
              </w:rPr>
            </w:pPr>
          </w:p>
        </w:tc>
      </w:tr>
      <w:tr>
        <w:tblPrEx>
          <w:tblW w:w="8534" w:type="dxa"/>
          <w:jc w:val="center"/>
          <w:tblInd w:w="0" w:type="dxa"/>
          <w:tblLook w:val="0000"/>
        </w:tblPrEx>
        <w:trPr>
          <w:trHeight w:val="375"/>
          <w:jc w:val="center"/>
        </w:trPr>
        <w:tc>
          <w:tcPr>
            <w:tcW w:w="713"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序号</w:t>
            </w:r>
          </w:p>
        </w:tc>
        <w:tc>
          <w:tcPr>
            <w:tcW w:w="1236"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项目编码</w:t>
            </w:r>
          </w:p>
        </w:tc>
        <w:tc>
          <w:tcPr>
            <w:tcW w:w="1643"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项目名称</w:t>
            </w:r>
          </w:p>
        </w:tc>
        <w:tc>
          <w:tcPr>
            <w:tcW w:w="1537"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项目特征描述</w:t>
            </w:r>
          </w:p>
        </w:tc>
        <w:tc>
          <w:tcPr>
            <w:tcW w:w="746"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计量</w:t>
              <w:br/>
              <w:t>单位</w:t>
            </w:r>
          </w:p>
        </w:tc>
        <w:tc>
          <w:tcPr>
            <w:tcW w:w="603" w:type="dxa"/>
            <w:vMerge w:val="restart"/>
            <w:tcBorders>
              <w:top w:val="single" w:sz="4" w:space="0" w:color="auto"/>
              <w:left w:val="single" w:sz="4" w:space="0" w:color="000000"/>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工程量</w:t>
            </w:r>
          </w:p>
        </w:tc>
        <w:tc>
          <w:tcPr>
            <w:tcW w:w="2056" w:type="dxa"/>
            <w:gridSpan w:val="3"/>
            <w:tcBorders>
              <w:top w:val="single" w:sz="4" w:space="0" w:color="auto"/>
              <w:left w:val="nil"/>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金额(元)</w:t>
            </w:r>
          </w:p>
        </w:tc>
      </w:tr>
      <w:tr>
        <w:tblPrEx>
          <w:tblW w:w="8534" w:type="dxa"/>
          <w:jc w:val="center"/>
          <w:tblInd w:w="0" w:type="dxa"/>
          <w:tblLook w:val="0000"/>
        </w:tblPrEx>
        <w:trPr>
          <w:trHeight w:val="671"/>
          <w:jc w:val="center"/>
        </w:trPr>
        <w:tc>
          <w:tcPr>
            <w:tcW w:w="713"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236"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643"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537"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746"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603"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综合</w:t>
              <w:br/>
              <w:t>单价</w:t>
            </w:r>
          </w:p>
        </w:tc>
        <w:tc>
          <w:tcPr>
            <w:tcW w:w="416" w:type="dxa"/>
            <w:tcBorders>
              <w:top w:val="nil"/>
              <w:left w:val="nil"/>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合价</w:t>
            </w:r>
          </w:p>
        </w:tc>
        <w:tc>
          <w:tcPr>
            <w:tcW w:w="1224" w:type="dxa"/>
            <w:tcBorders>
              <w:top w:val="nil"/>
              <w:left w:val="nil"/>
              <w:bottom w:val="single" w:sz="4" w:space="0" w:color="000000"/>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材料设备</w:t>
              <w:br/>
              <w:t>暂估合价</w:t>
            </w:r>
          </w:p>
        </w:tc>
      </w:tr>
      <w:tr>
        <w:tblPrEx>
          <w:tblW w:w="8534" w:type="dxa"/>
          <w:jc w:val="center"/>
          <w:tblInd w:w="0" w:type="dxa"/>
          <w:tblLook w:val="0000"/>
        </w:tblPrEx>
        <w:trPr>
          <w:trHeight w:val="375"/>
          <w:jc w:val="center"/>
        </w:trPr>
        <w:tc>
          <w:tcPr>
            <w:tcW w:w="713"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123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left"/>
              <w:rPr>
                <w:rFonts w:ascii="宋体" w:hAnsi="宋体" w:cs="宋体"/>
                <w:color w:val="000000"/>
                <w:kern w:val="0"/>
                <w:szCs w:val="21"/>
              </w:rPr>
            </w:pPr>
          </w:p>
        </w:tc>
        <w:tc>
          <w:tcPr>
            <w:tcW w:w="1643"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537"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746"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p>
        </w:tc>
        <w:tc>
          <w:tcPr>
            <w:tcW w:w="603"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41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41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22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8534" w:type="dxa"/>
          <w:jc w:val="center"/>
          <w:tblInd w:w="0" w:type="dxa"/>
          <w:tblLook w:val="0000"/>
        </w:tblPrEx>
        <w:trPr>
          <w:trHeight w:val="375"/>
          <w:jc w:val="center"/>
        </w:trPr>
        <w:tc>
          <w:tcPr>
            <w:tcW w:w="713" w:type="dxa"/>
            <w:tcBorders>
              <w:top w:val="nil"/>
              <w:left w:val="single" w:sz="4" w:space="0" w:color="auto"/>
              <w:bottom w:val="single" w:sz="4" w:space="0" w:color="auto"/>
              <w:right w:val="single" w:sz="4" w:space="0" w:color="auto"/>
            </w:tcBorders>
            <w:vAlign w:val="center"/>
          </w:tcPr>
          <w:p w:rsidR="007900F6">
            <w:pPr>
              <w:widowControl/>
              <w:spacing w:line="360" w:lineRule="auto"/>
              <w:contextualSpacing/>
              <w:jc w:val="center"/>
              <w:rPr>
                <w:rFonts w:ascii="宋体" w:hAnsi="宋体" w:cs="宋体"/>
                <w:color w:val="000000"/>
                <w:kern w:val="0"/>
                <w:szCs w:val="21"/>
              </w:rPr>
            </w:pPr>
          </w:p>
        </w:tc>
        <w:tc>
          <w:tcPr>
            <w:tcW w:w="1236" w:type="dxa"/>
            <w:tcBorders>
              <w:top w:val="nil"/>
              <w:left w:val="nil"/>
              <w:bottom w:val="single" w:sz="4" w:space="0" w:color="auto"/>
              <w:right w:val="single" w:sz="4" w:space="0" w:color="auto"/>
            </w:tcBorders>
            <w:vAlign w:val="center"/>
          </w:tcPr>
          <w:p w:rsidR="007900F6">
            <w:pPr>
              <w:widowControl/>
              <w:spacing w:line="360" w:lineRule="auto"/>
              <w:contextualSpacing/>
              <w:jc w:val="center"/>
              <w:rPr>
                <w:rFonts w:ascii="宋体" w:hAnsi="宋体" w:cs="宋体"/>
                <w:color w:val="000000"/>
                <w:kern w:val="0"/>
                <w:szCs w:val="21"/>
              </w:rPr>
            </w:pPr>
          </w:p>
        </w:tc>
        <w:tc>
          <w:tcPr>
            <w:tcW w:w="1643" w:type="dxa"/>
            <w:tcBorders>
              <w:top w:val="nil"/>
              <w:left w:val="nil"/>
              <w:bottom w:val="single" w:sz="4" w:space="0" w:color="auto"/>
              <w:right w:val="single" w:sz="4" w:space="0" w:color="auto"/>
            </w:tcBorders>
            <w:vAlign w:val="center"/>
          </w:tcPr>
          <w:p w:rsidR="007900F6">
            <w:pPr>
              <w:widowControl/>
              <w:spacing w:line="360" w:lineRule="auto"/>
              <w:contextualSpacing/>
              <w:jc w:val="center"/>
              <w:rPr>
                <w:rFonts w:ascii="宋体" w:hAnsi="宋体" w:cs="宋体"/>
                <w:color w:val="000000"/>
                <w:kern w:val="0"/>
                <w:szCs w:val="21"/>
              </w:rPr>
            </w:pPr>
          </w:p>
        </w:tc>
        <w:tc>
          <w:tcPr>
            <w:tcW w:w="1537" w:type="dxa"/>
            <w:tcBorders>
              <w:top w:val="nil"/>
              <w:left w:val="nil"/>
              <w:bottom w:val="single" w:sz="4" w:space="0" w:color="auto"/>
              <w:right w:val="single" w:sz="4" w:space="0" w:color="auto"/>
            </w:tcBorders>
            <w:vAlign w:val="center"/>
          </w:tcPr>
          <w:p w:rsidR="007900F6">
            <w:pPr>
              <w:widowControl/>
              <w:spacing w:line="360" w:lineRule="auto"/>
              <w:contextualSpacing/>
              <w:jc w:val="left"/>
              <w:rPr>
                <w:rFonts w:ascii="宋体" w:hAnsi="宋体" w:cs="宋体"/>
                <w:color w:val="000000"/>
                <w:kern w:val="0"/>
                <w:szCs w:val="21"/>
              </w:rPr>
            </w:pPr>
          </w:p>
        </w:tc>
        <w:tc>
          <w:tcPr>
            <w:tcW w:w="746" w:type="dxa"/>
            <w:tcBorders>
              <w:top w:val="nil"/>
              <w:left w:val="nil"/>
              <w:bottom w:val="single" w:sz="4" w:space="0" w:color="auto"/>
              <w:right w:val="single" w:sz="4" w:space="0" w:color="auto"/>
            </w:tcBorders>
            <w:vAlign w:val="center"/>
          </w:tcPr>
          <w:p w:rsidR="007900F6">
            <w:pPr>
              <w:widowControl/>
              <w:spacing w:line="360" w:lineRule="auto"/>
              <w:contextualSpacing/>
              <w:jc w:val="center"/>
              <w:rPr>
                <w:rFonts w:ascii="宋体" w:hAnsi="宋体" w:cs="宋体"/>
                <w:color w:val="000000"/>
                <w:kern w:val="0"/>
                <w:szCs w:val="21"/>
              </w:rPr>
            </w:pPr>
          </w:p>
        </w:tc>
        <w:tc>
          <w:tcPr>
            <w:tcW w:w="603" w:type="dxa"/>
            <w:tcBorders>
              <w:top w:val="nil"/>
              <w:left w:val="nil"/>
              <w:bottom w:val="single" w:sz="4" w:space="0" w:color="auto"/>
              <w:right w:val="single" w:sz="4" w:space="0" w:color="auto"/>
            </w:tcBorders>
            <w:noWrap/>
            <w:vAlign w:val="center"/>
          </w:tcPr>
          <w:p w:rsidR="007900F6">
            <w:pPr>
              <w:widowControl/>
              <w:spacing w:line="360" w:lineRule="auto"/>
              <w:contextualSpacing/>
              <w:jc w:val="righ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righ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right"/>
              <w:rPr>
                <w:rFonts w:ascii="宋体" w:hAnsi="宋体" w:cs="宋体"/>
                <w:color w:val="000000"/>
                <w:kern w:val="0"/>
                <w:szCs w:val="21"/>
              </w:rPr>
            </w:pPr>
          </w:p>
        </w:tc>
        <w:tc>
          <w:tcPr>
            <w:tcW w:w="1224" w:type="dxa"/>
            <w:tcBorders>
              <w:top w:val="nil"/>
              <w:left w:val="nil"/>
              <w:bottom w:val="single" w:sz="4" w:space="0" w:color="auto"/>
              <w:right w:val="single" w:sz="4" w:space="0" w:color="auto"/>
            </w:tcBorders>
            <w:noWrap/>
            <w:vAlign w:val="center"/>
          </w:tcPr>
          <w:p w:rsidR="007900F6">
            <w:pPr>
              <w:widowControl/>
              <w:spacing w:line="360" w:lineRule="auto"/>
              <w:contextualSpacing/>
              <w:jc w:val="right"/>
              <w:rPr>
                <w:rFonts w:ascii="宋体" w:hAnsi="宋体" w:cs="宋体"/>
                <w:color w:val="000000"/>
                <w:kern w:val="0"/>
                <w:szCs w:val="21"/>
              </w:rPr>
            </w:pPr>
          </w:p>
        </w:tc>
      </w:tr>
      <w:tr>
        <w:tblPrEx>
          <w:tblW w:w="8534" w:type="dxa"/>
          <w:jc w:val="center"/>
          <w:tblInd w:w="0" w:type="dxa"/>
          <w:tblLook w:val="0000"/>
        </w:tblPrEx>
        <w:trPr>
          <w:trHeight w:val="345"/>
          <w:jc w:val="center"/>
        </w:trPr>
        <w:tc>
          <w:tcPr>
            <w:tcW w:w="713" w:type="dxa"/>
            <w:tcBorders>
              <w:top w:val="single" w:sz="4" w:space="0" w:color="auto"/>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36"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643"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537"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46"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3"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24"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534" w:type="dxa"/>
          <w:jc w:val="center"/>
          <w:tblInd w:w="0" w:type="dxa"/>
          <w:tblLook w:val="0000"/>
        </w:tblPrEx>
        <w:trPr>
          <w:trHeight w:val="345"/>
          <w:jc w:val="center"/>
        </w:trPr>
        <w:tc>
          <w:tcPr>
            <w:tcW w:w="713"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3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64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53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4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2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534" w:type="dxa"/>
          <w:jc w:val="center"/>
          <w:tblInd w:w="0" w:type="dxa"/>
          <w:tblLook w:val="0000"/>
        </w:tblPrEx>
        <w:trPr>
          <w:trHeight w:val="345"/>
          <w:jc w:val="center"/>
        </w:trPr>
        <w:tc>
          <w:tcPr>
            <w:tcW w:w="713"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3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64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53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4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2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534" w:type="dxa"/>
          <w:jc w:val="center"/>
          <w:tblInd w:w="0" w:type="dxa"/>
          <w:tblLook w:val="0000"/>
        </w:tblPrEx>
        <w:trPr>
          <w:trHeight w:val="345"/>
          <w:jc w:val="center"/>
        </w:trPr>
        <w:tc>
          <w:tcPr>
            <w:tcW w:w="713"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3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64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53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4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2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534" w:type="dxa"/>
          <w:jc w:val="center"/>
          <w:tblInd w:w="0" w:type="dxa"/>
          <w:tblLook w:val="0000"/>
        </w:tblPrEx>
        <w:trPr>
          <w:trHeight w:val="345"/>
          <w:jc w:val="center"/>
        </w:trPr>
        <w:tc>
          <w:tcPr>
            <w:tcW w:w="713"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3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64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53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4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2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534" w:type="dxa"/>
          <w:jc w:val="center"/>
          <w:tblInd w:w="0" w:type="dxa"/>
          <w:tblLook w:val="0000"/>
        </w:tblPrEx>
        <w:trPr>
          <w:trHeight w:val="345"/>
          <w:jc w:val="center"/>
        </w:trPr>
        <w:tc>
          <w:tcPr>
            <w:tcW w:w="713"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3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64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53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4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2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534" w:type="dxa"/>
          <w:jc w:val="center"/>
          <w:tblInd w:w="0" w:type="dxa"/>
          <w:tblLook w:val="0000"/>
        </w:tblPrEx>
        <w:trPr>
          <w:trHeight w:val="345"/>
          <w:jc w:val="center"/>
        </w:trPr>
        <w:tc>
          <w:tcPr>
            <w:tcW w:w="713"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3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64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53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4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2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8534" w:type="dxa"/>
          <w:jc w:val="center"/>
          <w:tblInd w:w="0" w:type="dxa"/>
          <w:tblLook w:val="0000"/>
        </w:tblPrEx>
        <w:trPr>
          <w:trHeight w:val="345"/>
          <w:jc w:val="center"/>
        </w:trPr>
        <w:tc>
          <w:tcPr>
            <w:tcW w:w="713"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3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64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537"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4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4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22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bl>
    <w:p w:rsidR="007900F6">
      <w:pPr>
        <w:spacing w:line="360" w:lineRule="auto"/>
        <w:contextualSpacing/>
        <w:rPr>
          <w:color w:val="000000"/>
        </w:rPr>
      </w:pPr>
    </w:p>
    <w:p w:rsidR="007900F6">
      <w:pPr>
        <w:pStyle w:val="Heading4"/>
        <w:spacing w:before="0" w:after="0" w:line="360" w:lineRule="auto"/>
        <w:contextualSpacing/>
        <w:rPr>
          <w:color w:val="000000"/>
        </w:rPr>
      </w:pPr>
      <w:r>
        <w:rPr>
          <w:rFonts w:hint="eastAsia"/>
          <w:color w:val="000000"/>
        </w:rPr>
        <w:t>（五）</w:t>
      </w:r>
      <w:r>
        <w:rPr>
          <w:rFonts w:hint="eastAsia"/>
          <w:color w:val="000000"/>
          <w:kern w:val="0"/>
        </w:rPr>
        <w:t>措施项目清单与计价汇总表</w:t>
      </w:r>
    </w:p>
    <w:tbl>
      <w:tblPr>
        <w:tblStyle w:val="TableNormal"/>
        <w:tblW w:w="9926" w:type="dxa"/>
        <w:jc w:val="center"/>
        <w:tblInd w:w="0" w:type="dxa"/>
        <w:tblLook w:val="0000"/>
      </w:tblPr>
      <w:tblGrid>
        <w:gridCol w:w="666"/>
        <w:gridCol w:w="6746"/>
        <w:gridCol w:w="2514"/>
      </w:tblGrid>
      <w:tr>
        <w:tblPrEx>
          <w:tblW w:w="9926" w:type="dxa"/>
          <w:jc w:val="center"/>
          <w:tblInd w:w="0" w:type="dxa"/>
          <w:tblLook w:val="0000"/>
        </w:tblPrEx>
        <w:trPr>
          <w:trHeight w:val="668"/>
          <w:jc w:val="center"/>
        </w:trPr>
        <w:tc>
          <w:tcPr>
            <w:tcW w:w="7412" w:type="dxa"/>
            <w:gridSpan w:val="2"/>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工程名称:</w:t>
            </w:r>
            <w:r>
              <w:rPr>
                <w:rFonts w:ascii="宋体" w:hAnsi="宋体" w:cs="宋体"/>
                <w:color w:val="000000"/>
                <w:kern w:val="0"/>
                <w:szCs w:val="21"/>
              </w:rPr>
              <w:t xml:space="preserve"> </w:t>
            </w:r>
          </w:p>
        </w:tc>
        <w:tc>
          <w:tcPr>
            <w:tcW w:w="2514" w:type="dxa"/>
            <w:tcBorders>
              <w:top w:val="nil"/>
              <w:left w:val="nil"/>
              <w:bottom w:val="nil"/>
              <w:right w:val="nil"/>
            </w:tcBorders>
            <w:vAlign w:val="bottom"/>
          </w:tcPr>
          <w:p w:rsidR="007900F6">
            <w:pPr>
              <w:widowControl/>
              <w:spacing w:line="360" w:lineRule="auto"/>
              <w:contextualSpacing/>
              <w:jc w:val="right"/>
              <w:rPr>
                <w:rFonts w:ascii="宋体" w:hAnsi="宋体" w:cs="宋体"/>
                <w:color w:val="000000"/>
                <w:kern w:val="0"/>
                <w:szCs w:val="21"/>
              </w:rPr>
            </w:pPr>
          </w:p>
        </w:tc>
      </w:tr>
      <w:tr>
        <w:tblPrEx>
          <w:tblW w:w="9926" w:type="dxa"/>
          <w:jc w:val="center"/>
          <w:tblInd w:w="0" w:type="dxa"/>
          <w:tblLook w:val="0000"/>
        </w:tblPrEx>
        <w:trPr>
          <w:trHeight w:val="372"/>
          <w:jc w:val="center"/>
        </w:trPr>
        <w:tc>
          <w:tcPr>
            <w:tcW w:w="666" w:type="dxa"/>
            <w:tcBorders>
              <w:top w:val="single" w:sz="4" w:space="0" w:color="auto"/>
              <w:left w:val="single" w:sz="4" w:space="0" w:color="auto"/>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序号</w:t>
            </w:r>
          </w:p>
        </w:tc>
        <w:tc>
          <w:tcPr>
            <w:tcW w:w="6746"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项目名称</w:t>
            </w:r>
          </w:p>
        </w:tc>
        <w:tc>
          <w:tcPr>
            <w:tcW w:w="2514" w:type="dxa"/>
            <w:tcBorders>
              <w:top w:val="single" w:sz="4" w:space="0" w:color="auto"/>
              <w:left w:val="nil"/>
              <w:bottom w:val="single" w:sz="4" w:space="0" w:color="000000"/>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金额(元)</w:t>
            </w:r>
          </w:p>
        </w:tc>
      </w:tr>
      <w:tr>
        <w:tblPrEx>
          <w:tblW w:w="9926" w:type="dxa"/>
          <w:jc w:val="center"/>
          <w:tblInd w:w="0" w:type="dxa"/>
          <w:tblLook w:val="0000"/>
        </w:tblPrEx>
        <w:trPr>
          <w:trHeight w:val="372"/>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6746"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xml:space="preserve"> </w:t>
            </w:r>
          </w:p>
        </w:tc>
      </w:tr>
      <w:tr>
        <w:tblPrEx>
          <w:tblW w:w="9926" w:type="dxa"/>
          <w:jc w:val="center"/>
          <w:tblInd w:w="0" w:type="dxa"/>
          <w:tblLook w:val="0000"/>
        </w:tblPrEx>
        <w:trPr>
          <w:trHeight w:val="372"/>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6746"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xml:space="preserve"> </w:t>
            </w:r>
          </w:p>
        </w:tc>
      </w:tr>
      <w:tr>
        <w:tblPrEx>
          <w:tblW w:w="9926" w:type="dxa"/>
          <w:jc w:val="center"/>
          <w:tblInd w:w="0" w:type="dxa"/>
          <w:tblLook w:val="0000"/>
        </w:tblPrEx>
        <w:trPr>
          <w:trHeight w:val="372"/>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6746"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xml:space="preserve"> </w:t>
            </w:r>
          </w:p>
        </w:tc>
      </w:tr>
      <w:tr>
        <w:tblPrEx>
          <w:tblW w:w="9926" w:type="dxa"/>
          <w:jc w:val="center"/>
          <w:tblInd w:w="0" w:type="dxa"/>
          <w:tblLook w:val="0000"/>
        </w:tblPrEx>
        <w:trPr>
          <w:trHeight w:val="372"/>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6746"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xml:space="preserve"> </w:t>
            </w:r>
          </w:p>
        </w:tc>
      </w:tr>
      <w:tr>
        <w:tblPrEx>
          <w:tblW w:w="9926" w:type="dxa"/>
          <w:jc w:val="center"/>
          <w:tblInd w:w="0" w:type="dxa"/>
          <w:tblLook w:val="0000"/>
        </w:tblPrEx>
        <w:trPr>
          <w:trHeight w:val="372"/>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6746"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xml:space="preserve"> </w:t>
            </w:r>
          </w:p>
        </w:tc>
      </w:tr>
      <w:tr>
        <w:tblPrEx>
          <w:tblW w:w="9926" w:type="dxa"/>
          <w:jc w:val="center"/>
          <w:tblInd w:w="0" w:type="dxa"/>
          <w:tblLook w:val="0000"/>
        </w:tblPrEx>
        <w:trPr>
          <w:trHeight w:val="372"/>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6746"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xml:space="preserve"> </w:t>
            </w:r>
          </w:p>
        </w:tc>
      </w:tr>
      <w:tr>
        <w:tblPrEx>
          <w:tblW w:w="9926" w:type="dxa"/>
          <w:jc w:val="center"/>
          <w:tblInd w:w="0" w:type="dxa"/>
          <w:tblLook w:val="0000"/>
        </w:tblPrEx>
        <w:trPr>
          <w:trHeight w:val="372"/>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6746"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xml:space="preserve"> </w:t>
            </w:r>
          </w:p>
        </w:tc>
      </w:tr>
      <w:tr>
        <w:tblPrEx>
          <w:tblW w:w="9926" w:type="dxa"/>
          <w:jc w:val="center"/>
          <w:tblInd w:w="0" w:type="dxa"/>
          <w:tblLook w:val="0000"/>
        </w:tblPrEx>
        <w:trPr>
          <w:trHeight w:val="372"/>
          <w:jc w:val="center"/>
        </w:trPr>
        <w:tc>
          <w:tcPr>
            <w:tcW w:w="66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6746"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xml:space="preserve"> </w:t>
            </w:r>
          </w:p>
        </w:tc>
      </w:tr>
      <w:tr>
        <w:tblPrEx>
          <w:tblW w:w="9926" w:type="dxa"/>
          <w:jc w:val="center"/>
          <w:tblInd w:w="0" w:type="dxa"/>
          <w:tblLook w:val="0000"/>
        </w:tblPrEx>
        <w:trPr>
          <w:trHeight w:val="357"/>
          <w:jc w:val="center"/>
        </w:trPr>
        <w:tc>
          <w:tcPr>
            <w:tcW w:w="666"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746" w:type="dxa"/>
            <w:tcBorders>
              <w:top w:val="single" w:sz="4" w:space="0" w:color="auto"/>
              <w:left w:val="nil"/>
              <w:bottom w:val="single" w:sz="4" w:space="0" w:color="auto"/>
              <w:right w:val="single" w:sz="4" w:space="0" w:color="000000"/>
            </w:tcBorders>
            <w:noWrap/>
            <w:vAlign w:val="center"/>
          </w:tcPr>
          <w:p w:rsidR="007900F6">
            <w:pPr>
              <w:widowControl/>
              <w:spacing w:line="360" w:lineRule="auto"/>
              <w:contextualSpacing/>
              <w:jc w:val="left"/>
              <w:rPr>
                <w:rFonts w:ascii="宋体" w:hAnsi="宋体" w:cs="宋体"/>
                <w:color w:val="000000"/>
                <w:kern w:val="0"/>
                <w:szCs w:val="21"/>
              </w:rPr>
            </w:pPr>
          </w:p>
        </w:tc>
        <w:tc>
          <w:tcPr>
            <w:tcW w:w="251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926" w:type="dxa"/>
          <w:jc w:val="center"/>
          <w:tblInd w:w="0" w:type="dxa"/>
          <w:tblLook w:val="0000"/>
        </w:tblPrEx>
        <w:trPr>
          <w:trHeight w:val="357"/>
          <w:jc w:val="center"/>
        </w:trPr>
        <w:tc>
          <w:tcPr>
            <w:tcW w:w="666"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746" w:type="dxa"/>
            <w:tcBorders>
              <w:top w:val="single" w:sz="4" w:space="0" w:color="auto"/>
              <w:left w:val="nil"/>
              <w:bottom w:val="single" w:sz="4" w:space="0" w:color="auto"/>
              <w:right w:val="single" w:sz="4" w:space="0" w:color="000000"/>
            </w:tcBorders>
            <w:noWrap/>
            <w:vAlign w:val="center"/>
          </w:tcPr>
          <w:p w:rsidR="007900F6">
            <w:pPr>
              <w:widowControl/>
              <w:spacing w:line="360" w:lineRule="auto"/>
              <w:contextualSpacing/>
              <w:jc w:val="left"/>
              <w:rPr>
                <w:rFonts w:ascii="宋体" w:hAnsi="宋体" w:cs="宋体"/>
                <w:color w:val="000000"/>
                <w:kern w:val="0"/>
                <w:szCs w:val="21"/>
              </w:rPr>
            </w:pPr>
          </w:p>
        </w:tc>
        <w:tc>
          <w:tcPr>
            <w:tcW w:w="251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926" w:type="dxa"/>
          <w:jc w:val="center"/>
          <w:tblInd w:w="0" w:type="dxa"/>
          <w:tblLook w:val="0000"/>
        </w:tblPrEx>
        <w:trPr>
          <w:trHeight w:val="342"/>
          <w:jc w:val="center"/>
        </w:trPr>
        <w:tc>
          <w:tcPr>
            <w:tcW w:w="74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 xml:space="preserve">   合  计</w:t>
            </w:r>
          </w:p>
        </w:tc>
        <w:tc>
          <w:tcPr>
            <w:tcW w:w="251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bl>
    <w:p w:rsidR="007900F6">
      <w:pPr>
        <w:pStyle w:val="Heading4"/>
        <w:spacing w:before="0" w:after="0" w:line="360" w:lineRule="auto"/>
        <w:contextualSpacing/>
        <w:rPr>
          <w:color w:val="000000"/>
        </w:rPr>
      </w:pPr>
      <w:r>
        <w:rPr>
          <w:rFonts w:hint="eastAsia"/>
          <w:color w:val="000000"/>
        </w:rPr>
        <w:t>（六）</w:t>
      </w:r>
      <w:r>
        <w:rPr>
          <w:rFonts w:hint="eastAsia"/>
          <w:color w:val="000000"/>
          <w:kern w:val="0"/>
        </w:rPr>
        <w:t>措施项目清单与计价表(一)</w:t>
      </w:r>
    </w:p>
    <w:tbl>
      <w:tblPr>
        <w:tblStyle w:val="TableNormal"/>
        <w:tblW w:w="9780" w:type="dxa"/>
        <w:tblInd w:w="93" w:type="dxa"/>
        <w:tblLook w:val="0000"/>
      </w:tblPr>
      <w:tblGrid>
        <w:gridCol w:w="430"/>
        <w:gridCol w:w="1322"/>
        <w:gridCol w:w="1923"/>
        <w:gridCol w:w="1826"/>
        <w:gridCol w:w="600"/>
        <w:gridCol w:w="883"/>
        <w:gridCol w:w="830"/>
        <w:gridCol w:w="1966"/>
      </w:tblGrid>
      <w:tr>
        <w:tblPrEx>
          <w:tblW w:w="9780" w:type="dxa"/>
          <w:tblInd w:w="93" w:type="dxa"/>
          <w:tblLook w:val="0000"/>
        </w:tblPrEx>
        <w:trPr>
          <w:trHeight w:val="668"/>
        </w:trPr>
        <w:tc>
          <w:tcPr>
            <w:tcW w:w="3675" w:type="dxa"/>
            <w:gridSpan w:val="3"/>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工程名称:</w:t>
            </w:r>
            <w:r>
              <w:rPr>
                <w:rFonts w:ascii="宋体" w:hAnsi="宋体" w:cs="宋体"/>
                <w:color w:val="000000"/>
                <w:kern w:val="0"/>
                <w:szCs w:val="21"/>
              </w:rPr>
              <w:t xml:space="preserve"> </w:t>
            </w:r>
          </w:p>
        </w:tc>
        <w:tc>
          <w:tcPr>
            <w:tcW w:w="3309" w:type="dxa"/>
            <w:gridSpan w:val="3"/>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2796" w:type="dxa"/>
            <w:gridSpan w:val="2"/>
            <w:tcBorders>
              <w:top w:val="nil"/>
              <w:left w:val="nil"/>
              <w:bottom w:val="nil"/>
              <w:right w:val="nil"/>
            </w:tcBorders>
            <w:vAlign w:val="bottom"/>
          </w:tcPr>
          <w:p w:rsidR="007900F6">
            <w:pPr>
              <w:widowControl/>
              <w:spacing w:line="360" w:lineRule="auto"/>
              <w:contextualSpacing/>
              <w:jc w:val="right"/>
              <w:rPr>
                <w:rFonts w:ascii="宋体" w:hAnsi="宋体" w:cs="宋体"/>
                <w:color w:val="000000"/>
                <w:kern w:val="0"/>
                <w:szCs w:val="21"/>
              </w:rPr>
            </w:pPr>
          </w:p>
        </w:tc>
      </w:tr>
      <w:tr>
        <w:tblPrEx>
          <w:tblW w:w="9780" w:type="dxa"/>
          <w:tblInd w:w="93" w:type="dxa"/>
          <w:tblLook w:val="0000"/>
        </w:tblPrEx>
        <w:trPr>
          <w:trHeight w:val="372"/>
        </w:trPr>
        <w:tc>
          <w:tcPr>
            <w:tcW w:w="430"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序号</w:t>
            </w:r>
          </w:p>
        </w:tc>
        <w:tc>
          <w:tcPr>
            <w:tcW w:w="1322"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项目编码</w:t>
            </w:r>
          </w:p>
        </w:tc>
        <w:tc>
          <w:tcPr>
            <w:tcW w:w="1923"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项目名称</w:t>
            </w:r>
          </w:p>
        </w:tc>
        <w:tc>
          <w:tcPr>
            <w:tcW w:w="1826"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项目特征描述</w:t>
            </w:r>
          </w:p>
        </w:tc>
        <w:tc>
          <w:tcPr>
            <w:tcW w:w="600"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计量</w:t>
              <w:br/>
              <w:t>单位</w:t>
            </w:r>
          </w:p>
        </w:tc>
        <w:tc>
          <w:tcPr>
            <w:tcW w:w="883" w:type="dxa"/>
            <w:vMerge w:val="restart"/>
            <w:tcBorders>
              <w:top w:val="single" w:sz="4" w:space="0" w:color="auto"/>
              <w:left w:val="single" w:sz="4" w:space="0" w:color="000000"/>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工程量</w:t>
            </w:r>
          </w:p>
        </w:tc>
        <w:tc>
          <w:tcPr>
            <w:tcW w:w="2796" w:type="dxa"/>
            <w:gridSpan w:val="2"/>
            <w:tcBorders>
              <w:top w:val="single" w:sz="4" w:space="0" w:color="auto"/>
              <w:left w:val="nil"/>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金额(元)</w:t>
            </w:r>
          </w:p>
        </w:tc>
      </w:tr>
      <w:tr>
        <w:tblPrEx>
          <w:tblW w:w="9780" w:type="dxa"/>
          <w:tblInd w:w="93" w:type="dxa"/>
          <w:tblLook w:val="0000"/>
        </w:tblPrEx>
        <w:trPr>
          <w:trHeight w:val="372"/>
        </w:trPr>
        <w:tc>
          <w:tcPr>
            <w:tcW w:w="430"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322"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923"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826"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600"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883"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830" w:type="dxa"/>
            <w:tcBorders>
              <w:top w:val="nil"/>
              <w:left w:val="nil"/>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综合单价</w:t>
            </w:r>
          </w:p>
        </w:tc>
        <w:tc>
          <w:tcPr>
            <w:tcW w:w="1966" w:type="dxa"/>
            <w:tcBorders>
              <w:top w:val="nil"/>
              <w:left w:val="nil"/>
              <w:bottom w:val="single" w:sz="4" w:space="0" w:color="000000"/>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合价</w:t>
            </w:r>
          </w:p>
        </w:tc>
      </w:tr>
      <w:tr>
        <w:tblPrEx>
          <w:tblW w:w="9780" w:type="dxa"/>
          <w:tblInd w:w="93" w:type="dxa"/>
          <w:tblLook w:val="0000"/>
        </w:tblPrEx>
        <w:trPr>
          <w:trHeight w:val="342"/>
        </w:trPr>
        <w:tc>
          <w:tcPr>
            <w:tcW w:w="430" w:type="dxa"/>
            <w:tcBorders>
              <w:top w:val="single" w:sz="4" w:space="0" w:color="auto"/>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322"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923"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826"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0"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83"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30"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966"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780" w:type="dxa"/>
          <w:tblInd w:w="93" w:type="dxa"/>
          <w:tblLook w:val="0000"/>
        </w:tblPrEx>
        <w:trPr>
          <w:trHeight w:val="342"/>
        </w:trPr>
        <w:tc>
          <w:tcPr>
            <w:tcW w:w="430"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32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92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82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8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3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96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780" w:type="dxa"/>
          <w:tblInd w:w="93" w:type="dxa"/>
          <w:tblLook w:val="0000"/>
        </w:tblPrEx>
        <w:trPr>
          <w:trHeight w:val="342"/>
        </w:trPr>
        <w:tc>
          <w:tcPr>
            <w:tcW w:w="430"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32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92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82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0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8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3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96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780" w:type="dxa"/>
          <w:tblInd w:w="93" w:type="dxa"/>
          <w:tblLook w:val="0000"/>
        </w:tblPrEx>
        <w:trPr>
          <w:trHeight w:val="342"/>
        </w:trPr>
        <w:tc>
          <w:tcPr>
            <w:tcW w:w="7814" w:type="dxa"/>
            <w:gridSpan w:val="7"/>
            <w:tcBorders>
              <w:top w:val="single" w:sz="4" w:space="0" w:color="auto"/>
              <w:left w:val="single" w:sz="4" w:space="0" w:color="auto"/>
              <w:bottom w:val="single" w:sz="4" w:space="0" w:color="auto"/>
              <w:right w:val="single" w:sz="4" w:space="0" w:color="000000"/>
            </w:tcBorders>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本页小计</w:t>
            </w:r>
          </w:p>
        </w:tc>
        <w:tc>
          <w:tcPr>
            <w:tcW w:w="1966" w:type="dxa"/>
            <w:tcBorders>
              <w:top w:val="nil"/>
              <w:left w:val="nil"/>
              <w:bottom w:val="single" w:sz="4" w:space="0" w:color="auto"/>
              <w:right w:val="single" w:sz="4" w:space="0" w:color="auto"/>
            </w:tcBorders>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w:t>
            </w:r>
          </w:p>
        </w:tc>
      </w:tr>
      <w:tr>
        <w:tblPrEx>
          <w:tblW w:w="9780" w:type="dxa"/>
          <w:tblInd w:w="93" w:type="dxa"/>
          <w:tblLook w:val="0000"/>
        </w:tblPrEx>
        <w:trPr>
          <w:trHeight w:val="342"/>
        </w:trPr>
        <w:tc>
          <w:tcPr>
            <w:tcW w:w="7814"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 xml:space="preserve">   合  计</w:t>
            </w:r>
          </w:p>
        </w:tc>
        <w:tc>
          <w:tcPr>
            <w:tcW w:w="196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xml:space="preserve"> </w:t>
            </w:r>
          </w:p>
        </w:tc>
      </w:tr>
    </w:tbl>
    <w:p w:rsidR="007900F6">
      <w:pPr>
        <w:pStyle w:val="Heading4"/>
        <w:spacing w:before="0" w:after="0" w:line="360" w:lineRule="auto"/>
        <w:contextualSpacing/>
        <w:rPr>
          <w:color w:val="000000"/>
        </w:rPr>
      </w:pPr>
      <w:r>
        <w:rPr>
          <w:rFonts w:hint="eastAsia"/>
          <w:color w:val="000000"/>
        </w:rPr>
        <w:t>（七）</w:t>
      </w:r>
      <w:r>
        <w:rPr>
          <w:rFonts w:hint="eastAsia"/>
          <w:color w:val="000000"/>
          <w:kern w:val="0"/>
        </w:rPr>
        <w:t>安全文明施工措施费详细清单与计价表</w:t>
      </w:r>
    </w:p>
    <w:tbl>
      <w:tblPr>
        <w:tblStyle w:val="TableNormal"/>
        <w:tblW w:w="10005" w:type="dxa"/>
        <w:tblInd w:w="93" w:type="dxa"/>
        <w:tblLook w:val="0000"/>
      </w:tblPr>
      <w:tblGrid>
        <w:gridCol w:w="426"/>
        <w:gridCol w:w="1400"/>
        <w:gridCol w:w="2468"/>
        <w:gridCol w:w="1841"/>
        <w:gridCol w:w="832"/>
        <w:gridCol w:w="1014"/>
        <w:gridCol w:w="1018"/>
        <w:gridCol w:w="1016"/>
      </w:tblGrid>
      <w:tr>
        <w:tblPrEx>
          <w:tblW w:w="10005" w:type="dxa"/>
          <w:tblInd w:w="93" w:type="dxa"/>
          <w:tblLook w:val="0000"/>
        </w:tblPrEx>
        <w:trPr>
          <w:trHeight w:val="668"/>
        </w:trPr>
        <w:tc>
          <w:tcPr>
            <w:tcW w:w="4284" w:type="dxa"/>
            <w:gridSpan w:val="3"/>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工程名称:</w:t>
            </w:r>
            <w:r>
              <w:rPr>
                <w:rFonts w:ascii="宋体" w:hAnsi="宋体" w:cs="宋体"/>
                <w:color w:val="000000"/>
                <w:kern w:val="0"/>
                <w:szCs w:val="21"/>
              </w:rPr>
              <w:t xml:space="preserve"> </w:t>
            </w:r>
          </w:p>
        </w:tc>
        <w:tc>
          <w:tcPr>
            <w:tcW w:w="3687" w:type="dxa"/>
            <w:gridSpan w:val="3"/>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2034" w:type="dxa"/>
            <w:gridSpan w:val="2"/>
            <w:tcBorders>
              <w:top w:val="nil"/>
              <w:left w:val="nil"/>
              <w:bottom w:val="nil"/>
              <w:right w:val="nil"/>
            </w:tcBorders>
            <w:vAlign w:val="bottom"/>
          </w:tcPr>
          <w:p w:rsidR="007900F6">
            <w:pPr>
              <w:widowControl/>
              <w:spacing w:line="360" w:lineRule="auto"/>
              <w:contextualSpacing/>
              <w:jc w:val="right"/>
              <w:rPr>
                <w:rFonts w:ascii="宋体" w:hAnsi="宋体" w:cs="宋体"/>
                <w:color w:val="000000"/>
                <w:kern w:val="0"/>
                <w:szCs w:val="21"/>
              </w:rPr>
            </w:pPr>
          </w:p>
        </w:tc>
      </w:tr>
      <w:tr>
        <w:tblPrEx>
          <w:tblW w:w="10005" w:type="dxa"/>
          <w:tblInd w:w="93" w:type="dxa"/>
          <w:tblLook w:val="0000"/>
        </w:tblPrEx>
        <w:trPr>
          <w:trHeight w:val="372"/>
        </w:trPr>
        <w:tc>
          <w:tcPr>
            <w:tcW w:w="416"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序</w:t>
              <w:br/>
              <w:t>号</w:t>
            </w:r>
          </w:p>
        </w:tc>
        <w:tc>
          <w:tcPr>
            <w:tcW w:w="1400"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项目编码</w:t>
            </w:r>
          </w:p>
        </w:tc>
        <w:tc>
          <w:tcPr>
            <w:tcW w:w="2468"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项目名称</w:t>
            </w:r>
          </w:p>
        </w:tc>
        <w:tc>
          <w:tcPr>
            <w:tcW w:w="1841"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项目特征描述</w:t>
            </w:r>
          </w:p>
        </w:tc>
        <w:tc>
          <w:tcPr>
            <w:tcW w:w="832"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计量</w:t>
              <w:br/>
              <w:t>单位</w:t>
            </w:r>
          </w:p>
        </w:tc>
        <w:tc>
          <w:tcPr>
            <w:tcW w:w="1014"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工程量</w:t>
            </w:r>
          </w:p>
        </w:tc>
        <w:tc>
          <w:tcPr>
            <w:tcW w:w="2034" w:type="dxa"/>
            <w:gridSpan w:val="2"/>
            <w:tcBorders>
              <w:top w:val="single" w:sz="4" w:space="0" w:color="auto"/>
              <w:left w:val="nil"/>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金额(元)</w:t>
            </w:r>
          </w:p>
        </w:tc>
      </w:tr>
      <w:tr>
        <w:tblPrEx>
          <w:tblW w:w="10005" w:type="dxa"/>
          <w:tblInd w:w="93" w:type="dxa"/>
          <w:tblLook w:val="0000"/>
        </w:tblPrEx>
        <w:trPr>
          <w:trHeight w:val="372"/>
        </w:trPr>
        <w:tc>
          <w:tcPr>
            <w:tcW w:w="416"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400"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2468"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841"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832"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014" w:type="dxa"/>
            <w:vMerge/>
            <w:tcBorders>
              <w:top w:val="single" w:sz="4" w:space="0" w:color="auto"/>
              <w:left w:val="single" w:sz="4" w:space="0" w:color="000000"/>
              <w:bottom w:val="single" w:sz="4" w:space="0" w:color="000000"/>
              <w:right w:val="single" w:sz="4" w:space="0" w:color="000000"/>
            </w:tcBorders>
            <w:shd w:val="clear" w:color="auto" w:fill="auto"/>
            <w:vAlign w:val="center"/>
          </w:tcPr>
          <w:p w:rsidR="007900F6">
            <w:pPr>
              <w:widowControl/>
              <w:spacing w:line="360" w:lineRule="auto"/>
              <w:contextualSpacing/>
              <w:jc w:val="left"/>
              <w:rPr>
                <w:rFonts w:ascii="宋体" w:hAnsi="宋体" w:cs="宋体"/>
                <w:color w:val="000000"/>
                <w:kern w:val="0"/>
                <w:szCs w:val="21"/>
              </w:rPr>
            </w:pPr>
          </w:p>
        </w:tc>
        <w:tc>
          <w:tcPr>
            <w:tcW w:w="1018" w:type="dxa"/>
            <w:tcBorders>
              <w:top w:val="nil"/>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综合单价</w:t>
            </w:r>
          </w:p>
        </w:tc>
        <w:tc>
          <w:tcPr>
            <w:tcW w:w="1016" w:type="dxa"/>
            <w:tcBorders>
              <w:top w:val="nil"/>
              <w:left w:val="nil"/>
              <w:bottom w:val="single" w:sz="4" w:space="0" w:color="000000"/>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合价</w:t>
            </w:r>
          </w:p>
        </w:tc>
      </w:tr>
      <w:tr>
        <w:tblPrEx>
          <w:tblW w:w="10005" w:type="dxa"/>
          <w:tblInd w:w="93" w:type="dxa"/>
          <w:tblLook w:val="0000"/>
        </w:tblPrEx>
        <w:trPr>
          <w:trHeight w:val="372"/>
        </w:trPr>
        <w:tc>
          <w:tcPr>
            <w:tcW w:w="41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140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2468"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841"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832"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p>
        </w:tc>
        <w:tc>
          <w:tcPr>
            <w:tcW w:w="10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018"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01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10005" w:type="dxa"/>
          <w:tblInd w:w="93" w:type="dxa"/>
          <w:tblLook w:val="0000"/>
        </w:tblPrEx>
        <w:trPr>
          <w:trHeight w:val="638"/>
        </w:trPr>
        <w:tc>
          <w:tcPr>
            <w:tcW w:w="41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140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2468"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841"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832"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p>
        </w:tc>
        <w:tc>
          <w:tcPr>
            <w:tcW w:w="10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018"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01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10005" w:type="dxa"/>
          <w:tblInd w:w="93" w:type="dxa"/>
          <w:tblLook w:val="0000"/>
        </w:tblPrEx>
        <w:trPr>
          <w:trHeight w:val="638"/>
        </w:trPr>
        <w:tc>
          <w:tcPr>
            <w:tcW w:w="41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140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2468"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841"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832"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p>
        </w:tc>
        <w:tc>
          <w:tcPr>
            <w:tcW w:w="10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018"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01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10005" w:type="dxa"/>
          <w:tblInd w:w="93" w:type="dxa"/>
          <w:tblLook w:val="0000"/>
        </w:tblPrEx>
        <w:trPr>
          <w:trHeight w:val="372"/>
        </w:trPr>
        <w:tc>
          <w:tcPr>
            <w:tcW w:w="41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140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2468"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841"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832"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p>
        </w:tc>
        <w:tc>
          <w:tcPr>
            <w:tcW w:w="10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018"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01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10005" w:type="dxa"/>
          <w:tblInd w:w="93" w:type="dxa"/>
          <w:tblLook w:val="0000"/>
        </w:tblPrEx>
        <w:trPr>
          <w:trHeight w:val="372"/>
        </w:trPr>
        <w:tc>
          <w:tcPr>
            <w:tcW w:w="41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140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2468"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1841"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832"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p>
        </w:tc>
        <w:tc>
          <w:tcPr>
            <w:tcW w:w="101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018"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1016"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r>
      <w:tr>
        <w:tblPrEx>
          <w:tblW w:w="10005" w:type="dxa"/>
          <w:tblInd w:w="93" w:type="dxa"/>
          <w:tblLook w:val="0000"/>
        </w:tblPrEx>
        <w:trPr>
          <w:trHeight w:val="357"/>
        </w:trPr>
        <w:tc>
          <w:tcPr>
            <w:tcW w:w="416"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0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2468"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84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3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8"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10005" w:type="dxa"/>
          <w:tblInd w:w="93" w:type="dxa"/>
          <w:tblLook w:val="0000"/>
        </w:tblPrEx>
        <w:trPr>
          <w:trHeight w:val="357"/>
        </w:trPr>
        <w:tc>
          <w:tcPr>
            <w:tcW w:w="416"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0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2468"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84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3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8"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10005" w:type="dxa"/>
          <w:tblInd w:w="93" w:type="dxa"/>
          <w:tblLook w:val="0000"/>
        </w:tblPrEx>
        <w:trPr>
          <w:trHeight w:val="357"/>
        </w:trPr>
        <w:tc>
          <w:tcPr>
            <w:tcW w:w="416"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0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2468"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84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3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8"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10005" w:type="dxa"/>
          <w:tblInd w:w="93" w:type="dxa"/>
          <w:tblLook w:val="0000"/>
        </w:tblPrEx>
        <w:trPr>
          <w:trHeight w:val="357"/>
        </w:trPr>
        <w:tc>
          <w:tcPr>
            <w:tcW w:w="416"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40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2468"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84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832"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8"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0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10005" w:type="dxa"/>
          <w:tblInd w:w="93" w:type="dxa"/>
          <w:tblLook w:val="0000"/>
        </w:tblPrEx>
        <w:trPr>
          <w:trHeight w:val="342"/>
        </w:trPr>
        <w:tc>
          <w:tcPr>
            <w:tcW w:w="8989" w:type="dxa"/>
            <w:gridSpan w:val="7"/>
            <w:tcBorders>
              <w:top w:val="single" w:sz="4" w:space="0" w:color="auto"/>
              <w:left w:val="single" w:sz="4" w:space="0" w:color="auto"/>
              <w:bottom w:val="single" w:sz="4" w:space="0" w:color="auto"/>
              <w:right w:val="single" w:sz="4" w:space="0" w:color="000000"/>
            </w:tcBorders>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本页小计</w:t>
            </w:r>
          </w:p>
        </w:tc>
        <w:tc>
          <w:tcPr>
            <w:tcW w:w="1016" w:type="dxa"/>
            <w:tcBorders>
              <w:top w:val="nil"/>
              <w:left w:val="nil"/>
              <w:bottom w:val="single" w:sz="4" w:space="0" w:color="auto"/>
              <w:right w:val="single" w:sz="4" w:space="0" w:color="auto"/>
            </w:tcBorders>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w:t>
            </w:r>
          </w:p>
        </w:tc>
      </w:tr>
      <w:tr>
        <w:tblPrEx>
          <w:tblW w:w="10005" w:type="dxa"/>
          <w:tblInd w:w="93" w:type="dxa"/>
          <w:tblLook w:val="0000"/>
        </w:tblPrEx>
        <w:trPr>
          <w:trHeight w:val="372"/>
        </w:trPr>
        <w:tc>
          <w:tcPr>
            <w:tcW w:w="8989" w:type="dxa"/>
            <w:gridSpan w:val="7"/>
            <w:tcBorders>
              <w:top w:val="single" w:sz="4" w:space="0" w:color="auto"/>
              <w:left w:val="single" w:sz="4" w:space="0" w:color="auto"/>
              <w:bottom w:val="single" w:sz="4" w:space="0" w:color="auto"/>
              <w:right w:val="single" w:sz="4" w:space="0" w:color="000000"/>
            </w:tcBorders>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合  计</w:t>
            </w:r>
          </w:p>
        </w:tc>
        <w:tc>
          <w:tcPr>
            <w:tcW w:w="1016"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　</w:t>
            </w:r>
          </w:p>
        </w:tc>
      </w:tr>
    </w:tbl>
    <w:p w:rsidR="007900F6">
      <w:pPr>
        <w:pStyle w:val="Heading4"/>
        <w:spacing w:before="0" w:after="0" w:line="360" w:lineRule="auto"/>
        <w:contextualSpacing/>
        <w:rPr>
          <w:color w:val="000000"/>
        </w:rPr>
      </w:pPr>
      <w:r>
        <w:rPr>
          <w:rFonts w:hint="eastAsia"/>
          <w:color w:val="000000"/>
        </w:rPr>
        <w:t>（八）</w:t>
      </w:r>
      <w:r>
        <w:rPr>
          <w:rFonts w:hint="eastAsia"/>
          <w:color w:val="000000"/>
          <w:kern w:val="0"/>
        </w:rPr>
        <w:t>其他项目清单与计价汇总表</w:t>
      </w:r>
    </w:p>
    <w:tbl>
      <w:tblPr>
        <w:tblStyle w:val="TableNormal"/>
        <w:tblW w:w="9858" w:type="dxa"/>
        <w:tblInd w:w="93" w:type="dxa"/>
        <w:tblLook w:val="0000"/>
      </w:tblPr>
      <w:tblGrid>
        <w:gridCol w:w="1575"/>
        <w:gridCol w:w="3402"/>
        <w:gridCol w:w="2551"/>
        <w:gridCol w:w="2330"/>
      </w:tblGrid>
      <w:tr>
        <w:tblPrEx>
          <w:tblW w:w="9858" w:type="dxa"/>
          <w:tblInd w:w="93" w:type="dxa"/>
          <w:tblLook w:val="0000"/>
        </w:tblPrEx>
        <w:trPr>
          <w:trHeight w:val="668"/>
        </w:trPr>
        <w:tc>
          <w:tcPr>
            <w:tcW w:w="1575" w:type="dxa"/>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工程名称:</w:t>
            </w:r>
            <w:r>
              <w:rPr>
                <w:rFonts w:ascii="宋体" w:hAnsi="宋体" w:cs="宋体"/>
                <w:color w:val="000000"/>
                <w:kern w:val="0"/>
                <w:szCs w:val="21"/>
              </w:rPr>
              <w:t xml:space="preserve"> </w:t>
            </w:r>
          </w:p>
        </w:tc>
        <w:tc>
          <w:tcPr>
            <w:tcW w:w="5953" w:type="dxa"/>
            <w:gridSpan w:val="2"/>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 xml:space="preserve">            标段：</w:t>
            </w:r>
          </w:p>
        </w:tc>
        <w:tc>
          <w:tcPr>
            <w:tcW w:w="2330" w:type="dxa"/>
            <w:tcBorders>
              <w:top w:val="nil"/>
              <w:left w:val="nil"/>
              <w:bottom w:val="nil"/>
              <w:right w:val="nil"/>
            </w:tcBorders>
            <w:vAlign w:val="bottom"/>
          </w:tcPr>
          <w:p w:rsidR="007900F6">
            <w:pPr>
              <w:widowControl/>
              <w:spacing w:line="360" w:lineRule="auto"/>
              <w:contextualSpacing/>
              <w:jc w:val="right"/>
              <w:rPr>
                <w:rFonts w:ascii="宋体" w:hAnsi="宋体" w:cs="宋体"/>
                <w:color w:val="000000"/>
                <w:kern w:val="0"/>
                <w:szCs w:val="21"/>
              </w:rPr>
            </w:pPr>
          </w:p>
        </w:tc>
      </w:tr>
      <w:tr>
        <w:tblPrEx>
          <w:tblW w:w="9858" w:type="dxa"/>
          <w:tblInd w:w="93" w:type="dxa"/>
          <w:tblLook w:val="0000"/>
        </w:tblPrEx>
        <w:trPr>
          <w:trHeight w:val="372"/>
        </w:trPr>
        <w:tc>
          <w:tcPr>
            <w:tcW w:w="1575" w:type="dxa"/>
            <w:tcBorders>
              <w:top w:val="single" w:sz="4" w:space="0" w:color="auto"/>
              <w:left w:val="single" w:sz="4" w:space="0" w:color="auto"/>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序号</w:t>
            </w:r>
          </w:p>
        </w:tc>
        <w:tc>
          <w:tcPr>
            <w:tcW w:w="3402"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项目名称</w:t>
            </w:r>
          </w:p>
        </w:tc>
        <w:tc>
          <w:tcPr>
            <w:tcW w:w="2551"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金额(元)</w:t>
            </w:r>
          </w:p>
        </w:tc>
        <w:tc>
          <w:tcPr>
            <w:tcW w:w="2330" w:type="dxa"/>
            <w:tcBorders>
              <w:top w:val="single" w:sz="4" w:space="0" w:color="auto"/>
              <w:left w:val="nil"/>
              <w:bottom w:val="single" w:sz="4" w:space="0" w:color="000000"/>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备注</w:t>
            </w:r>
          </w:p>
        </w:tc>
      </w:tr>
      <w:tr>
        <w:tblPrEx>
          <w:tblW w:w="9858" w:type="dxa"/>
          <w:tblInd w:w="93" w:type="dxa"/>
          <w:tblLook w:val="0000"/>
        </w:tblPrEx>
        <w:trPr>
          <w:trHeight w:val="37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402"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51"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2330"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r>
      <w:tr>
        <w:tblPrEx>
          <w:tblW w:w="9858" w:type="dxa"/>
          <w:tblInd w:w="93" w:type="dxa"/>
          <w:tblLook w:val="0000"/>
        </w:tblPrEx>
        <w:trPr>
          <w:trHeight w:val="37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402"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51"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2330"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r>
      <w:tr>
        <w:tblPrEx>
          <w:tblW w:w="9858" w:type="dxa"/>
          <w:tblInd w:w="93" w:type="dxa"/>
          <w:tblLook w:val="0000"/>
        </w:tblPrEx>
        <w:trPr>
          <w:trHeight w:val="37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402"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51"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2330"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r>
      <w:tr>
        <w:tblPrEx>
          <w:tblW w:w="9858" w:type="dxa"/>
          <w:tblInd w:w="93" w:type="dxa"/>
          <w:tblLook w:val="0000"/>
        </w:tblPrEx>
        <w:trPr>
          <w:trHeight w:val="372"/>
        </w:trPr>
        <w:tc>
          <w:tcPr>
            <w:tcW w:w="1575"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p>
        </w:tc>
        <w:tc>
          <w:tcPr>
            <w:tcW w:w="3402" w:type="dxa"/>
            <w:tcBorders>
              <w:top w:val="single" w:sz="4" w:space="0" w:color="auto"/>
              <w:left w:val="nil"/>
              <w:bottom w:val="single" w:sz="4" w:space="0" w:color="auto"/>
              <w:right w:val="single" w:sz="4" w:space="0" w:color="000000"/>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c>
          <w:tcPr>
            <w:tcW w:w="2551"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Cs w:val="21"/>
              </w:rPr>
            </w:pPr>
          </w:p>
        </w:tc>
        <w:tc>
          <w:tcPr>
            <w:tcW w:w="2330"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Cs w:val="21"/>
              </w:rPr>
            </w:pPr>
          </w:p>
        </w:tc>
      </w:tr>
      <w:tr>
        <w:tblPrEx>
          <w:tblW w:w="9858"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402" w:type="dxa"/>
            <w:tcBorders>
              <w:top w:val="single" w:sz="4" w:space="0" w:color="auto"/>
              <w:left w:val="nil"/>
              <w:bottom w:val="single" w:sz="4" w:space="0" w:color="auto"/>
              <w:right w:val="single" w:sz="4" w:space="0" w:color="000000"/>
            </w:tcBorders>
            <w:noWrap/>
            <w:vAlign w:val="center"/>
          </w:tcPr>
          <w:p w:rsidR="007900F6">
            <w:pPr>
              <w:widowControl/>
              <w:spacing w:line="360" w:lineRule="auto"/>
              <w:contextualSpacing/>
              <w:jc w:val="left"/>
              <w:rPr>
                <w:rFonts w:ascii="宋体" w:hAnsi="宋体" w:cs="宋体"/>
                <w:color w:val="000000"/>
                <w:kern w:val="0"/>
                <w:szCs w:val="21"/>
              </w:rPr>
            </w:pPr>
          </w:p>
        </w:tc>
        <w:tc>
          <w:tcPr>
            <w:tcW w:w="255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233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858"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402" w:type="dxa"/>
            <w:tcBorders>
              <w:top w:val="single" w:sz="4" w:space="0" w:color="auto"/>
              <w:left w:val="nil"/>
              <w:bottom w:val="single" w:sz="4" w:space="0" w:color="auto"/>
              <w:right w:val="single" w:sz="4" w:space="0" w:color="000000"/>
            </w:tcBorders>
            <w:noWrap/>
            <w:vAlign w:val="center"/>
          </w:tcPr>
          <w:p w:rsidR="007900F6">
            <w:pPr>
              <w:widowControl/>
              <w:spacing w:line="360" w:lineRule="auto"/>
              <w:contextualSpacing/>
              <w:jc w:val="left"/>
              <w:rPr>
                <w:rFonts w:ascii="宋体" w:hAnsi="宋体" w:cs="宋体"/>
                <w:color w:val="000000"/>
                <w:kern w:val="0"/>
                <w:szCs w:val="21"/>
              </w:rPr>
            </w:pPr>
          </w:p>
        </w:tc>
        <w:tc>
          <w:tcPr>
            <w:tcW w:w="255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233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858"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402" w:type="dxa"/>
            <w:tcBorders>
              <w:top w:val="single" w:sz="4" w:space="0" w:color="auto"/>
              <w:left w:val="nil"/>
              <w:bottom w:val="single" w:sz="4" w:space="0" w:color="auto"/>
              <w:right w:val="single" w:sz="4" w:space="0" w:color="000000"/>
            </w:tcBorders>
            <w:noWrap/>
            <w:vAlign w:val="center"/>
          </w:tcPr>
          <w:p w:rsidR="007900F6">
            <w:pPr>
              <w:widowControl/>
              <w:spacing w:line="360" w:lineRule="auto"/>
              <w:contextualSpacing/>
              <w:jc w:val="left"/>
              <w:rPr>
                <w:rFonts w:ascii="宋体" w:hAnsi="宋体" w:cs="宋体"/>
                <w:color w:val="000000"/>
                <w:kern w:val="0"/>
                <w:szCs w:val="21"/>
              </w:rPr>
            </w:pPr>
          </w:p>
        </w:tc>
        <w:tc>
          <w:tcPr>
            <w:tcW w:w="255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233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858"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402" w:type="dxa"/>
            <w:tcBorders>
              <w:top w:val="single" w:sz="4" w:space="0" w:color="auto"/>
              <w:left w:val="nil"/>
              <w:bottom w:val="single" w:sz="4" w:space="0" w:color="auto"/>
              <w:right w:val="single" w:sz="4" w:space="0" w:color="000000"/>
            </w:tcBorders>
            <w:noWrap/>
            <w:vAlign w:val="center"/>
          </w:tcPr>
          <w:p w:rsidR="007900F6">
            <w:pPr>
              <w:widowControl/>
              <w:spacing w:line="360" w:lineRule="auto"/>
              <w:contextualSpacing/>
              <w:jc w:val="left"/>
              <w:rPr>
                <w:rFonts w:ascii="宋体" w:hAnsi="宋体" w:cs="宋体"/>
                <w:color w:val="000000"/>
                <w:kern w:val="0"/>
                <w:szCs w:val="21"/>
              </w:rPr>
            </w:pPr>
          </w:p>
        </w:tc>
        <w:tc>
          <w:tcPr>
            <w:tcW w:w="255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233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858" w:type="dxa"/>
          <w:tblInd w:w="93" w:type="dxa"/>
          <w:tblLook w:val="0000"/>
        </w:tblPrEx>
        <w:trPr>
          <w:trHeight w:val="342"/>
        </w:trPr>
        <w:tc>
          <w:tcPr>
            <w:tcW w:w="1575"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402" w:type="dxa"/>
            <w:tcBorders>
              <w:top w:val="single" w:sz="4" w:space="0" w:color="auto"/>
              <w:left w:val="nil"/>
              <w:bottom w:val="single" w:sz="4" w:space="0" w:color="auto"/>
              <w:right w:val="single" w:sz="4" w:space="0" w:color="000000"/>
            </w:tcBorders>
            <w:noWrap/>
            <w:vAlign w:val="center"/>
          </w:tcPr>
          <w:p w:rsidR="007900F6">
            <w:pPr>
              <w:widowControl/>
              <w:spacing w:line="360" w:lineRule="auto"/>
              <w:contextualSpacing/>
              <w:jc w:val="left"/>
              <w:rPr>
                <w:rFonts w:ascii="宋体" w:hAnsi="宋体" w:cs="宋体"/>
                <w:color w:val="000000"/>
                <w:kern w:val="0"/>
                <w:szCs w:val="21"/>
              </w:rPr>
            </w:pPr>
          </w:p>
        </w:tc>
        <w:tc>
          <w:tcPr>
            <w:tcW w:w="255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233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858" w:type="dxa"/>
          <w:tblInd w:w="93" w:type="dxa"/>
          <w:tblLook w:val="0000"/>
        </w:tblPrEx>
        <w:trPr>
          <w:trHeight w:val="342"/>
        </w:trPr>
        <w:tc>
          <w:tcPr>
            <w:tcW w:w="7528" w:type="dxa"/>
            <w:gridSpan w:val="3"/>
            <w:tcBorders>
              <w:top w:val="single" w:sz="4" w:space="0" w:color="auto"/>
              <w:left w:val="single" w:sz="4" w:space="0" w:color="auto"/>
              <w:bottom w:val="single" w:sz="4" w:space="0" w:color="auto"/>
              <w:right w:val="single" w:sz="4" w:space="0" w:color="000000"/>
            </w:tcBorders>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本页小计</w:t>
            </w:r>
          </w:p>
        </w:tc>
        <w:tc>
          <w:tcPr>
            <w:tcW w:w="2330" w:type="dxa"/>
            <w:tcBorders>
              <w:top w:val="nil"/>
              <w:left w:val="nil"/>
              <w:bottom w:val="single" w:sz="4" w:space="0" w:color="auto"/>
              <w:right w:val="single" w:sz="4" w:space="0" w:color="auto"/>
            </w:tcBorders>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w:t>
            </w:r>
          </w:p>
        </w:tc>
      </w:tr>
      <w:tr>
        <w:tblPrEx>
          <w:tblW w:w="9858" w:type="dxa"/>
          <w:tblInd w:w="93" w:type="dxa"/>
          <w:tblLook w:val="0000"/>
        </w:tblPrEx>
        <w:trPr>
          <w:trHeight w:val="372"/>
        </w:trPr>
        <w:tc>
          <w:tcPr>
            <w:tcW w:w="7528" w:type="dxa"/>
            <w:gridSpan w:val="3"/>
            <w:tcBorders>
              <w:top w:val="single" w:sz="4" w:space="0" w:color="auto"/>
              <w:left w:val="single" w:sz="4" w:space="0" w:color="auto"/>
              <w:bottom w:val="single" w:sz="4" w:space="0" w:color="auto"/>
              <w:right w:val="single" w:sz="4" w:space="0" w:color="000000"/>
            </w:tcBorders>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合  计</w:t>
            </w:r>
          </w:p>
        </w:tc>
        <w:tc>
          <w:tcPr>
            <w:tcW w:w="2330"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　</w:t>
            </w:r>
          </w:p>
        </w:tc>
      </w:tr>
    </w:tbl>
    <w:p w:rsidR="007900F6">
      <w:pPr>
        <w:pStyle w:val="Heading4"/>
        <w:spacing w:before="0" w:after="0" w:line="360" w:lineRule="auto"/>
        <w:contextualSpacing/>
        <w:rPr>
          <w:color w:val="000000"/>
        </w:rPr>
      </w:pPr>
      <w:r>
        <w:rPr>
          <w:rFonts w:hint="eastAsia"/>
          <w:color w:val="000000"/>
        </w:rPr>
        <w:t>（九）</w:t>
      </w:r>
      <w:r>
        <w:rPr>
          <w:rFonts w:hint="eastAsia"/>
          <w:color w:val="000000"/>
          <w:kern w:val="0"/>
        </w:rPr>
        <w:t>材料设备暂估价计价表</w:t>
      </w:r>
    </w:p>
    <w:tbl>
      <w:tblPr>
        <w:tblStyle w:val="TableNormal"/>
        <w:tblW w:w="9780" w:type="dxa"/>
        <w:tblInd w:w="93" w:type="dxa"/>
        <w:tblLook w:val="0000"/>
      </w:tblPr>
      <w:tblGrid>
        <w:gridCol w:w="430"/>
        <w:gridCol w:w="3805"/>
        <w:gridCol w:w="794"/>
        <w:gridCol w:w="653"/>
        <w:gridCol w:w="941"/>
        <w:gridCol w:w="941"/>
        <w:gridCol w:w="1103"/>
        <w:gridCol w:w="1113"/>
      </w:tblGrid>
      <w:tr>
        <w:tblPrEx>
          <w:tblW w:w="9780" w:type="dxa"/>
          <w:tblInd w:w="93" w:type="dxa"/>
          <w:tblLook w:val="0000"/>
        </w:tblPrEx>
        <w:trPr>
          <w:trHeight w:val="668"/>
        </w:trPr>
        <w:tc>
          <w:tcPr>
            <w:tcW w:w="4235" w:type="dxa"/>
            <w:gridSpan w:val="2"/>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工程名称:</w:t>
            </w:r>
            <w:r>
              <w:rPr>
                <w:rFonts w:ascii="宋体" w:hAnsi="宋体" w:cs="宋体"/>
                <w:color w:val="000000"/>
                <w:kern w:val="0"/>
                <w:szCs w:val="21"/>
              </w:rPr>
              <w:t xml:space="preserve"> </w:t>
            </w:r>
          </w:p>
        </w:tc>
        <w:tc>
          <w:tcPr>
            <w:tcW w:w="3329" w:type="dxa"/>
            <w:gridSpan w:val="4"/>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 xml:space="preserve"> </w:t>
            </w:r>
          </w:p>
        </w:tc>
        <w:tc>
          <w:tcPr>
            <w:tcW w:w="2216" w:type="dxa"/>
            <w:gridSpan w:val="2"/>
            <w:tcBorders>
              <w:top w:val="nil"/>
              <w:left w:val="nil"/>
              <w:bottom w:val="nil"/>
              <w:right w:val="nil"/>
            </w:tcBorders>
            <w:vAlign w:val="bottom"/>
          </w:tcPr>
          <w:p w:rsidR="007900F6">
            <w:pPr>
              <w:widowControl/>
              <w:spacing w:line="360" w:lineRule="auto"/>
              <w:contextualSpacing/>
              <w:jc w:val="right"/>
              <w:rPr>
                <w:rFonts w:ascii="宋体" w:hAnsi="宋体" w:cs="宋体"/>
                <w:color w:val="000000"/>
                <w:kern w:val="0"/>
                <w:szCs w:val="21"/>
              </w:rPr>
            </w:pPr>
          </w:p>
        </w:tc>
      </w:tr>
      <w:tr>
        <w:tblPrEx>
          <w:tblW w:w="9780" w:type="dxa"/>
          <w:tblInd w:w="93" w:type="dxa"/>
          <w:tblLook w:val="0000"/>
        </w:tblPrEx>
        <w:trPr>
          <w:trHeight w:val="668"/>
        </w:trPr>
        <w:tc>
          <w:tcPr>
            <w:tcW w:w="430" w:type="dxa"/>
            <w:tcBorders>
              <w:top w:val="single" w:sz="4" w:space="0" w:color="auto"/>
              <w:left w:val="single" w:sz="4" w:space="0" w:color="auto"/>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序号</w:t>
            </w:r>
          </w:p>
        </w:tc>
        <w:tc>
          <w:tcPr>
            <w:tcW w:w="3805"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材料名称、规格、型号</w:t>
            </w:r>
          </w:p>
        </w:tc>
        <w:tc>
          <w:tcPr>
            <w:tcW w:w="794"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计量</w:t>
              <w:br/>
              <w:t>单位</w:t>
            </w:r>
          </w:p>
        </w:tc>
        <w:tc>
          <w:tcPr>
            <w:tcW w:w="653"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数量</w:t>
            </w:r>
          </w:p>
        </w:tc>
        <w:tc>
          <w:tcPr>
            <w:tcW w:w="941"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暂估单</w:t>
              <w:br/>
              <w:t>价(元)</w:t>
            </w:r>
          </w:p>
        </w:tc>
        <w:tc>
          <w:tcPr>
            <w:tcW w:w="941"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结算单</w:t>
              <w:br/>
              <w:t>价(元)</w:t>
            </w:r>
          </w:p>
        </w:tc>
        <w:tc>
          <w:tcPr>
            <w:tcW w:w="1103"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价差(元)</w:t>
            </w:r>
          </w:p>
        </w:tc>
        <w:tc>
          <w:tcPr>
            <w:tcW w:w="1113" w:type="dxa"/>
            <w:tcBorders>
              <w:top w:val="single" w:sz="4" w:space="0" w:color="auto"/>
              <w:left w:val="nil"/>
              <w:bottom w:val="single" w:sz="4" w:space="0" w:color="000000"/>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合价(元)</w:t>
            </w:r>
          </w:p>
        </w:tc>
      </w:tr>
      <w:tr>
        <w:tblPrEx>
          <w:tblW w:w="9780" w:type="dxa"/>
          <w:tblInd w:w="93" w:type="dxa"/>
          <w:tblLook w:val="0000"/>
        </w:tblPrEx>
        <w:trPr>
          <w:trHeight w:val="342"/>
        </w:trPr>
        <w:tc>
          <w:tcPr>
            <w:tcW w:w="430" w:type="dxa"/>
            <w:tcBorders>
              <w:top w:val="single" w:sz="4" w:space="0" w:color="auto"/>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805"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94"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53"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41"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41"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03"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13" w:type="dxa"/>
            <w:tcBorders>
              <w:top w:val="single" w:sz="4" w:space="0" w:color="auto"/>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780" w:type="dxa"/>
          <w:tblInd w:w="93" w:type="dxa"/>
          <w:tblLook w:val="0000"/>
        </w:tblPrEx>
        <w:trPr>
          <w:trHeight w:val="342"/>
        </w:trPr>
        <w:tc>
          <w:tcPr>
            <w:tcW w:w="430"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805"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9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5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4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4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0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1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780" w:type="dxa"/>
          <w:tblInd w:w="93" w:type="dxa"/>
          <w:tblLook w:val="0000"/>
        </w:tblPrEx>
        <w:trPr>
          <w:trHeight w:val="342"/>
        </w:trPr>
        <w:tc>
          <w:tcPr>
            <w:tcW w:w="430" w:type="dxa"/>
            <w:tcBorders>
              <w:top w:val="nil"/>
              <w:left w:val="single" w:sz="4" w:space="0" w:color="auto"/>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3805"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794"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65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4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941"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0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c>
          <w:tcPr>
            <w:tcW w:w="111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p>
        </w:tc>
      </w:tr>
      <w:tr>
        <w:tblPrEx>
          <w:tblW w:w="9780" w:type="dxa"/>
          <w:tblInd w:w="93" w:type="dxa"/>
          <w:tblLook w:val="0000"/>
        </w:tblPrEx>
        <w:trPr>
          <w:trHeight w:val="342"/>
        </w:trPr>
        <w:tc>
          <w:tcPr>
            <w:tcW w:w="8667" w:type="dxa"/>
            <w:gridSpan w:val="7"/>
            <w:tcBorders>
              <w:top w:val="single" w:sz="4" w:space="0" w:color="auto"/>
              <w:left w:val="single" w:sz="4" w:space="0" w:color="auto"/>
              <w:bottom w:val="single" w:sz="4" w:space="0" w:color="auto"/>
              <w:right w:val="single" w:sz="4" w:space="0" w:color="000000"/>
            </w:tcBorders>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本页小计</w:t>
            </w:r>
          </w:p>
        </w:tc>
        <w:tc>
          <w:tcPr>
            <w:tcW w:w="1113" w:type="dxa"/>
            <w:tcBorders>
              <w:top w:val="nil"/>
              <w:left w:val="nil"/>
              <w:bottom w:val="single" w:sz="4" w:space="0" w:color="auto"/>
              <w:right w:val="single" w:sz="4" w:space="0" w:color="auto"/>
            </w:tcBorders>
            <w:noWrap/>
            <w:vAlign w:val="center"/>
          </w:tcPr>
          <w:p w:rsidR="007900F6">
            <w:pPr>
              <w:widowControl/>
              <w:spacing w:line="360" w:lineRule="auto"/>
              <w:contextualSpacing/>
              <w:jc w:val="right"/>
              <w:rPr>
                <w:rFonts w:ascii="宋体" w:hAnsi="宋体" w:cs="宋体"/>
                <w:color w:val="000000"/>
                <w:kern w:val="0"/>
                <w:szCs w:val="21"/>
              </w:rPr>
            </w:pPr>
            <w:r>
              <w:rPr>
                <w:rFonts w:ascii="宋体" w:hAnsi="宋体" w:cs="宋体" w:hint="eastAsia"/>
                <w:color w:val="000000"/>
                <w:kern w:val="0"/>
                <w:szCs w:val="21"/>
              </w:rPr>
              <w:t>　</w:t>
            </w:r>
          </w:p>
        </w:tc>
      </w:tr>
      <w:tr>
        <w:tblPrEx>
          <w:tblW w:w="9780" w:type="dxa"/>
          <w:tblInd w:w="93" w:type="dxa"/>
          <w:tblLook w:val="0000"/>
        </w:tblPrEx>
        <w:trPr>
          <w:trHeight w:val="342"/>
        </w:trPr>
        <w:tc>
          <w:tcPr>
            <w:tcW w:w="8667"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 xml:space="preserve">   合  计</w:t>
            </w:r>
          </w:p>
        </w:tc>
        <w:tc>
          <w:tcPr>
            <w:tcW w:w="1113" w:type="dxa"/>
            <w:tcBorders>
              <w:top w:val="nil"/>
              <w:left w:val="nil"/>
              <w:bottom w:val="single" w:sz="4" w:space="0" w:color="auto"/>
              <w:right w:val="single" w:sz="4" w:space="0" w:color="auto"/>
            </w:tcBorders>
            <w:noWrap/>
            <w:vAlign w:val="center"/>
          </w:tcPr>
          <w:p w:rsidR="007900F6">
            <w:pPr>
              <w:widowControl/>
              <w:spacing w:line="360" w:lineRule="auto"/>
              <w:contextualSpacing/>
              <w:jc w:val="left"/>
              <w:rPr>
                <w:rFonts w:ascii="宋体" w:hAnsi="宋体" w:cs="宋体"/>
                <w:color w:val="000000"/>
                <w:kern w:val="0"/>
                <w:szCs w:val="21"/>
              </w:rPr>
            </w:pPr>
            <w:r>
              <w:rPr>
                <w:rFonts w:ascii="宋体" w:hAnsi="宋体" w:cs="宋体" w:hint="eastAsia"/>
                <w:color w:val="000000"/>
                <w:kern w:val="0"/>
                <w:szCs w:val="21"/>
              </w:rPr>
              <w:t>　</w:t>
            </w:r>
          </w:p>
        </w:tc>
      </w:tr>
    </w:tbl>
    <w:p w:rsidR="007900F6">
      <w:pPr>
        <w:widowControl/>
        <w:spacing w:line="360" w:lineRule="auto"/>
        <w:contextualSpacing/>
        <w:jc w:val="left"/>
        <w:rPr>
          <w:rFonts w:ascii="宋体" w:hAnsi="宋体" w:cs="宋体"/>
          <w:color w:val="000000"/>
          <w:kern w:val="0"/>
          <w:sz w:val="20"/>
          <w:szCs w:val="20"/>
        </w:rPr>
      </w:pPr>
    </w:p>
    <w:p w:rsidR="007900F6">
      <w:pPr>
        <w:widowControl/>
        <w:spacing w:line="360" w:lineRule="auto"/>
        <w:contextualSpacing/>
        <w:jc w:val="left"/>
        <w:rPr>
          <w:rFonts w:ascii="宋体" w:hAnsi="宋体" w:cs="宋体"/>
          <w:color w:val="000000"/>
          <w:kern w:val="0"/>
          <w:sz w:val="20"/>
          <w:szCs w:val="20"/>
        </w:rPr>
      </w:pPr>
    </w:p>
    <w:p w:rsidR="007900F6">
      <w:pPr>
        <w:pStyle w:val="Heading4"/>
        <w:spacing w:before="0" w:after="0" w:line="360" w:lineRule="auto"/>
        <w:contextualSpacing/>
        <w:rPr>
          <w:color w:val="000000"/>
        </w:rPr>
      </w:pPr>
      <w:r>
        <w:rPr>
          <w:rFonts w:hint="eastAsia"/>
          <w:color w:val="000000"/>
        </w:rPr>
        <w:t>（十）</w:t>
      </w:r>
      <w:r>
        <w:rPr>
          <w:rFonts w:hint="eastAsia"/>
          <w:color w:val="000000"/>
          <w:kern w:val="0"/>
        </w:rPr>
        <w:t>规费、应纳税费项目清单与计价表</w:t>
      </w:r>
    </w:p>
    <w:tbl>
      <w:tblPr>
        <w:tblStyle w:val="TableNormal"/>
        <w:tblW w:w="9856" w:type="dxa"/>
        <w:tblInd w:w="93" w:type="dxa"/>
        <w:tblLook w:val="0000"/>
      </w:tblPr>
      <w:tblGrid>
        <w:gridCol w:w="486"/>
        <w:gridCol w:w="3900"/>
        <w:gridCol w:w="3026"/>
        <w:gridCol w:w="1140"/>
        <w:gridCol w:w="1304"/>
      </w:tblGrid>
      <w:tr>
        <w:tblPrEx>
          <w:tblW w:w="9856" w:type="dxa"/>
          <w:tblInd w:w="93" w:type="dxa"/>
          <w:tblLook w:val="0000"/>
        </w:tblPrEx>
        <w:trPr>
          <w:trHeight w:val="668"/>
        </w:trPr>
        <w:tc>
          <w:tcPr>
            <w:tcW w:w="4386" w:type="dxa"/>
            <w:gridSpan w:val="2"/>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 w:val="20"/>
                <w:szCs w:val="20"/>
              </w:rPr>
            </w:pPr>
            <w:r>
              <w:rPr>
                <w:rFonts w:ascii="宋体" w:hAnsi="宋体" w:cs="宋体" w:hint="eastAsia"/>
                <w:color w:val="000000"/>
                <w:kern w:val="0"/>
                <w:sz w:val="20"/>
                <w:szCs w:val="20"/>
              </w:rPr>
              <w:t>工程名称:</w:t>
            </w:r>
            <w:r>
              <w:rPr>
                <w:rFonts w:ascii="宋体" w:hAnsi="宋体" w:cs="宋体"/>
                <w:color w:val="000000"/>
                <w:kern w:val="0"/>
                <w:sz w:val="20"/>
                <w:szCs w:val="20"/>
              </w:rPr>
              <w:t xml:space="preserve"> </w:t>
            </w:r>
          </w:p>
        </w:tc>
        <w:tc>
          <w:tcPr>
            <w:tcW w:w="3026" w:type="dxa"/>
            <w:tcBorders>
              <w:top w:val="nil"/>
              <w:left w:val="nil"/>
              <w:bottom w:val="nil"/>
              <w:right w:val="nil"/>
            </w:tcBorders>
            <w:vAlign w:val="bottom"/>
          </w:tcPr>
          <w:p w:rsidR="007900F6">
            <w:pPr>
              <w:widowControl/>
              <w:spacing w:line="360" w:lineRule="auto"/>
              <w:contextualSpacing/>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444" w:type="dxa"/>
            <w:gridSpan w:val="2"/>
            <w:tcBorders>
              <w:top w:val="nil"/>
              <w:left w:val="nil"/>
              <w:bottom w:val="nil"/>
              <w:right w:val="nil"/>
            </w:tcBorders>
            <w:vAlign w:val="bottom"/>
          </w:tcPr>
          <w:p w:rsidR="007900F6">
            <w:pPr>
              <w:widowControl/>
              <w:spacing w:line="360" w:lineRule="auto"/>
              <w:contextualSpacing/>
              <w:jc w:val="right"/>
              <w:rPr>
                <w:rFonts w:ascii="宋体" w:hAnsi="宋体" w:cs="宋体"/>
                <w:color w:val="000000"/>
                <w:kern w:val="0"/>
                <w:sz w:val="20"/>
                <w:szCs w:val="20"/>
              </w:rPr>
            </w:pPr>
          </w:p>
        </w:tc>
      </w:tr>
      <w:tr>
        <w:tblPrEx>
          <w:tblW w:w="9856" w:type="dxa"/>
          <w:tblInd w:w="93" w:type="dxa"/>
          <w:tblLook w:val="0000"/>
        </w:tblPrEx>
        <w:trPr>
          <w:trHeight w:val="342"/>
        </w:trPr>
        <w:tc>
          <w:tcPr>
            <w:tcW w:w="486" w:type="dxa"/>
            <w:tcBorders>
              <w:top w:val="single" w:sz="4" w:space="0" w:color="auto"/>
              <w:left w:val="single" w:sz="4" w:space="0" w:color="auto"/>
              <w:bottom w:val="single" w:sz="4" w:space="0" w:color="000000"/>
              <w:right w:val="single" w:sz="4" w:space="0" w:color="000000"/>
            </w:tcBorders>
            <w:shd w:val="clear" w:color="000000" w:fill="FFFFFF"/>
            <w:noWrap/>
            <w:vAlign w:val="center"/>
          </w:tcPr>
          <w:p w:rsidR="007900F6">
            <w:pPr>
              <w:widowControl/>
              <w:spacing w:line="360" w:lineRule="auto"/>
              <w:contextualSpacing/>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3900"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3026"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 w:val="20"/>
                <w:szCs w:val="20"/>
              </w:rPr>
            </w:pPr>
            <w:r>
              <w:rPr>
                <w:rFonts w:ascii="宋体" w:hAnsi="宋体" w:cs="宋体" w:hint="eastAsia"/>
                <w:color w:val="000000"/>
                <w:kern w:val="0"/>
                <w:sz w:val="20"/>
                <w:szCs w:val="20"/>
              </w:rPr>
              <w:t>计算基础</w:t>
            </w:r>
          </w:p>
        </w:tc>
        <w:tc>
          <w:tcPr>
            <w:tcW w:w="1140" w:type="dxa"/>
            <w:tcBorders>
              <w:top w:val="single" w:sz="4" w:space="0" w:color="auto"/>
              <w:left w:val="nil"/>
              <w:bottom w:val="single" w:sz="4" w:space="0" w:color="000000"/>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 w:val="20"/>
                <w:szCs w:val="20"/>
              </w:rPr>
            </w:pPr>
            <w:r>
              <w:rPr>
                <w:rFonts w:ascii="宋体" w:hAnsi="宋体" w:cs="宋体" w:hint="eastAsia"/>
                <w:color w:val="000000"/>
                <w:kern w:val="0"/>
                <w:sz w:val="20"/>
                <w:szCs w:val="20"/>
              </w:rPr>
              <w:t>费率(%)</w:t>
            </w:r>
          </w:p>
        </w:tc>
        <w:tc>
          <w:tcPr>
            <w:tcW w:w="1304" w:type="dxa"/>
            <w:tcBorders>
              <w:top w:val="single" w:sz="4" w:space="0" w:color="auto"/>
              <w:left w:val="nil"/>
              <w:bottom w:val="single" w:sz="4" w:space="0" w:color="000000"/>
              <w:right w:val="single" w:sz="4" w:space="0" w:color="auto"/>
            </w:tcBorders>
            <w:shd w:val="clear" w:color="000000" w:fill="FFFFFF"/>
            <w:vAlign w:val="center"/>
          </w:tcPr>
          <w:p w:rsidR="007900F6">
            <w:pPr>
              <w:widowControl/>
              <w:spacing w:line="360" w:lineRule="auto"/>
              <w:contextualSpacing/>
              <w:jc w:val="center"/>
              <w:rPr>
                <w:rFonts w:ascii="宋体" w:hAnsi="宋体" w:cs="宋体"/>
                <w:color w:val="000000"/>
                <w:kern w:val="0"/>
                <w:sz w:val="20"/>
                <w:szCs w:val="20"/>
              </w:rPr>
            </w:pPr>
            <w:r>
              <w:rPr>
                <w:rFonts w:ascii="宋体" w:hAnsi="宋体" w:cs="宋体" w:hint="eastAsia"/>
                <w:color w:val="000000"/>
                <w:kern w:val="0"/>
                <w:sz w:val="20"/>
                <w:szCs w:val="20"/>
              </w:rPr>
              <w:t>金额(元)</w:t>
            </w:r>
          </w:p>
        </w:tc>
      </w:tr>
      <w:tr>
        <w:tblPrEx>
          <w:tblW w:w="9856" w:type="dxa"/>
          <w:tblInd w:w="93" w:type="dxa"/>
          <w:tblLook w:val="0000"/>
        </w:tblPrEx>
        <w:trPr>
          <w:trHeight w:val="638"/>
        </w:trPr>
        <w:tc>
          <w:tcPr>
            <w:tcW w:w="48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900"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r>
              <w:rPr>
                <w:rFonts w:ascii="宋体" w:hAnsi="宋体" w:cs="宋体" w:hint="eastAsia"/>
                <w:color w:val="000000"/>
                <w:kern w:val="0"/>
                <w:sz w:val="18"/>
                <w:szCs w:val="18"/>
              </w:rPr>
              <w:t>规费</w:t>
            </w:r>
          </w:p>
        </w:tc>
        <w:tc>
          <w:tcPr>
            <w:tcW w:w="3026"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r>
              <w:rPr>
                <w:rFonts w:ascii="宋体" w:hAnsi="宋体" w:cs="宋体" w:hint="eastAsia"/>
                <w:color w:val="000000"/>
                <w:kern w:val="0"/>
                <w:sz w:val="18"/>
                <w:szCs w:val="18"/>
              </w:rPr>
              <w:t>(分部分项工程费+措施项目费+其他项目费)中的人工费</w:t>
            </w:r>
          </w:p>
        </w:tc>
        <w:tc>
          <w:tcPr>
            <w:tcW w:w="114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0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tblPrEx>
          <w:tblW w:w="9856" w:type="dxa"/>
          <w:tblInd w:w="93" w:type="dxa"/>
          <w:tblLook w:val="0000"/>
        </w:tblPrEx>
        <w:trPr>
          <w:trHeight w:val="342"/>
        </w:trPr>
        <w:tc>
          <w:tcPr>
            <w:tcW w:w="48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900"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r>
              <w:rPr>
                <w:rFonts w:ascii="宋体" w:hAnsi="宋体" w:cs="宋体" w:hint="eastAsia"/>
                <w:color w:val="000000"/>
                <w:kern w:val="0"/>
                <w:sz w:val="18"/>
                <w:szCs w:val="18"/>
              </w:rPr>
              <w:t>应纳税费</w:t>
            </w:r>
          </w:p>
        </w:tc>
        <w:tc>
          <w:tcPr>
            <w:tcW w:w="3026"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r>
              <w:rPr>
                <w:rFonts w:ascii="宋体" w:hAnsi="宋体" w:cs="宋体" w:hint="eastAsia"/>
                <w:color w:val="000000"/>
                <w:kern w:val="0"/>
                <w:sz w:val="18"/>
                <w:szCs w:val="18"/>
              </w:rPr>
              <w:t>应纳税费合计</w:t>
            </w:r>
          </w:p>
        </w:tc>
        <w:tc>
          <w:tcPr>
            <w:tcW w:w="114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0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tblPrEx>
          <w:tblW w:w="9856" w:type="dxa"/>
          <w:tblInd w:w="93" w:type="dxa"/>
          <w:tblLook w:val="0000"/>
        </w:tblPrEx>
        <w:trPr>
          <w:trHeight w:val="638"/>
        </w:trPr>
        <w:tc>
          <w:tcPr>
            <w:tcW w:w="48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 w:val="18"/>
                <w:szCs w:val="18"/>
              </w:rPr>
            </w:pPr>
            <w:r>
              <w:rPr>
                <w:rFonts w:ascii="宋体" w:hAnsi="宋体" w:cs="宋体" w:hint="eastAsia"/>
                <w:color w:val="000000"/>
                <w:kern w:val="0"/>
                <w:sz w:val="18"/>
                <w:szCs w:val="18"/>
              </w:rPr>
              <w:t>2.1</w:t>
            </w:r>
          </w:p>
        </w:tc>
        <w:tc>
          <w:tcPr>
            <w:tcW w:w="3900"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r>
              <w:rPr>
                <w:rFonts w:ascii="宋体" w:hAnsi="宋体" w:cs="宋体" w:hint="eastAsia"/>
                <w:color w:val="000000"/>
                <w:kern w:val="0"/>
                <w:sz w:val="18"/>
                <w:szCs w:val="18"/>
              </w:rPr>
              <w:t>增值税应纳税额</w:t>
            </w:r>
          </w:p>
        </w:tc>
        <w:tc>
          <w:tcPr>
            <w:tcW w:w="3026"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r>
              <w:rPr>
                <w:rFonts w:ascii="宋体" w:hAnsi="宋体" w:cs="宋体" w:hint="eastAsia"/>
                <w:color w:val="000000"/>
                <w:kern w:val="0"/>
                <w:sz w:val="18"/>
                <w:szCs w:val="18"/>
              </w:rPr>
              <w:t>分部分项工程费+措施项目费+其他项目费+规费</w:t>
            </w:r>
          </w:p>
        </w:tc>
        <w:tc>
          <w:tcPr>
            <w:tcW w:w="114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0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tblPrEx>
          <w:tblW w:w="9856" w:type="dxa"/>
          <w:tblInd w:w="93" w:type="dxa"/>
          <w:tblLook w:val="0000"/>
        </w:tblPrEx>
        <w:trPr>
          <w:trHeight w:val="342"/>
        </w:trPr>
        <w:tc>
          <w:tcPr>
            <w:tcW w:w="48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 w:val="18"/>
                <w:szCs w:val="18"/>
              </w:rPr>
            </w:pPr>
            <w:r>
              <w:rPr>
                <w:rFonts w:ascii="宋体" w:hAnsi="宋体" w:cs="宋体" w:hint="eastAsia"/>
                <w:color w:val="000000"/>
                <w:kern w:val="0"/>
                <w:sz w:val="18"/>
                <w:szCs w:val="18"/>
              </w:rPr>
              <w:t>2.2</w:t>
            </w:r>
          </w:p>
        </w:tc>
        <w:tc>
          <w:tcPr>
            <w:tcW w:w="3900"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r>
              <w:rPr>
                <w:rFonts w:ascii="宋体" w:hAnsi="宋体" w:cs="宋体" w:hint="eastAsia"/>
                <w:color w:val="000000"/>
                <w:kern w:val="0"/>
                <w:sz w:val="18"/>
                <w:szCs w:val="18"/>
              </w:rPr>
              <w:t>城市维护建设税、教育费附加及地方教育费附加</w:t>
            </w:r>
          </w:p>
        </w:tc>
        <w:tc>
          <w:tcPr>
            <w:tcW w:w="3026"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r>
              <w:rPr>
                <w:rFonts w:ascii="宋体" w:hAnsi="宋体" w:cs="宋体" w:hint="eastAsia"/>
                <w:color w:val="000000"/>
                <w:kern w:val="0"/>
                <w:sz w:val="18"/>
                <w:szCs w:val="18"/>
              </w:rPr>
              <w:t>增值税应纳税额</w:t>
            </w:r>
          </w:p>
        </w:tc>
        <w:tc>
          <w:tcPr>
            <w:tcW w:w="114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0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tblPrEx>
          <w:tblW w:w="9856" w:type="dxa"/>
          <w:tblInd w:w="93" w:type="dxa"/>
          <w:tblLook w:val="0000"/>
        </w:tblPrEx>
        <w:trPr>
          <w:trHeight w:val="342"/>
        </w:trPr>
        <w:tc>
          <w:tcPr>
            <w:tcW w:w="48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 w:val="18"/>
                <w:szCs w:val="18"/>
              </w:rPr>
            </w:pPr>
          </w:p>
        </w:tc>
        <w:tc>
          <w:tcPr>
            <w:tcW w:w="3900"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p>
        </w:tc>
        <w:tc>
          <w:tcPr>
            <w:tcW w:w="3026"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p>
        </w:tc>
        <w:tc>
          <w:tcPr>
            <w:tcW w:w="114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p>
        </w:tc>
        <w:tc>
          <w:tcPr>
            <w:tcW w:w="130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p>
        </w:tc>
      </w:tr>
      <w:tr>
        <w:tblPrEx>
          <w:tblW w:w="9856" w:type="dxa"/>
          <w:tblInd w:w="93" w:type="dxa"/>
          <w:tblLook w:val="0000"/>
        </w:tblPrEx>
        <w:trPr>
          <w:trHeight w:val="342"/>
        </w:trPr>
        <w:tc>
          <w:tcPr>
            <w:tcW w:w="486" w:type="dxa"/>
            <w:tcBorders>
              <w:top w:val="nil"/>
              <w:left w:val="single" w:sz="4" w:space="0" w:color="auto"/>
              <w:bottom w:val="single" w:sz="4" w:space="0" w:color="auto"/>
              <w:right w:val="single" w:sz="4" w:space="0" w:color="auto"/>
            </w:tcBorders>
            <w:shd w:val="clear" w:color="000000" w:fill="FFFFFF"/>
            <w:noWrap/>
            <w:vAlign w:val="center"/>
          </w:tcPr>
          <w:p w:rsidR="007900F6">
            <w:pPr>
              <w:widowControl/>
              <w:spacing w:line="360" w:lineRule="auto"/>
              <w:contextualSpacing/>
              <w:jc w:val="center"/>
              <w:rPr>
                <w:rFonts w:ascii="宋体" w:hAnsi="宋体" w:cs="宋体"/>
                <w:color w:val="000000"/>
                <w:kern w:val="0"/>
                <w:sz w:val="18"/>
                <w:szCs w:val="18"/>
              </w:rPr>
            </w:pPr>
          </w:p>
        </w:tc>
        <w:tc>
          <w:tcPr>
            <w:tcW w:w="3900"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p>
        </w:tc>
        <w:tc>
          <w:tcPr>
            <w:tcW w:w="3026" w:type="dxa"/>
            <w:tcBorders>
              <w:top w:val="nil"/>
              <w:left w:val="nil"/>
              <w:bottom w:val="single" w:sz="4" w:space="0" w:color="auto"/>
              <w:right w:val="single" w:sz="4" w:space="0" w:color="auto"/>
            </w:tcBorders>
            <w:shd w:val="clear" w:color="000000" w:fill="FFFFFF"/>
            <w:vAlign w:val="center"/>
          </w:tcPr>
          <w:p w:rsidR="007900F6">
            <w:pPr>
              <w:widowControl/>
              <w:spacing w:line="360" w:lineRule="auto"/>
              <w:contextualSpacing/>
              <w:jc w:val="left"/>
              <w:rPr>
                <w:rFonts w:ascii="宋体" w:hAnsi="宋体" w:cs="宋体"/>
                <w:color w:val="000000"/>
                <w:kern w:val="0"/>
                <w:sz w:val="18"/>
                <w:szCs w:val="18"/>
              </w:rPr>
            </w:pPr>
          </w:p>
        </w:tc>
        <w:tc>
          <w:tcPr>
            <w:tcW w:w="1140"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p>
        </w:tc>
        <w:tc>
          <w:tcPr>
            <w:tcW w:w="130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p>
        </w:tc>
      </w:tr>
      <w:tr>
        <w:tblPrEx>
          <w:tblW w:w="9856" w:type="dxa"/>
          <w:tblInd w:w="93" w:type="dxa"/>
          <w:tblLook w:val="0000"/>
        </w:tblPrEx>
        <w:trPr>
          <w:trHeight w:val="312"/>
        </w:trPr>
        <w:tc>
          <w:tcPr>
            <w:tcW w:w="8552"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7900F6">
            <w:pPr>
              <w:widowControl/>
              <w:spacing w:line="360" w:lineRule="auto"/>
              <w:contextualSpacing/>
              <w:jc w:val="center"/>
              <w:rPr>
                <w:rFonts w:ascii="宋体" w:hAnsi="宋体" w:cs="宋体"/>
                <w:color w:val="000000"/>
                <w:kern w:val="0"/>
                <w:sz w:val="18"/>
                <w:szCs w:val="18"/>
              </w:rPr>
            </w:pPr>
            <w:r>
              <w:rPr>
                <w:rFonts w:ascii="宋体" w:hAnsi="宋体" w:cs="宋体" w:hint="eastAsia"/>
                <w:color w:val="000000"/>
                <w:kern w:val="0"/>
                <w:sz w:val="18"/>
                <w:szCs w:val="18"/>
              </w:rPr>
              <w:t xml:space="preserve">   合  计</w:t>
            </w:r>
          </w:p>
        </w:tc>
        <w:tc>
          <w:tcPr>
            <w:tcW w:w="1304" w:type="dxa"/>
            <w:tcBorders>
              <w:top w:val="nil"/>
              <w:left w:val="nil"/>
              <w:bottom w:val="single" w:sz="4" w:space="0" w:color="auto"/>
              <w:right w:val="single" w:sz="4" w:space="0" w:color="auto"/>
            </w:tcBorders>
            <w:shd w:val="clear" w:color="000000" w:fill="FFFFFF"/>
            <w:noWrap/>
            <w:vAlign w:val="center"/>
          </w:tcPr>
          <w:p w:rsidR="007900F6">
            <w:pPr>
              <w:widowControl/>
              <w:spacing w:line="360" w:lineRule="auto"/>
              <w:contextualSpacing/>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7900F6">
      <w:pPr>
        <w:spacing w:line="360" w:lineRule="auto"/>
        <w:contextualSpacing/>
        <w:rPr>
          <w:color w:val="000000"/>
        </w:rPr>
      </w:pPr>
    </w:p>
    <w:p w:rsidR="007900F6">
      <w:pPr>
        <w:widowControl/>
        <w:jc w:val="left"/>
        <w:rPr>
          <w:b/>
          <w:bCs/>
          <w:color w:val="000000"/>
        </w:rPr>
      </w:pPr>
      <w:r>
        <w:rPr>
          <w:b/>
          <w:bCs/>
          <w:color w:val="000000"/>
        </w:rPr>
        <w:br w:type="page"/>
      </w:r>
    </w:p>
    <w:p w:rsidR="007900F6">
      <w:pPr>
        <w:spacing w:line="360" w:lineRule="auto"/>
        <w:contextualSpacing/>
        <w:jc w:val="center"/>
        <w:rPr>
          <w:b/>
          <w:bCs/>
          <w:color w:val="000000"/>
        </w:rPr>
      </w:pPr>
    </w:p>
    <w:p w:rsidR="007900F6">
      <w:pPr>
        <w:spacing w:line="360" w:lineRule="auto"/>
        <w:contextualSpacing/>
        <w:jc w:val="center"/>
        <w:rPr>
          <w:b/>
          <w:bCs/>
          <w:color w:val="000000"/>
        </w:rPr>
      </w:pPr>
      <w:r>
        <w:rPr>
          <w:rFonts w:hint="eastAsia"/>
          <w:b/>
          <w:bCs/>
          <w:color w:val="000000"/>
        </w:rPr>
        <w:t>投标人以附件形式提供</w:t>
      </w:r>
    </w:p>
    <w:p w:rsidR="007900F6">
      <w:pPr>
        <w:spacing w:line="360" w:lineRule="auto"/>
        <w:contextualSpacing/>
        <w:rPr>
          <w:color w:val="000000"/>
        </w:rPr>
      </w:pPr>
    </w:p>
    <w:p w:rsidR="007900F6">
      <w:pPr>
        <w:adjustRightInd w:val="0"/>
        <w:spacing w:line="360" w:lineRule="auto"/>
        <w:ind w:firstLine="480" w:firstLineChars="200"/>
        <w:contextualSpacing/>
        <w:rPr>
          <w:rFonts w:ascii="宋体" w:hAnsi="宋体"/>
          <w:color w:val="000000"/>
          <w:kern w:val="0"/>
          <w:szCs w:val="21"/>
        </w:rPr>
      </w:pPr>
      <w:r>
        <w:rPr>
          <w:rFonts w:ascii="宋体" w:hAnsi="宋体" w:hint="eastAsia"/>
          <w:color w:val="000000"/>
          <w:kern w:val="0"/>
          <w:szCs w:val="21"/>
        </w:rPr>
        <w:t>价格修正：</w:t>
      </w:r>
    </w:p>
    <w:p w:rsidR="007900F6">
      <w:pPr>
        <w:adjustRightInd w:val="0"/>
        <w:spacing w:line="360" w:lineRule="auto"/>
        <w:ind w:firstLine="480" w:firstLineChars="200"/>
        <w:contextualSpacing/>
        <w:rPr>
          <w:rFonts w:ascii="宋体" w:hAnsi="宋体"/>
          <w:color w:val="000000"/>
          <w:kern w:val="0"/>
          <w:szCs w:val="21"/>
        </w:rPr>
      </w:pPr>
      <w:r>
        <w:rPr>
          <w:rFonts w:ascii="宋体" w:hAnsi="宋体" w:hint="eastAsia"/>
          <w:color w:val="000000"/>
          <w:kern w:val="0"/>
          <w:szCs w:val="21"/>
        </w:rPr>
        <w:t>（1）若开标一览表中投标总价与投标文件中投标总价不一致，以开标一览表投标总价为准；</w:t>
      </w:r>
    </w:p>
    <w:p w:rsidR="007900F6">
      <w:pPr>
        <w:adjustRightInd w:val="0"/>
        <w:spacing w:line="360" w:lineRule="auto"/>
        <w:ind w:firstLine="480" w:firstLineChars="200"/>
        <w:contextualSpacing/>
        <w:rPr>
          <w:rFonts w:ascii="宋体" w:hAnsi="宋体"/>
          <w:color w:val="000000"/>
          <w:kern w:val="0"/>
          <w:szCs w:val="21"/>
        </w:rPr>
      </w:pPr>
      <w:r>
        <w:rPr>
          <w:rFonts w:ascii="宋体" w:hAnsi="宋体" w:hint="eastAsia"/>
          <w:color w:val="000000"/>
          <w:kern w:val="0"/>
          <w:szCs w:val="21"/>
        </w:rPr>
        <w:t xml:space="preserve">（2）当小写金额与大写金额有差异时，以大写金额为准（有明显错误的除外）； </w:t>
      </w:r>
    </w:p>
    <w:p w:rsidR="007900F6">
      <w:pPr>
        <w:adjustRightInd w:val="0"/>
        <w:spacing w:line="360" w:lineRule="auto"/>
        <w:ind w:firstLine="480" w:firstLineChars="200"/>
        <w:contextualSpacing/>
        <w:rPr>
          <w:rFonts w:ascii="宋体" w:hAnsi="宋体"/>
          <w:color w:val="000000"/>
          <w:kern w:val="0"/>
          <w:szCs w:val="21"/>
        </w:rPr>
      </w:pPr>
      <w:r>
        <w:rPr>
          <w:rFonts w:ascii="宋体" w:hAnsi="宋体" w:hint="eastAsia"/>
          <w:color w:val="000000"/>
          <w:kern w:val="0"/>
          <w:szCs w:val="21"/>
        </w:rPr>
        <w:t>（</w:t>
      </w:r>
      <w:r>
        <w:rPr>
          <w:rFonts w:ascii="宋体" w:hAnsi="宋体"/>
          <w:color w:val="000000"/>
          <w:kern w:val="0"/>
          <w:szCs w:val="21"/>
        </w:rPr>
        <w:t>3</w:t>
      </w:r>
      <w:r>
        <w:rPr>
          <w:rFonts w:ascii="宋体" w:hAnsi="宋体" w:hint="eastAsia"/>
          <w:color w:val="000000"/>
          <w:kern w:val="0"/>
          <w:szCs w:val="21"/>
        </w:rPr>
        <w:t xml:space="preserve">）当综合单价与数量相乘不等于合价时，若经按单价调整后的合价大于标出的合价，则以标出的合价为准并修正综合单价；若经按单价调整后的合价小于标出的合价，则以标出的综合单价为准并修正总价； </w:t>
      </w:r>
    </w:p>
    <w:p w:rsidR="007900F6">
      <w:pPr>
        <w:adjustRightInd w:val="0"/>
        <w:spacing w:line="360" w:lineRule="auto"/>
        <w:ind w:firstLine="480" w:firstLineChars="200"/>
        <w:contextualSpacing/>
        <w:rPr>
          <w:rFonts w:ascii="宋体" w:hAnsi="宋体"/>
          <w:color w:val="000000"/>
          <w:kern w:val="0"/>
          <w:szCs w:val="21"/>
        </w:rPr>
      </w:pPr>
      <w:r>
        <w:rPr>
          <w:rFonts w:ascii="宋体" w:hAnsi="宋体" w:hint="eastAsia"/>
          <w:color w:val="000000"/>
          <w:kern w:val="0"/>
          <w:szCs w:val="21"/>
        </w:rPr>
        <w:t>（</w:t>
      </w:r>
      <w:r>
        <w:rPr>
          <w:rFonts w:ascii="宋体" w:hAnsi="宋体"/>
          <w:color w:val="000000"/>
          <w:kern w:val="0"/>
          <w:szCs w:val="21"/>
        </w:rPr>
        <w:t>4</w:t>
      </w:r>
      <w:r>
        <w:rPr>
          <w:rFonts w:ascii="宋体" w:hAnsi="宋体" w:hint="eastAsia"/>
          <w:color w:val="000000"/>
          <w:kern w:val="0"/>
          <w:szCs w:val="21"/>
        </w:rPr>
        <w:t xml:space="preserve">）如果综合单价有明显差错，应以标出的合价为准，同时对综合单价予以修正； </w:t>
      </w:r>
    </w:p>
    <w:p w:rsidR="007900F6">
      <w:pPr>
        <w:adjustRightInd w:val="0"/>
        <w:spacing w:line="360" w:lineRule="auto"/>
        <w:ind w:firstLine="480" w:firstLineChars="200"/>
        <w:contextualSpacing/>
        <w:rPr>
          <w:rFonts w:ascii="宋体" w:hAnsi="宋体"/>
          <w:color w:val="000000"/>
          <w:kern w:val="0"/>
          <w:szCs w:val="21"/>
        </w:rPr>
      </w:pPr>
      <w:r>
        <w:rPr>
          <w:rFonts w:ascii="宋体" w:hAnsi="宋体" w:hint="eastAsia"/>
          <w:color w:val="000000"/>
          <w:kern w:val="0"/>
          <w:szCs w:val="21"/>
        </w:rPr>
        <w:t>（</w:t>
      </w:r>
      <w:r>
        <w:rPr>
          <w:rFonts w:ascii="宋体" w:hAnsi="宋体"/>
          <w:color w:val="000000"/>
          <w:kern w:val="0"/>
          <w:szCs w:val="21"/>
        </w:rPr>
        <w:t>5</w:t>
      </w:r>
      <w:r>
        <w:rPr>
          <w:rFonts w:ascii="宋体" w:hAnsi="宋体" w:hint="eastAsia"/>
          <w:color w:val="000000"/>
          <w:kern w:val="0"/>
          <w:szCs w:val="21"/>
        </w:rPr>
        <w:t>）当各细目的合价累计不等于总价时，若各细目的合价累计大于投标总价时，则以投标总价为准并修正细目合价；若各细目的合价累计小于投标总价时，则以细目合价累计为准并修正投标总价；</w:t>
      </w:r>
    </w:p>
    <w:p w:rsidR="007900F6">
      <w:pPr>
        <w:adjustRightInd w:val="0"/>
        <w:spacing w:line="360" w:lineRule="auto"/>
        <w:ind w:firstLine="480" w:firstLineChars="200"/>
        <w:contextualSpacing/>
        <w:rPr>
          <w:rFonts w:ascii="宋体" w:hAnsi="宋体"/>
          <w:color w:val="000000"/>
          <w:kern w:val="0"/>
          <w:szCs w:val="21"/>
        </w:rPr>
      </w:pPr>
      <w:r>
        <w:rPr>
          <w:rFonts w:ascii="宋体" w:hAnsi="宋体" w:hint="eastAsia"/>
          <w:color w:val="000000"/>
          <w:kern w:val="0"/>
          <w:szCs w:val="21"/>
        </w:rPr>
        <w:t>（</w:t>
      </w:r>
      <w:r>
        <w:rPr>
          <w:rFonts w:ascii="宋体" w:hAnsi="宋体"/>
          <w:color w:val="000000"/>
          <w:kern w:val="0"/>
          <w:szCs w:val="21"/>
        </w:rPr>
        <w:t>6</w:t>
      </w:r>
      <w:r>
        <w:rPr>
          <w:rFonts w:ascii="宋体" w:hAnsi="宋体" w:hint="eastAsia"/>
          <w:color w:val="000000"/>
          <w:kern w:val="0"/>
          <w:szCs w:val="21"/>
        </w:rPr>
        <w:t>）投标报价存在明显的不平衡报价时，按照不平衡报价修正原则将其单价进行修正，并以修正后的单价为准修正总价。</w:t>
      </w:r>
    </w:p>
    <w:p w:rsidR="007900F6">
      <w:pPr>
        <w:adjustRightInd w:val="0"/>
        <w:spacing w:line="360" w:lineRule="auto"/>
        <w:ind w:firstLine="480" w:firstLineChars="200"/>
        <w:contextualSpacing/>
        <w:rPr>
          <w:rFonts w:ascii="宋体" w:hAnsi="宋体"/>
          <w:color w:val="000000"/>
          <w:kern w:val="0"/>
          <w:szCs w:val="21"/>
        </w:rPr>
      </w:pPr>
      <w:r>
        <w:rPr>
          <w:rFonts w:ascii="宋体" w:hAnsi="宋体" w:hint="eastAsia"/>
          <w:color w:val="000000"/>
          <w:kern w:val="0"/>
          <w:szCs w:val="21"/>
        </w:rPr>
        <w:t>（</w:t>
      </w:r>
      <w:r>
        <w:rPr>
          <w:rFonts w:ascii="宋体" w:hAnsi="宋体"/>
          <w:color w:val="000000"/>
          <w:kern w:val="0"/>
          <w:szCs w:val="21"/>
        </w:rPr>
        <w:t>7</w:t>
      </w:r>
      <w:r>
        <w:rPr>
          <w:rFonts w:ascii="宋体" w:hAnsi="宋体" w:hint="eastAsia"/>
          <w:color w:val="000000"/>
          <w:kern w:val="0"/>
          <w:szCs w:val="21"/>
        </w:rPr>
        <w:t>）投标人工程量清单缺漏项或未填单价或更改项目内容和工程量的工程项目视为该项费用已包括在其他有价款的单价内，不进行报价的修正，且在实施后将不予另行支付费用。</w:t>
      </w:r>
    </w:p>
    <w:p w:rsidR="007900F6">
      <w:pPr>
        <w:adjustRightInd w:val="0"/>
        <w:spacing w:line="360" w:lineRule="auto"/>
        <w:ind w:firstLine="480" w:firstLineChars="200"/>
        <w:contextualSpacing/>
        <w:rPr>
          <w:rFonts w:ascii="宋体" w:hAnsi="宋体"/>
          <w:color w:val="000000"/>
          <w:kern w:val="0"/>
          <w:szCs w:val="21"/>
        </w:rPr>
      </w:pPr>
      <w:r>
        <w:rPr>
          <w:rFonts w:ascii="宋体" w:hAnsi="宋体" w:hint="eastAsia"/>
          <w:color w:val="000000"/>
          <w:kern w:val="0"/>
          <w:szCs w:val="21"/>
        </w:rPr>
        <w:t>（</w:t>
      </w:r>
      <w:r>
        <w:rPr>
          <w:rFonts w:ascii="宋体" w:hAnsi="宋体"/>
          <w:color w:val="000000"/>
          <w:kern w:val="0"/>
          <w:szCs w:val="21"/>
        </w:rPr>
        <w:t>8</w:t>
      </w:r>
      <w:r>
        <w:rPr>
          <w:rFonts w:ascii="宋体" w:hAnsi="宋体" w:hint="eastAsia"/>
          <w:color w:val="000000"/>
          <w:kern w:val="0"/>
          <w:szCs w:val="21"/>
        </w:rPr>
        <w:t>）若同时出现上述多种修正时，以有利于采购人的原则进行。</w:t>
      </w:r>
    </w:p>
    <w:p w:rsidR="007900F6">
      <w:pPr>
        <w:adjustRightInd w:val="0"/>
        <w:spacing w:line="360" w:lineRule="auto"/>
        <w:ind w:firstLine="480" w:firstLineChars="200"/>
        <w:contextualSpacing/>
        <w:rPr>
          <w:rFonts w:ascii="宋体" w:hAnsi="宋体"/>
          <w:color w:val="000000"/>
          <w:kern w:val="0"/>
          <w:szCs w:val="21"/>
        </w:rPr>
      </w:pPr>
    </w:p>
    <w:p w:rsidR="007900F6">
      <w:pPr>
        <w:adjustRightInd w:val="0"/>
        <w:spacing w:line="360" w:lineRule="auto"/>
        <w:ind w:firstLine="480" w:firstLineChars="200"/>
        <w:contextualSpacing/>
        <w:rPr>
          <w:rFonts w:ascii="宋体" w:hAnsi="宋体"/>
          <w:color w:val="000000"/>
          <w:kern w:val="0"/>
          <w:szCs w:val="21"/>
        </w:rPr>
      </w:pPr>
    </w:p>
    <w:p w:rsidR="007900F6">
      <w:pPr>
        <w:adjustRightInd w:val="0"/>
        <w:spacing w:line="360" w:lineRule="auto"/>
        <w:ind w:firstLine="480" w:firstLineChars="200"/>
        <w:contextualSpacing/>
        <w:rPr>
          <w:rFonts w:ascii="宋体" w:hAnsi="宋体"/>
          <w:color w:val="000000"/>
          <w:kern w:val="0"/>
          <w:szCs w:val="21"/>
        </w:rPr>
      </w:pPr>
    </w:p>
    <w:p w:rsidR="007900F6">
      <w:pPr>
        <w:adjustRightInd w:val="0"/>
        <w:spacing w:line="360" w:lineRule="auto"/>
        <w:ind w:firstLine="480" w:firstLineChars="200"/>
        <w:contextualSpacing/>
        <w:rPr>
          <w:rFonts w:ascii="宋体" w:hAnsi="宋体"/>
          <w:color w:val="000000"/>
          <w:kern w:val="0"/>
          <w:szCs w:val="21"/>
        </w:rPr>
      </w:pPr>
    </w:p>
    <w:p w:rsidR="007900F6">
      <w:pPr>
        <w:pStyle w:val="Heading4"/>
        <w:snapToGrid w:val="0"/>
        <w:spacing w:before="0" w:after="0" w:line="360" w:lineRule="auto"/>
        <w:contextualSpacing/>
        <w:jc w:val="center"/>
        <w:rPr>
          <w:rFonts w:ascii="宋体" w:eastAsia="宋体" w:hAnsi="宋体"/>
          <w:b w:val="0"/>
          <w:color w:val="000000"/>
          <w:kern w:val="0"/>
          <w:sz w:val="21"/>
          <w:szCs w:val="21"/>
        </w:rPr>
      </w:pPr>
      <w:r>
        <w:rPr>
          <w:rFonts w:ascii="宋体" w:eastAsia="宋体" w:hAnsi="宋体" w:hint="eastAsia"/>
          <w:b w:val="0"/>
          <w:color w:val="000000"/>
          <w:kern w:val="0"/>
          <w:sz w:val="21"/>
          <w:szCs w:val="21"/>
        </w:rPr>
        <w:t>五、</w:t>
      </w:r>
      <w:r>
        <w:rPr>
          <w:rFonts w:ascii="宋体" w:eastAsia="宋体" w:hAnsi="宋体" w:hint="eastAsia"/>
          <w:b w:val="0"/>
          <w:sz w:val="21"/>
          <w:szCs w:val="21"/>
        </w:rPr>
        <w:t>技术规格偏离表</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6"/>
        <w:gridCol w:w="1356"/>
        <w:gridCol w:w="1356"/>
        <w:gridCol w:w="1356"/>
        <w:gridCol w:w="1484"/>
        <w:gridCol w:w="1530"/>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356" w:type="dxa"/>
          </w:tcPr>
          <w:p w:rsidR="007900F6">
            <w:pPr>
              <w:snapToGrid w:val="0"/>
              <w:spacing w:line="360" w:lineRule="auto"/>
              <w:rPr>
                <w:rFonts w:ascii="宋体" w:hAnsi="宋体"/>
                <w:szCs w:val="21"/>
              </w:rPr>
            </w:pPr>
            <w:r>
              <w:rPr>
                <w:rFonts w:ascii="宋体" w:hAnsi="宋体" w:hint="eastAsia"/>
                <w:szCs w:val="21"/>
              </w:rPr>
              <w:t>序号</w:t>
            </w:r>
          </w:p>
        </w:tc>
        <w:tc>
          <w:tcPr>
            <w:tcW w:w="1356" w:type="dxa"/>
          </w:tcPr>
          <w:p w:rsidR="007900F6">
            <w:pPr>
              <w:snapToGrid w:val="0"/>
              <w:spacing w:line="360" w:lineRule="auto"/>
              <w:rPr>
                <w:rFonts w:ascii="宋体" w:hAnsi="宋体"/>
                <w:szCs w:val="21"/>
              </w:rPr>
            </w:pPr>
            <w:r>
              <w:rPr>
                <w:rFonts w:ascii="宋体" w:hAnsi="宋体" w:hint="eastAsia"/>
                <w:szCs w:val="21"/>
              </w:rPr>
              <w:t>货物名称</w:t>
            </w:r>
          </w:p>
        </w:tc>
        <w:tc>
          <w:tcPr>
            <w:tcW w:w="1356" w:type="dxa"/>
          </w:tcPr>
          <w:p w:rsidR="007900F6">
            <w:pPr>
              <w:snapToGrid w:val="0"/>
              <w:spacing w:line="360" w:lineRule="auto"/>
              <w:rPr>
                <w:rFonts w:ascii="宋体" w:hAnsi="宋体"/>
                <w:szCs w:val="21"/>
              </w:rPr>
            </w:pPr>
            <w:r>
              <w:rPr>
                <w:rFonts w:ascii="宋体" w:hAnsi="宋体" w:hint="eastAsia"/>
                <w:szCs w:val="21"/>
              </w:rPr>
              <w:t>招标技术要求</w:t>
            </w:r>
          </w:p>
        </w:tc>
        <w:tc>
          <w:tcPr>
            <w:tcW w:w="1356" w:type="dxa"/>
          </w:tcPr>
          <w:p w:rsidR="007900F6">
            <w:pPr>
              <w:snapToGrid w:val="0"/>
              <w:spacing w:line="360" w:lineRule="auto"/>
              <w:rPr>
                <w:rFonts w:ascii="宋体" w:hAnsi="宋体"/>
                <w:szCs w:val="21"/>
              </w:rPr>
            </w:pPr>
            <w:r>
              <w:rPr>
                <w:rFonts w:ascii="宋体" w:hAnsi="宋体" w:hint="eastAsia"/>
                <w:szCs w:val="21"/>
              </w:rPr>
              <w:t>投标技术响应</w:t>
            </w:r>
          </w:p>
        </w:tc>
        <w:tc>
          <w:tcPr>
            <w:tcW w:w="1484" w:type="dxa"/>
          </w:tcPr>
          <w:p w:rsidR="007900F6">
            <w:pPr>
              <w:snapToGrid w:val="0"/>
              <w:spacing w:line="360" w:lineRule="auto"/>
              <w:rPr>
                <w:rFonts w:ascii="宋体" w:hAnsi="宋体"/>
                <w:szCs w:val="21"/>
              </w:rPr>
            </w:pPr>
            <w:r>
              <w:rPr>
                <w:rFonts w:ascii="宋体" w:hAnsi="宋体" w:hint="eastAsia"/>
                <w:szCs w:val="21"/>
              </w:rPr>
              <w:t>偏离情况</w:t>
            </w:r>
          </w:p>
        </w:tc>
        <w:tc>
          <w:tcPr>
            <w:tcW w:w="1530" w:type="dxa"/>
          </w:tcPr>
          <w:p w:rsidR="007900F6">
            <w:pPr>
              <w:snapToGrid w:val="0"/>
              <w:spacing w:line="360" w:lineRule="auto"/>
              <w:rPr>
                <w:rFonts w:ascii="宋体" w:hAnsi="宋体"/>
                <w:szCs w:val="21"/>
              </w:rPr>
            </w:pPr>
            <w:r>
              <w:rPr>
                <w:rFonts w:ascii="宋体" w:hAnsi="宋体" w:hint="eastAsia"/>
                <w:szCs w:val="21"/>
              </w:rPr>
              <w:t>说明</w:t>
            </w:r>
          </w:p>
        </w:tc>
      </w:tr>
      <w:tr>
        <w:tblPrEx>
          <w:tblW w:w="0" w:type="auto"/>
          <w:jc w:val="center"/>
          <w:tblInd w:w="0" w:type="dxa"/>
          <w:tblLayout w:type="fixed"/>
          <w:tblLook w:val="0000"/>
        </w:tblPrEx>
        <w:trPr>
          <w:jc w:val="center"/>
        </w:trPr>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484" w:type="dxa"/>
          </w:tcPr>
          <w:p w:rsidR="007900F6">
            <w:pPr>
              <w:snapToGrid w:val="0"/>
              <w:spacing w:line="360" w:lineRule="auto"/>
              <w:rPr>
                <w:rFonts w:ascii="宋体" w:hAnsi="宋体"/>
                <w:szCs w:val="21"/>
              </w:rPr>
            </w:pPr>
          </w:p>
        </w:tc>
        <w:tc>
          <w:tcPr>
            <w:tcW w:w="1530" w:type="dxa"/>
          </w:tcPr>
          <w:p w:rsidR="007900F6">
            <w:pPr>
              <w:snapToGrid w:val="0"/>
              <w:spacing w:line="360" w:lineRule="auto"/>
              <w:rPr>
                <w:rFonts w:ascii="宋体" w:hAnsi="宋体"/>
                <w:szCs w:val="21"/>
              </w:rPr>
            </w:pPr>
          </w:p>
        </w:tc>
      </w:tr>
      <w:tr>
        <w:tblPrEx>
          <w:tblW w:w="0" w:type="auto"/>
          <w:jc w:val="center"/>
          <w:tblInd w:w="0" w:type="dxa"/>
          <w:tblLayout w:type="fixed"/>
          <w:tblLook w:val="0000"/>
        </w:tblPrEx>
        <w:trPr>
          <w:jc w:val="center"/>
        </w:trPr>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484" w:type="dxa"/>
          </w:tcPr>
          <w:p w:rsidR="007900F6">
            <w:pPr>
              <w:snapToGrid w:val="0"/>
              <w:spacing w:line="360" w:lineRule="auto"/>
              <w:rPr>
                <w:rFonts w:ascii="宋体" w:hAnsi="宋体"/>
                <w:szCs w:val="21"/>
              </w:rPr>
            </w:pPr>
          </w:p>
        </w:tc>
        <w:tc>
          <w:tcPr>
            <w:tcW w:w="1530" w:type="dxa"/>
          </w:tcPr>
          <w:p w:rsidR="007900F6">
            <w:pPr>
              <w:snapToGrid w:val="0"/>
              <w:spacing w:line="360" w:lineRule="auto"/>
              <w:rPr>
                <w:rFonts w:ascii="宋体" w:hAnsi="宋体"/>
                <w:szCs w:val="21"/>
              </w:rPr>
            </w:pPr>
          </w:p>
        </w:tc>
      </w:tr>
      <w:tr>
        <w:tblPrEx>
          <w:tblW w:w="0" w:type="auto"/>
          <w:jc w:val="center"/>
          <w:tblInd w:w="0" w:type="dxa"/>
          <w:tblLayout w:type="fixed"/>
          <w:tblLook w:val="0000"/>
        </w:tblPrEx>
        <w:trPr>
          <w:jc w:val="center"/>
        </w:trPr>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484" w:type="dxa"/>
          </w:tcPr>
          <w:p w:rsidR="007900F6">
            <w:pPr>
              <w:snapToGrid w:val="0"/>
              <w:spacing w:line="360" w:lineRule="auto"/>
              <w:rPr>
                <w:rFonts w:ascii="宋体" w:hAnsi="宋体"/>
                <w:szCs w:val="21"/>
              </w:rPr>
            </w:pPr>
          </w:p>
        </w:tc>
        <w:tc>
          <w:tcPr>
            <w:tcW w:w="1530" w:type="dxa"/>
          </w:tcPr>
          <w:p w:rsidR="007900F6">
            <w:pPr>
              <w:snapToGrid w:val="0"/>
              <w:spacing w:line="360" w:lineRule="auto"/>
              <w:rPr>
                <w:rFonts w:ascii="宋体" w:hAnsi="宋体"/>
                <w:szCs w:val="21"/>
              </w:rPr>
            </w:pPr>
          </w:p>
        </w:tc>
      </w:tr>
      <w:tr>
        <w:tblPrEx>
          <w:tblW w:w="0" w:type="auto"/>
          <w:jc w:val="center"/>
          <w:tblInd w:w="0" w:type="dxa"/>
          <w:tblLayout w:type="fixed"/>
          <w:tblLook w:val="0000"/>
        </w:tblPrEx>
        <w:trPr>
          <w:jc w:val="center"/>
        </w:trPr>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484" w:type="dxa"/>
          </w:tcPr>
          <w:p w:rsidR="007900F6">
            <w:pPr>
              <w:snapToGrid w:val="0"/>
              <w:spacing w:line="360" w:lineRule="auto"/>
              <w:rPr>
                <w:rFonts w:ascii="宋体" w:hAnsi="宋体"/>
                <w:szCs w:val="21"/>
              </w:rPr>
            </w:pPr>
          </w:p>
        </w:tc>
        <w:tc>
          <w:tcPr>
            <w:tcW w:w="1530" w:type="dxa"/>
          </w:tcPr>
          <w:p w:rsidR="007900F6">
            <w:pPr>
              <w:snapToGrid w:val="0"/>
              <w:spacing w:line="360" w:lineRule="auto"/>
              <w:rPr>
                <w:rFonts w:ascii="宋体" w:hAnsi="宋体"/>
                <w:szCs w:val="21"/>
              </w:rPr>
            </w:pPr>
          </w:p>
        </w:tc>
      </w:tr>
      <w:tr>
        <w:tblPrEx>
          <w:tblW w:w="0" w:type="auto"/>
          <w:jc w:val="center"/>
          <w:tblInd w:w="0" w:type="dxa"/>
          <w:tblLayout w:type="fixed"/>
          <w:tblLook w:val="0000"/>
        </w:tblPrEx>
        <w:trPr>
          <w:jc w:val="center"/>
        </w:trPr>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484" w:type="dxa"/>
          </w:tcPr>
          <w:p w:rsidR="007900F6">
            <w:pPr>
              <w:snapToGrid w:val="0"/>
              <w:spacing w:line="360" w:lineRule="auto"/>
              <w:rPr>
                <w:rFonts w:ascii="宋体" w:hAnsi="宋体"/>
                <w:szCs w:val="21"/>
              </w:rPr>
            </w:pPr>
          </w:p>
        </w:tc>
        <w:tc>
          <w:tcPr>
            <w:tcW w:w="1530" w:type="dxa"/>
          </w:tcPr>
          <w:p w:rsidR="007900F6">
            <w:pPr>
              <w:snapToGrid w:val="0"/>
              <w:spacing w:line="360" w:lineRule="auto"/>
              <w:rPr>
                <w:rFonts w:ascii="宋体" w:hAnsi="宋体"/>
                <w:szCs w:val="21"/>
              </w:rPr>
            </w:pPr>
          </w:p>
        </w:tc>
      </w:tr>
      <w:tr>
        <w:tblPrEx>
          <w:tblW w:w="0" w:type="auto"/>
          <w:jc w:val="center"/>
          <w:tblInd w:w="0" w:type="dxa"/>
          <w:tblLayout w:type="fixed"/>
          <w:tblLook w:val="0000"/>
        </w:tblPrEx>
        <w:trPr>
          <w:jc w:val="center"/>
        </w:trPr>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356" w:type="dxa"/>
          </w:tcPr>
          <w:p w:rsidR="007900F6">
            <w:pPr>
              <w:snapToGrid w:val="0"/>
              <w:spacing w:line="360" w:lineRule="auto"/>
              <w:rPr>
                <w:rFonts w:ascii="宋体" w:hAnsi="宋体"/>
                <w:szCs w:val="21"/>
              </w:rPr>
            </w:pPr>
          </w:p>
        </w:tc>
        <w:tc>
          <w:tcPr>
            <w:tcW w:w="1484" w:type="dxa"/>
          </w:tcPr>
          <w:p w:rsidR="007900F6">
            <w:pPr>
              <w:snapToGrid w:val="0"/>
              <w:spacing w:line="360" w:lineRule="auto"/>
              <w:rPr>
                <w:rFonts w:ascii="宋体" w:hAnsi="宋体"/>
                <w:szCs w:val="21"/>
              </w:rPr>
            </w:pPr>
          </w:p>
        </w:tc>
        <w:tc>
          <w:tcPr>
            <w:tcW w:w="1530" w:type="dxa"/>
          </w:tcPr>
          <w:p w:rsidR="007900F6">
            <w:pPr>
              <w:snapToGrid w:val="0"/>
              <w:spacing w:line="360" w:lineRule="auto"/>
              <w:rPr>
                <w:rFonts w:ascii="宋体" w:hAnsi="宋体"/>
                <w:szCs w:val="21"/>
              </w:rPr>
            </w:pPr>
          </w:p>
        </w:tc>
      </w:tr>
    </w:tbl>
    <w:p w:rsidR="007900F6">
      <w:pPr>
        <w:snapToGrid w:val="0"/>
        <w:spacing w:line="360" w:lineRule="auto"/>
        <w:rPr>
          <w:rFonts w:ascii="宋体" w:hAnsi="宋体"/>
          <w:szCs w:val="21"/>
        </w:rPr>
      </w:pPr>
      <w:r>
        <w:rPr>
          <w:rFonts w:ascii="宋体" w:hAnsi="宋体" w:hint="eastAsia"/>
          <w:szCs w:val="21"/>
        </w:rPr>
        <w:t>备注：</w:t>
      </w:r>
    </w:p>
    <w:p w:rsidR="007900F6">
      <w:pPr>
        <w:snapToGrid w:val="0"/>
        <w:spacing w:line="360" w:lineRule="auto"/>
        <w:rPr>
          <w:rFonts w:ascii="宋体" w:hAnsi="宋体"/>
          <w:szCs w:val="21"/>
        </w:rPr>
      </w:pPr>
      <w:r>
        <w:rPr>
          <w:rFonts w:ascii="宋体" w:hAnsi="宋体" w:hint="eastAsia"/>
          <w:szCs w:val="21"/>
        </w:rPr>
        <w:t>1、“招标技术要求”一栏应填写招标文件第二章“具体技术要求”的内容；</w:t>
      </w:r>
    </w:p>
    <w:p w:rsidR="007900F6">
      <w:pPr>
        <w:snapToGrid w:val="0"/>
        <w:spacing w:line="360" w:lineRule="auto"/>
        <w:rPr>
          <w:rFonts w:ascii="宋体" w:hAnsi="宋体"/>
          <w:szCs w:val="21"/>
        </w:rPr>
      </w:pPr>
      <w:r>
        <w:rPr>
          <w:rFonts w:ascii="宋体" w:hAnsi="宋体" w:hint="eastAsia"/>
          <w:szCs w:val="21"/>
        </w:rPr>
        <w:t>2、“投标技术响应”一栏必须详细填写投标产品的具体参数，并应对照招标技术要求一一对应响应；</w:t>
      </w:r>
    </w:p>
    <w:p w:rsidR="007900F6">
      <w:pPr>
        <w:snapToGrid w:val="0"/>
        <w:spacing w:line="360" w:lineRule="auto"/>
        <w:rPr>
          <w:rFonts w:ascii="宋体" w:hAnsi="宋体"/>
          <w:szCs w:val="21"/>
        </w:rPr>
      </w:pPr>
      <w:r>
        <w:rPr>
          <w:rFonts w:ascii="宋体" w:hAnsi="宋体" w:hint="eastAsia"/>
          <w:szCs w:val="21"/>
        </w:rPr>
        <w:t>3、“偏离情况”一栏应如实填写“正偏离”、“负偏离”或“无偏离”。</w:t>
      </w:r>
    </w:p>
    <w:p w:rsidR="007900F6">
      <w:pPr>
        <w:snapToGrid w:val="0"/>
        <w:spacing w:line="360" w:lineRule="auto"/>
        <w:rPr>
          <w:rFonts w:ascii="宋体" w:hAnsi="宋体"/>
          <w:szCs w:val="21"/>
        </w:rPr>
      </w:pPr>
      <w:r>
        <w:rPr>
          <w:rFonts w:ascii="宋体" w:hAnsi="宋体" w:hint="eastAsia"/>
          <w:szCs w:val="21"/>
        </w:rPr>
        <w:t>4、投标人在《技术规格偏离表》填写的“投标技术响应”与《具体技术要求》的“招标技术要求”存在填写不全的情况，将被视为未实质性满足招标文件要求作投标无效处理。示例，“招标技术要求”共有10项参数，投标人只响应了9项，填写不全，则视为未实质性满足招标文件要求作投标无效处理。</w:t>
      </w:r>
    </w:p>
    <w:p w:rsidR="007900F6">
      <w:pPr>
        <w:snapToGrid w:val="0"/>
        <w:spacing w:line="360" w:lineRule="auto"/>
        <w:rPr>
          <w:rFonts w:ascii="宋体" w:hAnsi="宋体"/>
          <w:szCs w:val="21"/>
        </w:rPr>
      </w:pPr>
      <w:r>
        <w:rPr>
          <w:rFonts w:ascii="宋体" w:hAnsi="宋体" w:hint="eastAsia"/>
          <w:szCs w:val="21"/>
        </w:rPr>
        <w:t>5、投标人所填写的“偏离情况”与评审委员会判定不一致时，以评审委员会意见为主。另，判定结果不一致的参数超过一定数量的，则评分项“技术偏离情况”将不得分（即计为0分）。</w:t>
      </w:r>
    </w:p>
    <w:p w:rsidR="007900F6">
      <w:pPr>
        <w:snapToGrid w:val="0"/>
        <w:spacing w:line="360" w:lineRule="auto"/>
        <w:rPr>
          <w:rFonts w:ascii="宋体" w:hAnsi="宋体"/>
          <w:szCs w:val="21"/>
        </w:rPr>
      </w:pPr>
      <w:r>
        <w:rPr>
          <w:rFonts w:ascii="宋体" w:hAnsi="宋体" w:hint="eastAsia"/>
          <w:szCs w:val="21"/>
        </w:rPr>
        <w:t>一定数量的设置：</w:t>
      </w:r>
      <w:r>
        <w:rPr>
          <w:rFonts w:ascii="宋体" w:hAnsi="宋体"/>
          <w:szCs w:val="21"/>
        </w:rPr>
        <w:t xml:space="preserve"> </w:t>
      </w:r>
    </w:p>
    <w:p w:rsidR="007900F6">
      <w:pPr>
        <w:snapToGrid w:val="0"/>
        <w:spacing w:line="360" w:lineRule="auto"/>
        <w:rPr>
          <w:rFonts w:ascii="宋体" w:hAnsi="宋体"/>
          <w:szCs w:val="21"/>
        </w:rPr>
      </w:pPr>
      <w:r>
        <w:rPr>
          <w:rFonts w:ascii="宋体" w:hAnsi="宋体" w:hint="eastAsia"/>
          <w:szCs w:val="21"/>
        </w:rPr>
        <w:t>6、投标产品的技术参数应按《技术规格偏离表》中的要求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提供的证明资料显示产品参数信息不符合招标文件要求的，如果投标人偏离程度响应为“无偏离或正偏离”的，则应判断为负偏离；提供的证明材料模糊不清，导致评审专家无法判断的，如果投标人偏离程度响应为“无偏离或正偏离”的，则应判断为负偏离。若《技术规格偏离表》中未要求提供相应证明材料的，投标人可以不提供。</w:t>
      </w:r>
    </w:p>
    <w:p w:rsidR="007900F6">
      <w:pPr>
        <w:snapToGrid w:val="0"/>
        <w:spacing w:line="360" w:lineRule="auto"/>
        <w:rPr>
          <w:rFonts w:ascii="宋体" w:hAnsi="宋体"/>
          <w:szCs w:val="21"/>
        </w:rPr>
      </w:pPr>
      <w:r>
        <w:rPr>
          <w:rFonts w:ascii="宋体" w:hAnsi="宋体" w:hint="eastAsia"/>
          <w:szCs w:val="21"/>
        </w:rPr>
        <w:t>7、证明资料（均为扫描件）的提供要求：</w:t>
      </w:r>
    </w:p>
    <w:p w:rsidR="007900F6">
      <w:pPr>
        <w:snapToGrid w:val="0"/>
        <w:spacing w:line="360" w:lineRule="auto"/>
        <w:rPr>
          <w:rFonts w:ascii="宋体" w:hAnsi="宋体"/>
          <w:szCs w:val="21"/>
        </w:rPr>
      </w:pPr>
      <w:r>
        <w:rPr>
          <w:rFonts w:ascii="宋体" w:hAnsi="宋体" w:hint="eastAsia"/>
          <w:szCs w:val="21"/>
        </w:rPr>
        <w:t>（1）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7900F6">
      <w:pPr>
        <w:snapToGrid w:val="0"/>
        <w:spacing w:line="360" w:lineRule="auto"/>
        <w:rPr>
          <w:rFonts w:ascii="宋体" w:hAnsi="宋体"/>
          <w:szCs w:val="21"/>
        </w:rPr>
      </w:pPr>
      <w:r>
        <w:rPr>
          <w:rFonts w:ascii="宋体" w:hAnsi="宋体" w:hint="eastAsia"/>
          <w:szCs w:val="21"/>
        </w:rPr>
        <w:t>（2）我国政府机构出具的产品检验和核准证件应为证件正面、背面和附件标注的全部具体内容；产品检验和核准证件的尺寸和清晰度应该能够在电脑上被阅读、识别和判断。</w:t>
      </w:r>
    </w:p>
    <w:p w:rsidR="007900F6">
      <w:pPr>
        <w:adjustRightInd w:val="0"/>
        <w:snapToGrid w:val="0"/>
        <w:spacing w:line="360" w:lineRule="auto"/>
        <w:ind w:firstLine="480" w:firstLineChars="200"/>
        <w:contextualSpacing/>
        <w:rPr>
          <w:rFonts w:ascii="宋体" w:hAnsi="宋体"/>
          <w:color w:val="000000"/>
          <w:kern w:val="0"/>
          <w:szCs w:val="21"/>
        </w:rPr>
      </w:pPr>
    </w:p>
    <w:p w:rsidR="007900F6">
      <w:pPr>
        <w:adjustRightInd w:val="0"/>
        <w:snapToGrid w:val="0"/>
        <w:spacing w:line="360" w:lineRule="auto"/>
        <w:ind w:firstLine="480" w:firstLineChars="200"/>
        <w:contextualSpacing/>
        <w:rPr>
          <w:rFonts w:ascii="宋体" w:hAnsi="宋体"/>
          <w:color w:val="000000"/>
          <w:kern w:val="0"/>
          <w:szCs w:val="21"/>
        </w:rPr>
      </w:pPr>
    </w:p>
    <w:p w:rsidR="007900F6">
      <w:pPr>
        <w:adjustRightInd w:val="0"/>
        <w:snapToGrid w:val="0"/>
        <w:spacing w:line="360" w:lineRule="auto"/>
        <w:ind w:firstLine="480" w:firstLineChars="200"/>
        <w:contextualSpacing/>
        <w:rPr>
          <w:rFonts w:ascii="宋体" w:hAnsi="宋体"/>
          <w:color w:val="000000"/>
          <w:kern w:val="0"/>
          <w:szCs w:val="21"/>
        </w:rPr>
      </w:pPr>
    </w:p>
    <w:p w:rsidR="007900F6">
      <w:pPr>
        <w:adjustRightInd w:val="0"/>
        <w:snapToGrid w:val="0"/>
        <w:spacing w:line="360" w:lineRule="auto"/>
        <w:ind w:firstLine="480" w:firstLineChars="200"/>
        <w:contextualSpacing/>
        <w:rPr>
          <w:rFonts w:ascii="宋体" w:hAnsi="宋体"/>
          <w:color w:val="000000"/>
          <w:kern w:val="0"/>
          <w:szCs w:val="21"/>
        </w:rPr>
      </w:pPr>
    </w:p>
    <w:p w:rsidR="007900F6">
      <w:pPr>
        <w:pStyle w:val="Heading4"/>
        <w:spacing w:before="0" w:after="0" w:line="360" w:lineRule="auto"/>
        <w:contextualSpacing/>
        <w:jc w:val="center"/>
        <w:rPr>
          <w:rFonts w:ascii="黑体"/>
          <w:b w:val="0"/>
          <w:color w:val="000000"/>
          <w:kern w:val="0"/>
          <w:sz w:val="24"/>
          <w:szCs w:val="24"/>
        </w:rPr>
      </w:pPr>
      <w:r>
        <w:rPr>
          <w:rFonts w:ascii="黑体" w:hint="eastAsia"/>
          <w:b w:val="0"/>
          <w:color w:val="000000"/>
          <w:kern w:val="0"/>
          <w:sz w:val="24"/>
          <w:szCs w:val="24"/>
        </w:rPr>
        <w:t>五、其它内容格式自定</w:t>
      </w:r>
    </w:p>
    <w:p w:rsidR="007900F6">
      <w:pPr>
        <w:spacing w:line="360" w:lineRule="auto"/>
        <w:contextualSpacing/>
        <w:rPr>
          <w:color w:val="000000"/>
          <w:sz w:val="24"/>
        </w:rPr>
      </w:pPr>
    </w:p>
    <w:p w:rsidR="007900F6">
      <w:pPr>
        <w:widowControl/>
        <w:spacing w:line="360" w:lineRule="auto"/>
        <w:contextualSpacing/>
        <w:jc w:val="left"/>
        <w:rPr>
          <w:color w:val="000000"/>
          <w:sz w:val="24"/>
        </w:rPr>
      </w:pPr>
      <w:r>
        <w:rPr>
          <w:color w:val="000000"/>
          <w:sz w:val="24"/>
        </w:rPr>
        <w:br w:type="page"/>
      </w:r>
    </w:p>
    <w:p w:rsidR="007900F6">
      <w:pPr>
        <w:pStyle w:val="Heading2"/>
        <w:spacing w:before="0" w:after="0" w:line="360" w:lineRule="auto"/>
        <w:contextualSpacing/>
        <w:rPr>
          <w:color w:val="000000"/>
        </w:rPr>
      </w:pPr>
      <w:r>
        <w:rPr>
          <w:rFonts w:hint="eastAsia"/>
          <w:color w:val="000000"/>
          <w:kern w:val="2"/>
        </w:rPr>
        <w:t xml:space="preserve">第四章  </w:t>
      </w:r>
      <w:r>
        <w:rPr>
          <w:rFonts w:hint="eastAsia"/>
          <w:color w:val="000000"/>
        </w:rPr>
        <w:t>合同及履约情况反馈格式</w:t>
      </w:r>
    </w:p>
    <w:p w:rsidR="007900F6" w:rsidP="007900F6">
      <w:pPr>
        <w:spacing w:line="360" w:lineRule="auto"/>
        <w:ind w:firstLine="470" w:firstLineChars="196"/>
        <w:contextualSpacing/>
        <w:rPr>
          <w:color w:val="000000"/>
        </w:rPr>
      </w:pPr>
    </w:p>
    <w:p w:rsidR="007900F6">
      <w:pPr>
        <w:pStyle w:val="Heading3"/>
        <w:spacing w:before="0" w:after="0" w:line="360" w:lineRule="auto"/>
        <w:contextualSpacing/>
        <w:jc w:val="center"/>
        <w:rPr>
          <w:rFonts w:ascii="黑体" w:eastAsia="黑体"/>
          <w:b w:val="0"/>
          <w:color w:val="000000"/>
          <w:kern w:val="0"/>
          <w:sz w:val="24"/>
          <w:szCs w:val="24"/>
        </w:rPr>
      </w:pPr>
      <w:r>
        <w:rPr>
          <w:rFonts w:ascii="黑体" w:eastAsia="黑体" w:hint="eastAsia"/>
          <w:b w:val="0"/>
          <w:color w:val="000000"/>
          <w:kern w:val="0"/>
          <w:sz w:val="24"/>
          <w:szCs w:val="24"/>
        </w:rPr>
        <w:t>一、合同条款及格式（详见《深圳市建筑工程施工合同》范本）</w:t>
      </w:r>
    </w:p>
    <w:p w:rsidR="007900F6">
      <w:pPr>
        <w:spacing w:line="360" w:lineRule="auto"/>
        <w:ind w:firstLine="480" w:firstLineChars="200"/>
        <w:contextualSpacing/>
        <w:rPr>
          <w:rFonts w:ascii="宋体" w:hAnsi="宋体"/>
          <w:color w:val="000000"/>
          <w:szCs w:val="21"/>
        </w:rPr>
      </w:pPr>
    </w:p>
    <w:p w:rsidR="007900F6">
      <w:pPr>
        <w:pStyle w:val="Heading3"/>
        <w:spacing w:before="0" w:after="0" w:line="360" w:lineRule="auto"/>
        <w:contextualSpacing/>
        <w:jc w:val="center"/>
        <w:rPr>
          <w:rFonts w:ascii="黑体" w:eastAsia="黑体"/>
          <w:b w:val="0"/>
          <w:color w:val="000000"/>
          <w:kern w:val="0"/>
          <w:sz w:val="24"/>
          <w:szCs w:val="24"/>
        </w:rPr>
      </w:pPr>
      <w:r>
        <w:rPr>
          <w:rFonts w:ascii="黑体" w:eastAsia="黑体" w:hint="eastAsia"/>
          <w:b w:val="0"/>
          <w:color w:val="000000"/>
          <w:kern w:val="0"/>
          <w:sz w:val="24"/>
          <w:szCs w:val="24"/>
        </w:rPr>
        <w:t>二、政府采购履约情况反馈表</w:t>
      </w:r>
    </w:p>
    <w:p w:rsidR="007900F6">
      <w:pPr>
        <w:spacing w:line="360" w:lineRule="auto"/>
        <w:contextualSpacing/>
        <w:rPr>
          <w:rFonts w:ascii="宋体" w:hAnsi="宋体"/>
          <w:b/>
          <w:color w:val="000000"/>
          <w:szCs w:val="21"/>
        </w:rPr>
      </w:pPr>
      <w:r>
        <w:rPr>
          <w:rFonts w:ascii="宋体" w:hAnsi="宋体" w:hint="eastAsia"/>
          <w:b/>
          <w:color w:val="000000"/>
          <w:szCs w:val="21"/>
        </w:rPr>
        <w:t>采购人名称：                       联系人及电话：</w:t>
      </w:r>
    </w:p>
    <w:p w:rsidR="007900F6">
      <w:pPr>
        <w:spacing w:line="360" w:lineRule="auto"/>
        <w:contextualSpacing/>
        <w:rPr>
          <w:rFonts w:ascii="宋体" w:hAnsi="宋体"/>
          <w:b/>
          <w:color w:val="000000"/>
          <w:szCs w:val="21"/>
        </w:rPr>
      </w:pPr>
    </w:p>
    <w:tbl>
      <w:tblPr>
        <w:tblStyle w:val="TableNormal"/>
        <w:tblW w:w="8917" w:type="dxa"/>
        <w:jc w:val="center"/>
        <w:tblInd w:w="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842"/>
        <w:gridCol w:w="720"/>
        <w:gridCol w:w="720"/>
        <w:gridCol w:w="2520"/>
        <w:gridCol w:w="1980"/>
        <w:gridCol w:w="2135"/>
      </w:tblGrid>
      <w:tr>
        <w:tblPrEx>
          <w:tblW w:w="8917" w:type="dxa"/>
          <w:jc w:val="center"/>
          <w:tblInd w:w="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Ex>
        <w:trPr>
          <w:trHeight w:val="450"/>
          <w:jc w:val="center"/>
        </w:trPr>
        <w:tc>
          <w:tcPr>
            <w:tcW w:w="2282" w:type="dxa"/>
            <w:gridSpan w:val="3"/>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采购项目名称</w:t>
            </w:r>
          </w:p>
        </w:tc>
        <w:tc>
          <w:tcPr>
            <w:tcW w:w="2520" w:type="dxa"/>
            <w:vAlign w:val="center"/>
          </w:tcPr>
          <w:p w:rsidR="007900F6">
            <w:pPr>
              <w:spacing w:line="360" w:lineRule="auto"/>
              <w:contextualSpacing/>
              <w:jc w:val="center"/>
              <w:rPr>
                <w:rFonts w:ascii="宋体" w:hAnsi="宋体"/>
                <w:color w:val="000000"/>
                <w:szCs w:val="21"/>
              </w:rPr>
            </w:pPr>
          </w:p>
        </w:tc>
        <w:tc>
          <w:tcPr>
            <w:tcW w:w="1980" w:type="dxa"/>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项目编号</w:t>
            </w:r>
          </w:p>
        </w:tc>
        <w:tc>
          <w:tcPr>
            <w:tcW w:w="2135" w:type="dxa"/>
            <w:vAlign w:val="center"/>
          </w:tcPr>
          <w:p w:rsidR="007900F6">
            <w:pPr>
              <w:spacing w:line="360" w:lineRule="auto"/>
              <w:contextualSpacing/>
              <w:jc w:val="center"/>
              <w:rPr>
                <w:rFonts w:ascii="宋体" w:hAnsi="宋体"/>
                <w:color w:val="000000"/>
                <w:szCs w:val="21"/>
              </w:rPr>
            </w:pPr>
          </w:p>
        </w:tc>
      </w:tr>
      <w:tr>
        <w:tblPrEx>
          <w:tblW w:w="8917" w:type="dxa"/>
          <w:jc w:val="center"/>
          <w:tblInd w:w="0" w:type="dxa"/>
          <w:tblLayout w:type="fixed"/>
          <w:tblLook w:val="0000"/>
        </w:tblPrEx>
        <w:trPr>
          <w:trHeight w:val="461"/>
          <w:jc w:val="center"/>
        </w:trPr>
        <w:tc>
          <w:tcPr>
            <w:tcW w:w="2282" w:type="dxa"/>
            <w:gridSpan w:val="3"/>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中标供应商名称</w:t>
            </w:r>
          </w:p>
        </w:tc>
        <w:tc>
          <w:tcPr>
            <w:tcW w:w="2520" w:type="dxa"/>
            <w:vAlign w:val="center"/>
          </w:tcPr>
          <w:p w:rsidR="007900F6">
            <w:pPr>
              <w:spacing w:line="360" w:lineRule="auto"/>
              <w:contextualSpacing/>
              <w:jc w:val="center"/>
              <w:rPr>
                <w:rFonts w:ascii="宋体" w:hAnsi="宋体"/>
                <w:color w:val="000000"/>
                <w:szCs w:val="21"/>
              </w:rPr>
            </w:pPr>
          </w:p>
        </w:tc>
        <w:tc>
          <w:tcPr>
            <w:tcW w:w="1980" w:type="dxa"/>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供应商</w:t>
            </w:r>
          </w:p>
          <w:p w:rsidR="007900F6">
            <w:pPr>
              <w:spacing w:line="360" w:lineRule="auto"/>
              <w:contextualSpacing/>
              <w:jc w:val="center"/>
              <w:rPr>
                <w:rFonts w:ascii="宋体" w:hAnsi="宋体"/>
                <w:color w:val="000000"/>
                <w:szCs w:val="21"/>
              </w:rPr>
            </w:pPr>
            <w:r>
              <w:rPr>
                <w:rFonts w:ascii="宋体" w:hAnsi="宋体" w:hint="eastAsia"/>
                <w:color w:val="000000"/>
                <w:szCs w:val="21"/>
              </w:rPr>
              <w:t>联系人及电话</w:t>
            </w:r>
          </w:p>
        </w:tc>
        <w:tc>
          <w:tcPr>
            <w:tcW w:w="2135" w:type="dxa"/>
            <w:vAlign w:val="center"/>
          </w:tcPr>
          <w:p w:rsidR="007900F6">
            <w:pPr>
              <w:spacing w:line="360" w:lineRule="auto"/>
              <w:contextualSpacing/>
              <w:jc w:val="center"/>
              <w:rPr>
                <w:rFonts w:ascii="宋体" w:hAnsi="宋体"/>
                <w:color w:val="000000"/>
                <w:szCs w:val="21"/>
              </w:rPr>
            </w:pPr>
          </w:p>
        </w:tc>
      </w:tr>
      <w:tr>
        <w:tblPrEx>
          <w:tblW w:w="8917" w:type="dxa"/>
          <w:jc w:val="center"/>
          <w:tblInd w:w="0" w:type="dxa"/>
          <w:tblLayout w:type="fixed"/>
          <w:tblLook w:val="0000"/>
        </w:tblPrEx>
        <w:trPr>
          <w:trHeight w:val="438"/>
          <w:jc w:val="center"/>
        </w:trPr>
        <w:tc>
          <w:tcPr>
            <w:tcW w:w="2282" w:type="dxa"/>
            <w:gridSpan w:val="3"/>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中标金额</w:t>
            </w:r>
          </w:p>
        </w:tc>
        <w:tc>
          <w:tcPr>
            <w:tcW w:w="2520" w:type="dxa"/>
            <w:vAlign w:val="center"/>
          </w:tcPr>
          <w:p w:rsidR="007900F6">
            <w:pPr>
              <w:spacing w:line="360" w:lineRule="auto"/>
              <w:contextualSpacing/>
              <w:jc w:val="center"/>
              <w:rPr>
                <w:rFonts w:ascii="宋体" w:hAnsi="宋体"/>
                <w:color w:val="000000"/>
                <w:szCs w:val="21"/>
              </w:rPr>
            </w:pPr>
          </w:p>
        </w:tc>
        <w:tc>
          <w:tcPr>
            <w:tcW w:w="1980" w:type="dxa"/>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合同履约时间</w:t>
            </w:r>
          </w:p>
        </w:tc>
        <w:tc>
          <w:tcPr>
            <w:tcW w:w="2135" w:type="dxa"/>
            <w:vAlign w:val="center"/>
          </w:tcPr>
          <w:p w:rsidR="007900F6">
            <w:pPr>
              <w:spacing w:line="360" w:lineRule="auto"/>
              <w:contextualSpacing/>
              <w:rPr>
                <w:rFonts w:ascii="宋体" w:hAnsi="宋体"/>
                <w:color w:val="000000"/>
                <w:szCs w:val="21"/>
              </w:rPr>
            </w:pPr>
            <w:r>
              <w:rPr>
                <w:rFonts w:ascii="宋体" w:hAnsi="宋体" w:hint="eastAsia"/>
                <w:color w:val="000000"/>
                <w:szCs w:val="21"/>
              </w:rPr>
              <w:t>自       至</w:t>
            </w:r>
          </w:p>
        </w:tc>
      </w:tr>
      <w:tr>
        <w:tblPrEx>
          <w:tblW w:w="8917" w:type="dxa"/>
          <w:jc w:val="center"/>
          <w:tblInd w:w="0" w:type="dxa"/>
          <w:tblLayout w:type="fixed"/>
          <w:tblLook w:val="0000"/>
        </w:tblPrEx>
        <w:trPr>
          <w:trHeight w:val="544"/>
          <w:jc w:val="center"/>
        </w:trPr>
        <w:tc>
          <w:tcPr>
            <w:tcW w:w="842" w:type="dxa"/>
            <w:vMerge w:val="restart"/>
            <w:vAlign w:val="center"/>
          </w:tcPr>
          <w:p w:rsidR="007900F6">
            <w:pPr>
              <w:spacing w:line="360" w:lineRule="auto"/>
              <w:contextualSpacing/>
              <w:jc w:val="center"/>
              <w:rPr>
                <w:rFonts w:ascii="宋体" w:hAnsi="宋体"/>
                <w:b/>
                <w:color w:val="000000"/>
                <w:szCs w:val="21"/>
              </w:rPr>
            </w:pPr>
            <w:r>
              <w:rPr>
                <w:rFonts w:ascii="宋体" w:hAnsi="宋体" w:hint="eastAsia"/>
                <w:b/>
                <w:color w:val="000000"/>
                <w:szCs w:val="21"/>
              </w:rPr>
              <w:t>履约情况评价</w:t>
            </w:r>
          </w:p>
        </w:tc>
        <w:tc>
          <w:tcPr>
            <w:tcW w:w="1440" w:type="dxa"/>
            <w:gridSpan w:val="2"/>
            <w:tcBorders>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总体评价</w:t>
            </w:r>
          </w:p>
        </w:tc>
        <w:tc>
          <w:tcPr>
            <w:tcW w:w="6635" w:type="dxa"/>
            <w:gridSpan w:val="3"/>
            <w:tcBorders>
              <w:left w:val="single" w:sz="4" w:space="0" w:color="auto"/>
            </w:tcBorders>
            <w:vAlign w:val="center"/>
          </w:tcPr>
          <w:p w:rsidR="007900F6">
            <w:pPr>
              <w:spacing w:line="360" w:lineRule="auto"/>
              <w:ind w:firstLine="120" w:firstLineChars="50"/>
              <w:contextualSpacing/>
              <w:jc w:val="center"/>
              <w:rPr>
                <w:rFonts w:ascii="宋体" w:hAnsi="宋体"/>
                <w:color w:val="000000"/>
                <w:szCs w:val="21"/>
              </w:rPr>
            </w:pPr>
            <w:r>
              <w:rPr>
                <w:rFonts w:ascii="宋体" w:hAnsi="宋体" w:hint="eastAsia"/>
                <w:color w:val="000000"/>
                <w:szCs w:val="21"/>
              </w:rPr>
              <w:t>□ 优          □ 良          □ 中           □ 差</w:t>
            </w:r>
          </w:p>
        </w:tc>
      </w:tr>
      <w:tr>
        <w:tblPrEx>
          <w:tblW w:w="8917" w:type="dxa"/>
          <w:jc w:val="center"/>
          <w:tblInd w:w="0" w:type="dxa"/>
          <w:tblLayout w:type="fixed"/>
          <w:tblLook w:val="0000"/>
        </w:tblPrEx>
        <w:trPr>
          <w:trHeight w:val="458"/>
          <w:jc w:val="center"/>
        </w:trPr>
        <w:tc>
          <w:tcPr>
            <w:tcW w:w="842" w:type="dxa"/>
            <w:vMerge/>
            <w:vAlign w:val="center"/>
          </w:tcPr>
          <w:p w:rsidR="007900F6">
            <w:pPr>
              <w:spacing w:line="360" w:lineRule="auto"/>
              <w:contextualSpacing/>
              <w:jc w:val="center"/>
              <w:rPr>
                <w:rFonts w:ascii="宋体" w:hAnsi="宋体"/>
                <w:color w:val="000000"/>
                <w:szCs w:val="21"/>
              </w:rPr>
            </w:pPr>
          </w:p>
        </w:tc>
        <w:tc>
          <w:tcPr>
            <w:tcW w:w="720" w:type="dxa"/>
            <w:vMerge w:val="restart"/>
            <w:tcBorders>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分项评价</w:t>
            </w:r>
          </w:p>
        </w:tc>
        <w:tc>
          <w:tcPr>
            <w:tcW w:w="720" w:type="dxa"/>
            <w:tcBorders>
              <w:left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质量方面</w:t>
            </w:r>
          </w:p>
        </w:tc>
        <w:tc>
          <w:tcPr>
            <w:tcW w:w="6635" w:type="dxa"/>
            <w:gridSpan w:val="3"/>
            <w:tcBorders>
              <w:lef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 xml:space="preserve"> □ 优          □ 良          □ 中           □ 差</w:t>
            </w:r>
          </w:p>
        </w:tc>
      </w:tr>
      <w:tr>
        <w:tblPrEx>
          <w:tblW w:w="8917" w:type="dxa"/>
          <w:jc w:val="center"/>
          <w:tblInd w:w="0" w:type="dxa"/>
          <w:tblLayout w:type="fixed"/>
          <w:tblLook w:val="0000"/>
        </w:tblPrEx>
        <w:trPr>
          <w:trHeight w:val="458"/>
          <w:jc w:val="center"/>
        </w:trPr>
        <w:tc>
          <w:tcPr>
            <w:tcW w:w="842" w:type="dxa"/>
            <w:vMerge/>
            <w:vAlign w:val="center"/>
          </w:tcPr>
          <w:p w:rsidR="007900F6">
            <w:pPr>
              <w:spacing w:line="360" w:lineRule="auto"/>
              <w:contextualSpacing/>
              <w:jc w:val="center"/>
              <w:rPr>
                <w:rFonts w:ascii="宋体" w:hAnsi="宋体"/>
                <w:color w:val="000000"/>
                <w:szCs w:val="21"/>
              </w:rPr>
            </w:pPr>
          </w:p>
        </w:tc>
        <w:tc>
          <w:tcPr>
            <w:tcW w:w="720" w:type="dxa"/>
            <w:vMerge/>
            <w:tcBorders>
              <w:right w:val="single" w:sz="4" w:space="0" w:color="auto"/>
            </w:tcBorders>
            <w:vAlign w:val="center"/>
          </w:tcPr>
          <w:p w:rsidR="007900F6">
            <w:pPr>
              <w:spacing w:line="360" w:lineRule="auto"/>
              <w:contextualSpacing/>
              <w:jc w:val="center"/>
              <w:rPr>
                <w:rFonts w:ascii="宋体" w:hAnsi="宋体"/>
                <w:color w:val="000000"/>
                <w:szCs w:val="21"/>
              </w:rPr>
            </w:pPr>
          </w:p>
        </w:tc>
        <w:tc>
          <w:tcPr>
            <w:tcW w:w="720" w:type="dxa"/>
            <w:tcBorders>
              <w:left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价格方面</w:t>
            </w:r>
          </w:p>
        </w:tc>
        <w:tc>
          <w:tcPr>
            <w:tcW w:w="6635" w:type="dxa"/>
            <w:gridSpan w:val="3"/>
            <w:tcBorders>
              <w:lef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 xml:space="preserve"> □ 优          □ 良          □ 中           □ 差</w:t>
            </w:r>
          </w:p>
        </w:tc>
      </w:tr>
      <w:tr>
        <w:tblPrEx>
          <w:tblW w:w="8917" w:type="dxa"/>
          <w:jc w:val="center"/>
          <w:tblInd w:w="0" w:type="dxa"/>
          <w:tblLayout w:type="fixed"/>
          <w:tblLook w:val="0000"/>
        </w:tblPrEx>
        <w:trPr>
          <w:trHeight w:val="458"/>
          <w:jc w:val="center"/>
        </w:trPr>
        <w:tc>
          <w:tcPr>
            <w:tcW w:w="842" w:type="dxa"/>
            <w:vMerge/>
            <w:vAlign w:val="center"/>
          </w:tcPr>
          <w:p w:rsidR="007900F6">
            <w:pPr>
              <w:spacing w:line="360" w:lineRule="auto"/>
              <w:contextualSpacing/>
              <w:jc w:val="center"/>
              <w:rPr>
                <w:rFonts w:ascii="宋体" w:hAnsi="宋体"/>
                <w:color w:val="000000"/>
                <w:szCs w:val="21"/>
              </w:rPr>
            </w:pPr>
          </w:p>
        </w:tc>
        <w:tc>
          <w:tcPr>
            <w:tcW w:w="720" w:type="dxa"/>
            <w:vMerge/>
            <w:tcBorders>
              <w:right w:val="single" w:sz="4" w:space="0" w:color="auto"/>
            </w:tcBorders>
            <w:vAlign w:val="center"/>
          </w:tcPr>
          <w:p w:rsidR="007900F6">
            <w:pPr>
              <w:spacing w:line="360" w:lineRule="auto"/>
              <w:contextualSpacing/>
              <w:jc w:val="center"/>
              <w:rPr>
                <w:rFonts w:ascii="宋体" w:hAnsi="宋体"/>
                <w:color w:val="000000"/>
                <w:szCs w:val="21"/>
              </w:rPr>
            </w:pPr>
          </w:p>
        </w:tc>
        <w:tc>
          <w:tcPr>
            <w:tcW w:w="720" w:type="dxa"/>
            <w:tcBorders>
              <w:left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服务方面</w:t>
            </w:r>
          </w:p>
        </w:tc>
        <w:tc>
          <w:tcPr>
            <w:tcW w:w="6635" w:type="dxa"/>
            <w:gridSpan w:val="3"/>
            <w:tcBorders>
              <w:lef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 xml:space="preserve"> □ 优          □ 良          □ 中           □ 差</w:t>
            </w:r>
          </w:p>
        </w:tc>
      </w:tr>
      <w:tr>
        <w:tblPrEx>
          <w:tblW w:w="8917" w:type="dxa"/>
          <w:jc w:val="center"/>
          <w:tblInd w:w="0" w:type="dxa"/>
          <w:tblLayout w:type="fixed"/>
          <w:tblLook w:val="0000"/>
        </w:tblPrEx>
        <w:trPr>
          <w:trHeight w:val="458"/>
          <w:jc w:val="center"/>
        </w:trPr>
        <w:tc>
          <w:tcPr>
            <w:tcW w:w="842" w:type="dxa"/>
            <w:vMerge/>
            <w:vAlign w:val="center"/>
          </w:tcPr>
          <w:p w:rsidR="007900F6">
            <w:pPr>
              <w:spacing w:line="360" w:lineRule="auto"/>
              <w:contextualSpacing/>
              <w:jc w:val="center"/>
              <w:rPr>
                <w:rFonts w:ascii="宋体" w:hAnsi="宋体"/>
                <w:color w:val="000000"/>
                <w:szCs w:val="21"/>
              </w:rPr>
            </w:pPr>
          </w:p>
        </w:tc>
        <w:tc>
          <w:tcPr>
            <w:tcW w:w="720" w:type="dxa"/>
            <w:vMerge/>
            <w:tcBorders>
              <w:right w:val="single" w:sz="4" w:space="0" w:color="auto"/>
            </w:tcBorders>
            <w:vAlign w:val="center"/>
          </w:tcPr>
          <w:p w:rsidR="007900F6">
            <w:pPr>
              <w:spacing w:line="360" w:lineRule="auto"/>
              <w:contextualSpacing/>
              <w:jc w:val="center"/>
              <w:rPr>
                <w:rFonts w:ascii="宋体" w:hAnsi="宋体"/>
                <w:color w:val="000000"/>
                <w:szCs w:val="21"/>
              </w:rPr>
            </w:pPr>
          </w:p>
        </w:tc>
        <w:tc>
          <w:tcPr>
            <w:tcW w:w="720" w:type="dxa"/>
            <w:tcBorders>
              <w:left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时间方面</w:t>
            </w:r>
          </w:p>
        </w:tc>
        <w:tc>
          <w:tcPr>
            <w:tcW w:w="6635" w:type="dxa"/>
            <w:gridSpan w:val="3"/>
            <w:tcBorders>
              <w:lef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 xml:space="preserve"> □ 优          □ 良          □ 中           □ 差</w:t>
            </w:r>
          </w:p>
        </w:tc>
      </w:tr>
      <w:tr>
        <w:tblPrEx>
          <w:tblW w:w="8917" w:type="dxa"/>
          <w:jc w:val="center"/>
          <w:tblInd w:w="0" w:type="dxa"/>
          <w:tblLayout w:type="fixed"/>
          <w:tblLook w:val="0000"/>
        </w:tblPrEx>
        <w:trPr>
          <w:trHeight w:val="458"/>
          <w:jc w:val="center"/>
        </w:trPr>
        <w:tc>
          <w:tcPr>
            <w:tcW w:w="842" w:type="dxa"/>
            <w:vMerge/>
            <w:vAlign w:val="center"/>
          </w:tcPr>
          <w:p w:rsidR="007900F6">
            <w:pPr>
              <w:spacing w:line="360" w:lineRule="auto"/>
              <w:contextualSpacing/>
              <w:jc w:val="center"/>
              <w:rPr>
                <w:rFonts w:ascii="宋体" w:hAnsi="宋体"/>
                <w:color w:val="000000"/>
                <w:szCs w:val="21"/>
              </w:rPr>
            </w:pPr>
          </w:p>
        </w:tc>
        <w:tc>
          <w:tcPr>
            <w:tcW w:w="720" w:type="dxa"/>
            <w:vMerge/>
            <w:tcBorders>
              <w:right w:val="single" w:sz="4" w:space="0" w:color="auto"/>
            </w:tcBorders>
            <w:vAlign w:val="center"/>
          </w:tcPr>
          <w:p w:rsidR="007900F6">
            <w:pPr>
              <w:spacing w:line="360" w:lineRule="auto"/>
              <w:contextualSpacing/>
              <w:jc w:val="center"/>
              <w:rPr>
                <w:rFonts w:ascii="宋体" w:hAnsi="宋体"/>
                <w:color w:val="000000"/>
                <w:szCs w:val="21"/>
              </w:rPr>
            </w:pPr>
          </w:p>
        </w:tc>
        <w:tc>
          <w:tcPr>
            <w:tcW w:w="720" w:type="dxa"/>
            <w:tcBorders>
              <w:left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环境保护</w:t>
            </w:r>
          </w:p>
        </w:tc>
        <w:tc>
          <w:tcPr>
            <w:tcW w:w="6635" w:type="dxa"/>
            <w:gridSpan w:val="3"/>
            <w:tcBorders>
              <w:lef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 xml:space="preserve"> □ 优          □ 良          □ 中           □ 差</w:t>
            </w:r>
          </w:p>
        </w:tc>
      </w:tr>
      <w:tr>
        <w:tblPrEx>
          <w:tblW w:w="8917" w:type="dxa"/>
          <w:jc w:val="center"/>
          <w:tblInd w:w="0" w:type="dxa"/>
          <w:tblLayout w:type="fixed"/>
          <w:tblLook w:val="0000"/>
        </w:tblPrEx>
        <w:trPr>
          <w:trHeight w:val="458"/>
          <w:jc w:val="center"/>
        </w:trPr>
        <w:tc>
          <w:tcPr>
            <w:tcW w:w="842" w:type="dxa"/>
            <w:vMerge/>
            <w:vAlign w:val="center"/>
          </w:tcPr>
          <w:p w:rsidR="007900F6">
            <w:pPr>
              <w:spacing w:line="360" w:lineRule="auto"/>
              <w:contextualSpacing/>
              <w:jc w:val="center"/>
              <w:rPr>
                <w:rFonts w:ascii="宋体" w:hAnsi="宋体"/>
                <w:color w:val="000000"/>
                <w:szCs w:val="21"/>
              </w:rPr>
            </w:pPr>
          </w:p>
        </w:tc>
        <w:tc>
          <w:tcPr>
            <w:tcW w:w="720" w:type="dxa"/>
            <w:vMerge/>
            <w:tcBorders>
              <w:right w:val="single" w:sz="4" w:space="0" w:color="auto"/>
            </w:tcBorders>
            <w:vAlign w:val="center"/>
          </w:tcPr>
          <w:p w:rsidR="007900F6">
            <w:pPr>
              <w:spacing w:line="360" w:lineRule="auto"/>
              <w:contextualSpacing/>
              <w:jc w:val="center"/>
              <w:rPr>
                <w:rFonts w:ascii="宋体" w:hAnsi="宋体"/>
                <w:color w:val="000000"/>
                <w:szCs w:val="21"/>
              </w:rPr>
            </w:pPr>
          </w:p>
        </w:tc>
        <w:tc>
          <w:tcPr>
            <w:tcW w:w="720" w:type="dxa"/>
            <w:tcBorders>
              <w:left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其他</w:t>
            </w:r>
          </w:p>
        </w:tc>
        <w:tc>
          <w:tcPr>
            <w:tcW w:w="6635" w:type="dxa"/>
            <w:gridSpan w:val="3"/>
            <w:tcBorders>
              <w:left w:val="single" w:sz="4" w:space="0" w:color="auto"/>
            </w:tcBorders>
            <w:vAlign w:val="center"/>
          </w:tcPr>
          <w:p w:rsidR="007900F6">
            <w:pPr>
              <w:spacing w:line="360" w:lineRule="auto"/>
              <w:contextualSpacing/>
              <w:rPr>
                <w:rFonts w:ascii="宋体" w:hAnsi="宋体"/>
                <w:color w:val="000000"/>
                <w:szCs w:val="21"/>
                <w:u w:val="single"/>
              </w:rPr>
            </w:pPr>
            <w:r>
              <w:rPr>
                <w:rFonts w:ascii="宋体" w:hAnsi="宋体" w:hint="eastAsia"/>
                <w:color w:val="000000"/>
                <w:szCs w:val="21"/>
              </w:rPr>
              <w:t>评价内容为：</w:t>
            </w:r>
            <w:r>
              <w:rPr>
                <w:rFonts w:ascii="宋体" w:hAnsi="宋体" w:hint="eastAsia"/>
                <w:color w:val="000000"/>
                <w:szCs w:val="21"/>
                <w:u w:val="single"/>
              </w:rPr>
              <w:t xml:space="preserve">                    </w:t>
            </w:r>
          </w:p>
          <w:p w:rsidR="007900F6">
            <w:pPr>
              <w:spacing w:line="360" w:lineRule="auto"/>
              <w:contextualSpacing/>
              <w:rPr>
                <w:rFonts w:ascii="宋体" w:hAnsi="宋体"/>
                <w:color w:val="000000"/>
                <w:szCs w:val="21"/>
              </w:rPr>
            </w:pPr>
            <w:r>
              <w:rPr>
                <w:rFonts w:ascii="宋体" w:hAnsi="宋体" w:hint="eastAsia"/>
                <w:color w:val="000000"/>
                <w:szCs w:val="21"/>
              </w:rPr>
              <w:t>评价等级为：  □ 优       □ 良        □ 中         □ 差</w:t>
            </w:r>
          </w:p>
        </w:tc>
      </w:tr>
      <w:tr>
        <w:tblPrEx>
          <w:tblW w:w="8917" w:type="dxa"/>
          <w:jc w:val="center"/>
          <w:tblInd w:w="0" w:type="dxa"/>
          <w:tblLayout w:type="fixed"/>
          <w:tblLook w:val="0000"/>
        </w:tblPrEx>
        <w:trPr>
          <w:trHeight w:val="1798"/>
          <w:jc w:val="center"/>
        </w:trPr>
        <w:tc>
          <w:tcPr>
            <w:tcW w:w="1562" w:type="dxa"/>
            <w:gridSpan w:val="2"/>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具体情况说明</w:t>
            </w:r>
          </w:p>
        </w:tc>
        <w:tc>
          <w:tcPr>
            <w:tcW w:w="7355" w:type="dxa"/>
            <w:gridSpan w:val="4"/>
          </w:tcPr>
          <w:p w:rsidR="007900F6">
            <w:pPr>
              <w:spacing w:line="360" w:lineRule="auto"/>
              <w:contextualSpacing/>
              <w:rPr>
                <w:rFonts w:ascii="宋体" w:hAnsi="宋体"/>
                <w:color w:val="000000"/>
                <w:szCs w:val="21"/>
              </w:rPr>
            </w:pPr>
          </w:p>
          <w:p w:rsidR="007900F6">
            <w:pPr>
              <w:spacing w:line="360" w:lineRule="auto"/>
              <w:contextualSpacing/>
              <w:rPr>
                <w:rFonts w:ascii="宋体" w:hAnsi="宋体"/>
                <w:color w:val="000000"/>
                <w:szCs w:val="21"/>
              </w:rPr>
            </w:pPr>
          </w:p>
          <w:p w:rsidR="007900F6">
            <w:pPr>
              <w:spacing w:line="360" w:lineRule="auto"/>
              <w:contextualSpacing/>
              <w:rPr>
                <w:rFonts w:ascii="宋体" w:hAnsi="宋体"/>
                <w:color w:val="000000"/>
                <w:szCs w:val="21"/>
              </w:rPr>
            </w:pPr>
          </w:p>
          <w:p w:rsidR="007900F6">
            <w:pPr>
              <w:spacing w:line="360" w:lineRule="auto"/>
              <w:contextualSpacing/>
              <w:rPr>
                <w:rFonts w:ascii="宋体" w:hAnsi="宋体"/>
                <w:color w:val="000000"/>
                <w:szCs w:val="21"/>
              </w:rPr>
            </w:pPr>
          </w:p>
          <w:p w:rsidR="007900F6">
            <w:pPr>
              <w:spacing w:line="360" w:lineRule="auto"/>
              <w:contextualSpacing/>
              <w:rPr>
                <w:rFonts w:ascii="宋体" w:hAnsi="宋体"/>
                <w:color w:val="000000"/>
                <w:szCs w:val="21"/>
              </w:rPr>
            </w:pPr>
          </w:p>
        </w:tc>
      </w:tr>
      <w:tr>
        <w:tblPrEx>
          <w:tblW w:w="8917" w:type="dxa"/>
          <w:jc w:val="center"/>
          <w:tblInd w:w="0" w:type="dxa"/>
          <w:tblLayout w:type="fixed"/>
          <w:tblLook w:val="0000"/>
        </w:tblPrEx>
        <w:trPr>
          <w:trHeight w:val="1668"/>
          <w:jc w:val="center"/>
        </w:trPr>
        <w:tc>
          <w:tcPr>
            <w:tcW w:w="1562" w:type="dxa"/>
            <w:gridSpan w:val="2"/>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采购人意见</w:t>
            </w:r>
          </w:p>
          <w:p w:rsidR="007900F6">
            <w:pPr>
              <w:spacing w:line="360" w:lineRule="auto"/>
              <w:contextualSpacing/>
              <w:jc w:val="center"/>
              <w:rPr>
                <w:rFonts w:ascii="宋体" w:hAnsi="宋体"/>
                <w:color w:val="000000"/>
                <w:szCs w:val="21"/>
              </w:rPr>
            </w:pPr>
            <w:r>
              <w:rPr>
                <w:rFonts w:ascii="宋体" w:hAnsi="宋体" w:hint="eastAsia"/>
                <w:color w:val="000000"/>
                <w:szCs w:val="21"/>
              </w:rPr>
              <w:t>（公章）</w:t>
            </w:r>
          </w:p>
        </w:tc>
        <w:tc>
          <w:tcPr>
            <w:tcW w:w="7355" w:type="dxa"/>
            <w:gridSpan w:val="4"/>
            <w:vAlign w:val="center"/>
          </w:tcPr>
          <w:p w:rsidR="007900F6">
            <w:pPr>
              <w:spacing w:line="360" w:lineRule="auto"/>
              <w:contextualSpacing/>
              <w:rPr>
                <w:rFonts w:ascii="宋体" w:hAnsi="宋体"/>
                <w:color w:val="000000"/>
                <w:szCs w:val="21"/>
              </w:rPr>
            </w:pPr>
          </w:p>
          <w:p w:rsidR="007900F6">
            <w:pPr>
              <w:spacing w:line="360" w:lineRule="auto"/>
              <w:contextualSpacing/>
              <w:rPr>
                <w:rFonts w:ascii="宋体" w:hAnsi="宋体"/>
                <w:color w:val="000000"/>
                <w:szCs w:val="21"/>
              </w:rPr>
            </w:pPr>
            <w:r>
              <w:rPr>
                <w:rFonts w:ascii="宋体" w:hAnsi="宋体" w:hint="eastAsia"/>
                <w:color w:val="000000"/>
                <w:szCs w:val="21"/>
              </w:rPr>
              <w:t xml:space="preserve">                                        </w:t>
            </w:r>
          </w:p>
          <w:p w:rsidR="007900F6">
            <w:pPr>
              <w:spacing w:line="360" w:lineRule="auto"/>
              <w:ind w:firstLine="4320" w:firstLineChars="1800"/>
              <w:contextualSpacing/>
              <w:rPr>
                <w:rFonts w:ascii="宋体" w:hAnsi="宋体"/>
                <w:color w:val="000000"/>
                <w:szCs w:val="21"/>
              </w:rPr>
            </w:pPr>
          </w:p>
          <w:p w:rsidR="007900F6">
            <w:pPr>
              <w:spacing w:line="360" w:lineRule="auto"/>
              <w:ind w:firstLine="4320" w:firstLineChars="1800"/>
              <w:contextualSpacing/>
              <w:rPr>
                <w:rFonts w:ascii="宋体" w:hAnsi="宋体"/>
                <w:color w:val="000000"/>
                <w:szCs w:val="21"/>
              </w:rPr>
            </w:pPr>
            <w:r>
              <w:rPr>
                <w:rFonts w:ascii="宋体" w:hAnsi="宋体" w:hint="eastAsia"/>
                <w:color w:val="000000"/>
                <w:szCs w:val="21"/>
              </w:rPr>
              <w:t>日期：   年   月   日</w:t>
            </w:r>
          </w:p>
        </w:tc>
      </w:tr>
    </w:tbl>
    <w:p w:rsidR="007900F6">
      <w:pPr>
        <w:spacing w:line="360" w:lineRule="auto"/>
        <w:contextualSpacing/>
        <w:rPr>
          <w:rFonts w:ascii="宋体" w:hAnsi="宋体"/>
          <w:color w:val="000000"/>
          <w:szCs w:val="21"/>
        </w:rPr>
      </w:pPr>
      <w:r>
        <w:rPr>
          <w:rFonts w:ascii="宋体" w:hAnsi="宋体" w:hint="eastAsia"/>
          <w:color w:val="000000"/>
          <w:szCs w:val="21"/>
        </w:rPr>
        <w:t>说明：</w:t>
      </w:r>
    </w:p>
    <w:p w:rsidR="007900F6">
      <w:pPr>
        <w:spacing w:line="360" w:lineRule="auto"/>
        <w:contextualSpacing/>
        <w:rPr>
          <w:rFonts w:ascii="宋体" w:hAnsi="宋体"/>
          <w:color w:val="000000"/>
          <w:szCs w:val="21"/>
        </w:rPr>
      </w:pPr>
      <w:r>
        <w:rPr>
          <w:rFonts w:ascii="宋体" w:hAnsi="宋体" w:hint="eastAsia"/>
          <w:color w:val="000000"/>
          <w:szCs w:val="21"/>
        </w:rPr>
        <w:t>1、本表为采购人向深圳市政府采购中心反映政府采购项目履约情况时所用；</w:t>
      </w:r>
    </w:p>
    <w:p w:rsidR="007900F6">
      <w:pPr>
        <w:spacing w:line="360" w:lineRule="auto"/>
        <w:contextualSpacing/>
        <w:rPr>
          <w:rFonts w:ascii="宋体" w:hAnsi="宋体"/>
          <w:color w:val="000000"/>
          <w:szCs w:val="21"/>
        </w:rPr>
      </w:pPr>
      <w:r>
        <w:rPr>
          <w:rFonts w:ascii="宋体" w:hAnsi="宋体" w:hint="eastAsia"/>
          <w:color w:val="000000"/>
          <w:szCs w:val="21"/>
        </w:rPr>
        <w:t>2、履约情况评价分为优、良、中、差四个等级，请在对应的框前打“√”，然后在“具体情况说明”一栏详细说明有关情况。</w:t>
      </w:r>
    </w:p>
    <w:p w:rsidR="007900F6">
      <w:pPr>
        <w:widowControl/>
        <w:spacing w:line="360" w:lineRule="auto"/>
        <w:contextualSpacing/>
        <w:jc w:val="left"/>
        <w:rPr>
          <w:rFonts w:ascii="宋体" w:hAnsi="宋体"/>
          <w:b/>
          <w:bCs/>
          <w:color w:val="000000"/>
          <w:kern w:val="0"/>
          <w:sz w:val="36"/>
          <w:szCs w:val="36"/>
        </w:rPr>
      </w:pPr>
    </w:p>
    <w:p w:rsidR="007900F6">
      <w:pPr>
        <w:pStyle w:val="Heading2"/>
        <w:spacing w:before="0" w:after="0" w:line="360" w:lineRule="auto"/>
        <w:contextualSpacing/>
        <w:rPr>
          <w:color w:val="000000"/>
        </w:rPr>
      </w:pPr>
      <w:r>
        <w:rPr>
          <w:rFonts w:hint="eastAsia"/>
          <w:color w:val="000000"/>
        </w:rPr>
        <w:t>第五章  招标代理服务费</w:t>
      </w:r>
    </w:p>
    <w:p w:rsidR="007900F6" w:rsidP="007900F6">
      <w:pPr>
        <w:spacing w:line="360" w:lineRule="auto"/>
        <w:ind w:firstLine="470" w:firstLineChars="196"/>
        <w:contextualSpacing/>
        <w:rPr>
          <w:rFonts w:ascii="宋体" w:hAnsi="宋体"/>
          <w:color w:val="000000"/>
          <w:szCs w:val="21"/>
        </w:rPr>
      </w:pPr>
      <w:r>
        <w:rPr>
          <w:rFonts w:ascii="宋体" w:hAnsi="宋体"/>
          <w:color w:val="000000"/>
          <w:szCs w:val="21"/>
        </w:rPr>
        <w:t>1</w:t>
      </w:r>
      <w:r>
        <w:rPr>
          <w:rFonts w:ascii="宋体" w:hAnsi="宋体" w:hint="eastAsia"/>
          <w:color w:val="000000"/>
          <w:szCs w:val="21"/>
        </w:rPr>
        <w:t>、中标人在领取中标通知书时向采购代理机构缴纳招标代理服务费。</w:t>
      </w:r>
    </w:p>
    <w:p w:rsidR="007900F6" w:rsidP="007900F6">
      <w:pPr>
        <w:spacing w:line="360" w:lineRule="auto"/>
        <w:ind w:firstLine="470" w:firstLineChars="196"/>
        <w:contextualSpacing/>
        <w:rPr>
          <w:rFonts w:ascii="宋体" w:hAnsi="宋体"/>
          <w:color w:val="000000"/>
          <w:szCs w:val="21"/>
        </w:rPr>
      </w:pPr>
      <w:r>
        <w:rPr>
          <w:rFonts w:ascii="宋体" w:hAnsi="宋体"/>
          <w:color w:val="000000"/>
          <w:szCs w:val="21"/>
        </w:rPr>
        <w:t>2</w:t>
      </w:r>
      <w:r>
        <w:rPr>
          <w:rFonts w:ascii="宋体" w:hAnsi="宋体" w:hint="eastAsia"/>
          <w:color w:val="000000"/>
          <w:szCs w:val="21"/>
        </w:rPr>
        <w:t>、招标代理服务费以现金、支票或银行汇票形式交付。</w:t>
      </w:r>
    </w:p>
    <w:p w:rsidR="007900F6" w:rsidP="007900F6">
      <w:pPr>
        <w:spacing w:line="360" w:lineRule="auto"/>
        <w:ind w:firstLine="470" w:firstLineChars="196"/>
        <w:contextualSpacing/>
        <w:rPr>
          <w:rFonts w:ascii="宋体" w:hAnsi="宋体"/>
          <w:b/>
          <w:bCs/>
          <w:color w:val="000000"/>
          <w:szCs w:val="21"/>
        </w:rPr>
      </w:pPr>
      <w:r>
        <w:rPr>
          <w:rFonts w:ascii="宋体" w:hAnsi="宋体"/>
          <w:color w:val="000000"/>
          <w:szCs w:val="21"/>
        </w:rPr>
        <w:t>3</w:t>
      </w:r>
      <w:r>
        <w:rPr>
          <w:rFonts w:ascii="宋体" w:hAnsi="宋体" w:hint="eastAsia"/>
          <w:color w:val="000000"/>
          <w:szCs w:val="21"/>
        </w:rPr>
        <w:t>、收费标准如下：</w:t>
      </w:r>
    </w:p>
    <w:p w:rsidR="007900F6">
      <w:pPr>
        <w:spacing w:line="360" w:lineRule="auto"/>
        <w:ind w:right="-57" w:firstLine="480" w:firstLineChars="200"/>
        <w:contextualSpacing/>
        <w:rPr>
          <w:rFonts w:ascii="MS Mincho" w:hAnsi="MS Mincho" w:cs="MS Mincho"/>
          <w:snapToGrid w:val="0"/>
          <w:color w:val="000000"/>
          <w:kern w:val="0"/>
          <w:szCs w:val="21"/>
        </w:rPr>
      </w:pPr>
      <w:r>
        <w:rPr>
          <w:rFonts w:ascii="MS Mincho" w:hAnsi="MS Mincho" w:cs="MS Mincho" w:hint="eastAsia"/>
          <w:snapToGrid w:val="0"/>
          <w:color w:val="000000"/>
          <w:kern w:val="0"/>
          <w:szCs w:val="21"/>
        </w:rPr>
        <w:t>■ 定率收取：</w:t>
      </w:r>
    </w:p>
    <w:p w:rsidR="007900F6">
      <w:pPr>
        <w:spacing w:line="360" w:lineRule="auto"/>
        <w:ind w:right="-57" w:firstLine="480" w:firstLineChars="200"/>
        <w:contextualSpacing/>
        <w:rPr>
          <w:rFonts w:ascii="宋体" w:hAnsi="宋体"/>
          <w:color w:val="000000"/>
          <w:szCs w:val="21"/>
        </w:rPr>
      </w:pPr>
      <w:r>
        <w:rPr>
          <w:rFonts w:ascii="宋体" w:hAnsi="宋体" w:hint="eastAsia"/>
          <w:color w:val="000000"/>
          <w:szCs w:val="21"/>
        </w:rPr>
        <w:t>采购代理机构向中标人收取招标代理服务费，收费按差额定率累进法计算收取，收费标准如下表所列：</w:t>
      </w:r>
    </w:p>
    <w:tbl>
      <w:tblPr>
        <w:tblStyle w:val="TableNormal"/>
        <w:tblW w:w="4937" w:type="pct"/>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2182"/>
        <w:gridCol w:w="2005"/>
        <w:gridCol w:w="2145"/>
        <w:gridCol w:w="2090"/>
      </w:tblGrid>
      <w:tr>
        <w:tblPrEx>
          <w:tblW w:w="4937" w:type="pct"/>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Ex>
        <w:trPr>
          <w:jc w:val="center"/>
        </w:trPr>
        <w:tc>
          <w:tcPr>
            <w:tcW w:w="1295" w:type="pct"/>
            <w:tcBorders>
              <w:top w:val="single" w:sz="8" w:space="0" w:color="auto"/>
              <w:left w:val="single" w:sz="8" w:space="0" w:color="auto"/>
              <w:bottom w:val="single" w:sz="4" w:space="0" w:color="auto"/>
              <w:right w:val="single" w:sz="4" w:space="0" w:color="auto"/>
            </w:tcBorders>
            <w:vAlign w:val="center"/>
          </w:tcPr>
          <w:p w:rsidR="007900F6">
            <w:pPr>
              <w:spacing w:line="360" w:lineRule="auto"/>
              <w:contextualSpacing/>
              <w:jc w:val="center"/>
              <w:rPr>
                <w:rFonts w:ascii="宋体" w:hAnsi="宋体"/>
                <w:b/>
                <w:color w:val="000000"/>
                <w:szCs w:val="21"/>
              </w:rPr>
            </w:pPr>
            <w:r>
              <w:rPr>
                <w:rFonts w:ascii="宋体" w:hAnsi="宋体" w:hint="eastAsia"/>
                <w:b/>
                <w:color w:val="000000"/>
                <w:szCs w:val="21"/>
              </w:rPr>
              <w:t>中标金额（万元）</w:t>
            </w:r>
          </w:p>
        </w:tc>
        <w:tc>
          <w:tcPr>
            <w:tcW w:w="1190" w:type="pct"/>
            <w:tcBorders>
              <w:top w:val="single" w:sz="8"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b/>
                <w:color w:val="000000"/>
                <w:szCs w:val="21"/>
              </w:rPr>
            </w:pPr>
            <w:r>
              <w:rPr>
                <w:rFonts w:ascii="宋体" w:hAnsi="宋体" w:hint="eastAsia"/>
                <w:b/>
                <w:color w:val="000000"/>
                <w:szCs w:val="21"/>
              </w:rPr>
              <w:t>货物招标收费费率</w:t>
            </w:r>
          </w:p>
        </w:tc>
        <w:tc>
          <w:tcPr>
            <w:tcW w:w="1273" w:type="pct"/>
            <w:tcBorders>
              <w:top w:val="single" w:sz="8" w:space="0" w:color="auto"/>
              <w:left w:val="single" w:sz="4" w:space="0" w:color="auto"/>
              <w:bottom w:val="single" w:sz="4" w:space="0" w:color="auto"/>
              <w:right w:val="single" w:sz="8" w:space="0" w:color="auto"/>
            </w:tcBorders>
          </w:tcPr>
          <w:p w:rsidR="007900F6">
            <w:pPr>
              <w:spacing w:line="360" w:lineRule="auto"/>
              <w:contextualSpacing/>
              <w:jc w:val="center"/>
              <w:rPr>
                <w:rFonts w:ascii="宋体" w:hAnsi="宋体"/>
                <w:b/>
                <w:color w:val="000000"/>
                <w:szCs w:val="21"/>
              </w:rPr>
            </w:pPr>
            <w:r>
              <w:rPr>
                <w:rFonts w:ascii="宋体" w:hAnsi="宋体" w:hint="eastAsia"/>
                <w:b/>
                <w:color w:val="000000"/>
                <w:szCs w:val="21"/>
              </w:rPr>
              <w:t>工程招标收费费率</w:t>
            </w:r>
          </w:p>
        </w:tc>
        <w:tc>
          <w:tcPr>
            <w:tcW w:w="1241" w:type="pct"/>
            <w:tcBorders>
              <w:top w:val="single" w:sz="8" w:space="0" w:color="auto"/>
              <w:left w:val="single" w:sz="4" w:space="0" w:color="auto"/>
              <w:bottom w:val="single" w:sz="4" w:space="0" w:color="auto"/>
              <w:right w:val="single" w:sz="8" w:space="0" w:color="auto"/>
            </w:tcBorders>
          </w:tcPr>
          <w:p w:rsidR="007900F6">
            <w:pPr>
              <w:spacing w:line="360" w:lineRule="auto"/>
              <w:contextualSpacing/>
              <w:jc w:val="center"/>
              <w:rPr>
                <w:rFonts w:ascii="宋体" w:hAnsi="宋体"/>
                <w:b/>
                <w:color w:val="000000"/>
                <w:szCs w:val="21"/>
              </w:rPr>
            </w:pPr>
            <w:r>
              <w:rPr>
                <w:rFonts w:ascii="宋体" w:hAnsi="宋体" w:hint="eastAsia"/>
                <w:b/>
                <w:color w:val="000000"/>
                <w:szCs w:val="21"/>
              </w:rPr>
              <w:t>服务招标收费费率</w:t>
            </w:r>
          </w:p>
        </w:tc>
      </w:tr>
      <w:tr>
        <w:tblPrEx>
          <w:tblW w:w="4937" w:type="pct"/>
          <w:jc w:val="center"/>
          <w:tblInd w:w="0" w:type="dxa"/>
          <w:tblLook w:val="0000"/>
        </w:tblPrEx>
        <w:trPr>
          <w:jc w:val="center"/>
        </w:trPr>
        <w:tc>
          <w:tcPr>
            <w:tcW w:w="1295" w:type="pct"/>
            <w:tcBorders>
              <w:top w:val="single" w:sz="4" w:space="0" w:color="auto"/>
              <w:left w:val="single" w:sz="8" w:space="0" w:color="auto"/>
              <w:bottom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100以下部分</w:t>
            </w:r>
          </w:p>
        </w:tc>
        <w:tc>
          <w:tcPr>
            <w:tcW w:w="1190"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1.5%</w:t>
            </w:r>
          </w:p>
        </w:tc>
        <w:tc>
          <w:tcPr>
            <w:tcW w:w="1273"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b/>
                <w:color w:val="000000"/>
                <w:szCs w:val="21"/>
              </w:rPr>
            </w:pPr>
            <w:r>
              <w:rPr>
                <w:rFonts w:ascii="宋体" w:hAnsi="宋体" w:hint="eastAsia"/>
                <w:b/>
                <w:color w:val="000000"/>
                <w:szCs w:val="21"/>
              </w:rPr>
              <w:t>1.0%</w:t>
            </w:r>
          </w:p>
        </w:tc>
        <w:tc>
          <w:tcPr>
            <w:tcW w:w="1241"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1.5%</w:t>
            </w:r>
          </w:p>
        </w:tc>
      </w:tr>
      <w:tr>
        <w:tblPrEx>
          <w:tblW w:w="4937" w:type="pct"/>
          <w:jc w:val="center"/>
          <w:tblInd w:w="0" w:type="dxa"/>
          <w:tblLook w:val="0000"/>
        </w:tblPrEx>
        <w:trPr>
          <w:jc w:val="center"/>
        </w:trPr>
        <w:tc>
          <w:tcPr>
            <w:tcW w:w="1295" w:type="pct"/>
            <w:tcBorders>
              <w:top w:val="single" w:sz="4" w:space="0" w:color="auto"/>
              <w:left w:val="single" w:sz="8" w:space="0" w:color="auto"/>
              <w:bottom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100-500部分</w:t>
            </w:r>
          </w:p>
        </w:tc>
        <w:tc>
          <w:tcPr>
            <w:tcW w:w="1190"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1.1%</w:t>
            </w:r>
          </w:p>
        </w:tc>
        <w:tc>
          <w:tcPr>
            <w:tcW w:w="1273"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b/>
                <w:color w:val="000000"/>
                <w:szCs w:val="21"/>
              </w:rPr>
            </w:pPr>
            <w:r>
              <w:rPr>
                <w:rFonts w:ascii="宋体" w:hAnsi="宋体" w:hint="eastAsia"/>
                <w:b/>
                <w:color w:val="000000"/>
                <w:szCs w:val="21"/>
              </w:rPr>
              <w:t>0.7%</w:t>
            </w:r>
          </w:p>
        </w:tc>
        <w:tc>
          <w:tcPr>
            <w:tcW w:w="1241"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0.8%</w:t>
            </w:r>
          </w:p>
        </w:tc>
      </w:tr>
      <w:tr>
        <w:tblPrEx>
          <w:tblW w:w="4937" w:type="pct"/>
          <w:jc w:val="center"/>
          <w:tblInd w:w="0" w:type="dxa"/>
          <w:tblLook w:val="0000"/>
        </w:tblPrEx>
        <w:trPr>
          <w:jc w:val="center"/>
        </w:trPr>
        <w:tc>
          <w:tcPr>
            <w:tcW w:w="1295" w:type="pct"/>
            <w:tcBorders>
              <w:top w:val="single" w:sz="4" w:space="0" w:color="auto"/>
              <w:left w:val="single" w:sz="8" w:space="0" w:color="auto"/>
              <w:bottom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500-1000部分</w:t>
            </w:r>
          </w:p>
        </w:tc>
        <w:tc>
          <w:tcPr>
            <w:tcW w:w="1190"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0.8%</w:t>
            </w:r>
          </w:p>
        </w:tc>
        <w:tc>
          <w:tcPr>
            <w:tcW w:w="1273"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b/>
                <w:color w:val="000000"/>
                <w:szCs w:val="21"/>
              </w:rPr>
            </w:pPr>
            <w:r>
              <w:rPr>
                <w:rFonts w:ascii="宋体" w:hAnsi="宋体" w:hint="eastAsia"/>
                <w:b/>
                <w:color w:val="000000"/>
                <w:szCs w:val="21"/>
              </w:rPr>
              <w:t>0.55%</w:t>
            </w:r>
          </w:p>
        </w:tc>
        <w:tc>
          <w:tcPr>
            <w:tcW w:w="1241"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0.45%</w:t>
            </w:r>
          </w:p>
        </w:tc>
      </w:tr>
      <w:tr>
        <w:tblPrEx>
          <w:tblW w:w="4937" w:type="pct"/>
          <w:jc w:val="center"/>
          <w:tblInd w:w="0" w:type="dxa"/>
          <w:tblLook w:val="0000"/>
        </w:tblPrEx>
        <w:trPr>
          <w:jc w:val="center"/>
        </w:trPr>
        <w:tc>
          <w:tcPr>
            <w:tcW w:w="1295" w:type="pct"/>
            <w:tcBorders>
              <w:top w:val="single" w:sz="4" w:space="0" w:color="auto"/>
              <w:left w:val="single" w:sz="8" w:space="0" w:color="auto"/>
              <w:bottom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1000-5000部分</w:t>
            </w:r>
          </w:p>
        </w:tc>
        <w:tc>
          <w:tcPr>
            <w:tcW w:w="1190"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0.5%</w:t>
            </w:r>
          </w:p>
        </w:tc>
        <w:tc>
          <w:tcPr>
            <w:tcW w:w="1273"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b/>
                <w:color w:val="000000"/>
                <w:szCs w:val="21"/>
              </w:rPr>
            </w:pPr>
            <w:r>
              <w:rPr>
                <w:rFonts w:ascii="宋体" w:hAnsi="宋体" w:hint="eastAsia"/>
                <w:b/>
                <w:color w:val="000000"/>
                <w:szCs w:val="21"/>
              </w:rPr>
              <w:t>0.35%</w:t>
            </w:r>
          </w:p>
        </w:tc>
        <w:tc>
          <w:tcPr>
            <w:tcW w:w="1241"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0.25%</w:t>
            </w:r>
          </w:p>
        </w:tc>
      </w:tr>
      <w:tr>
        <w:tblPrEx>
          <w:tblW w:w="4937" w:type="pct"/>
          <w:jc w:val="center"/>
          <w:tblInd w:w="0" w:type="dxa"/>
          <w:tblLook w:val="0000"/>
        </w:tblPrEx>
        <w:trPr>
          <w:jc w:val="center"/>
        </w:trPr>
        <w:tc>
          <w:tcPr>
            <w:tcW w:w="1295" w:type="pct"/>
            <w:tcBorders>
              <w:top w:val="single" w:sz="4" w:space="0" w:color="auto"/>
              <w:left w:val="single" w:sz="8" w:space="0" w:color="auto"/>
              <w:bottom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5000-10000部分</w:t>
            </w:r>
          </w:p>
        </w:tc>
        <w:tc>
          <w:tcPr>
            <w:tcW w:w="1190"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0.25%</w:t>
            </w:r>
          </w:p>
        </w:tc>
        <w:tc>
          <w:tcPr>
            <w:tcW w:w="1273"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b/>
                <w:color w:val="000000"/>
                <w:szCs w:val="21"/>
              </w:rPr>
            </w:pPr>
            <w:r>
              <w:rPr>
                <w:rFonts w:ascii="宋体" w:hAnsi="宋体" w:hint="eastAsia"/>
                <w:b/>
                <w:color w:val="000000"/>
                <w:szCs w:val="21"/>
              </w:rPr>
              <w:t>0.2%</w:t>
            </w:r>
          </w:p>
        </w:tc>
        <w:tc>
          <w:tcPr>
            <w:tcW w:w="1241"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0.1%</w:t>
            </w:r>
          </w:p>
        </w:tc>
      </w:tr>
      <w:tr>
        <w:tblPrEx>
          <w:tblW w:w="4937" w:type="pct"/>
          <w:jc w:val="center"/>
          <w:tblInd w:w="0" w:type="dxa"/>
          <w:tblLook w:val="0000"/>
        </w:tblPrEx>
        <w:trPr>
          <w:jc w:val="center"/>
        </w:trPr>
        <w:tc>
          <w:tcPr>
            <w:tcW w:w="1295" w:type="pct"/>
            <w:tcBorders>
              <w:top w:val="single" w:sz="4" w:space="0" w:color="auto"/>
              <w:left w:val="single" w:sz="8" w:space="0" w:color="auto"/>
              <w:bottom w:val="single" w:sz="4"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10000-100000部分</w:t>
            </w:r>
          </w:p>
        </w:tc>
        <w:tc>
          <w:tcPr>
            <w:tcW w:w="1190"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0.05%</w:t>
            </w:r>
          </w:p>
        </w:tc>
        <w:tc>
          <w:tcPr>
            <w:tcW w:w="1273"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b/>
                <w:color w:val="000000"/>
                <w:szCs w:val="21"/>
              </w:rPr>
            </w:pPr>
            <w:r>
              <w:rPr>
                <w:rFonts w:ascii="宋体" w:hAnsi="宋体" w:hint="eastAsia"/>
                <w:b/>
                <w:color w:val="000000"/>
                <w:szCs w:val="21"/>
              </w:rPr>
              <w:t>0.05%</w:t>
            </w:r>
          </w:p>
        </w:tc>
        <w:tc>
          <w:tcPr>
            <w:tcW w:w="1241" w:type="pct"/>
            <w:tcBorders>
              <w:top w:val="single" w:sz="4" w:space="0" w:color="auto"/>
              <w:left w:val="single" w:sz="4" w:space="0" w:color="auto"/>
              <w:bottom w:val="single" w:sz="4"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0.05%</w:t>
            </w:r>
          </w:p>
        </w:tc>
      </w:tr>
      <w:tr>
        <w:tblPrEx>
          <w:tblW w:w="4937" w:type="pct"/>
          <w:jc w:val="center"/>
          <w:tblInd w:w="0" w:type="dxa"/>
          <w:tblLook w:val="0000"/>
        </w:tblPrEx>
        <w:trPr>
          <w:jc w:val="center"/>
        </w:trPr>
        <w:tc>
          <w:tcPr>
            <w:tcW w:w="1295" w:type="pct"/>
            <w:tcBorders>
              <w:top w:val="single" w:sz="4" w:space="0" w:color="auto"/>
              <w:left w:val="single" w:sz="8" w:space="0" w:color="auto"/>
              <w:bottom w:val="single" w:sz="8" w:space="0" w:color="auto"/>
              <w:right w:val="single" w:sz="4"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100000以上部分</w:t>
            </w:r>
          </w:p>
        </w:tc>
        <w:tc>
          <w:tcPr>
            <w:tcW w:w="1190" w:type="pct"/>
            <w:tcBorders>
              <w:top w:val="single" w:sz="4" w:space="0" w:color="auto"/>
              <w:left w:val="single" w:sz="4" w:space="0" w:color="auto"/>
              <w:bottom w:val="single" w:sz="8"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0.01%</w:t>
            </w:r>
          </w:p>
        </w:tc>
        <w:tc>
          <w:tcPr>
            <w:tcW w:w="1273" w:type="pct"/>
            <w:tcBorders>
              <w:top w:val="single" w:sz="4" w:space="0" w:color="auto"/>
              <w:left w:val="single" w:sz="4" w:space="0" w:color="auto"/>
              <w:bottom w:val="single" w:sz="8" w:space="0" w:color="auto"/>
              <w:right w:val="single" w:sz="8" w:space="0" w:color="auto"/>
            </w:tcBorders>
            <w:vAlign w:val="center"/>
          </w:tcPr>
          <w:p w:rsidR="007900F6">
            <w:pPr>
              <w:spacing w:line="360" w:lineRule="auto"/>
              <w:contextualSpacing/>
              <w:jc w:val="center"/>
              <w:rPr>
                <w:rFonts w:ascii="宋体" w:hAnsi="宋体"/>
                <w:b/>
                <w:color w:val="000000"/>
                <w:szCs w:val="21"/>
              </w:rPr>
            </w:pPr>
            <w:r>
              <w:rPr>
                <w:rFonts w:ascii="宋体" w:hAnsi="宋体" w:hint="eastAsia"/>
                <w:b/>
                <w:color w:val="000000"/>
                <w:szCs w:val="21"/>
              </w:rPr>
              <w:t>0.01%</w:t>
            </w:r>
          </w:p>
        </w:tc>
        <w:tc>
          <w:tcPr>
            <w:tcW w:w="1241" w:type="pct"/>
            <w:tcBorders>
              <w:top w:val="single" w:sz="4" w:space="0" w:color="auto"/>
              <w:left w:val="single" w:sz="4" w:space="0" w:color="auto"/>
              <w:bottom w:val="single" w:sz="8" w:space="0" w:color="auto"/>
              <w:right w:val="single" w:sz="8" w:space="0" w:color="auto"/>
            </w:tcBorders>
            <w:vAlign w:val="center"/>
          </w:tcPr>
          <w:p w:rsidR="007900F6">
            <w:pPr>
              <w:spacing w:line="360" w:lineRule="auto"/>
              <w:contextualSpacing/>
              <w:jc w:val="center"/>
              <w:rPr>
                <w:rFonts w:ascii="宋体" w:hAnsi="宋体"/>
                <w:color w:val="000000"/>
                <w:szCs w:val="21"/>
              </w:rPr>
            </w:pPr>
            <w:r>
              <w:rPr>
                <w:rFonts w:ascii="宋体" w:hAnsi="宋体" w:hint="eastAsia"/>
                <w:color w:val="000000"/>
                <w:szCs w:val="21"/>
              </w:rPr>
              <w:t>0.01%</w:t>
            </w:r>
          </w:p>
        </w:tc>
      </w:tr>
    </w:tbl>
    <w:p w:rsidR="007900F6">
      <w:pPr>
        <w:spacing w:line="360" w:lineRule="auto"/>
        <w:ind w:right="-57" w:firstLine="480" w:firstLineChars="200"/>
        <w:contextualSpacing/>
        <w:rPr>
          <w:rFonts w:ascii="宋体" w:hAnsi="宋体"/>
          <w:snapToGrid w:val="0"/>
          <w:color w:val="000000"/>
          <w:kern w:val="0"/>
          <w:szCs w:val="21"/>
        </w:rPr>
      </w:pPr>
      <w:r>
        <w:rPr>
          <w:rFonts w:ascii="宋体" w:hAnsi="宋体" w:hint="eastAsia"/>
          <w:snapToGrid w:val="0"/>
          <w:color w:val="000000"/>
          <w:kern w:val="0"/>
          <w:szCs w:val="21"/>
        </w:rPr>
        <w:t>□ 定额收取：</w:t>
      </w:r>
    </w:p>
    <w:p w:rsidR="007900F6">
      <w:pPr>
        <w:spacing w:line="360" w:lineRule="auto"/>
        <w:ind w:right="-57" w:firstLine="480" w:firstLineChars="200"/>
        <w:contextualSpacing/>
        <w:rPr>
          <w:rFonts w:ascii="宋体" w:hAnsi="宋体"/>
          <w:color w:val="000000"/>
        </w:rPr>
      </w:pPr>
      <w:r>
        <w:rPr>
          <w:rFonts w:ascii="宋体" w:hAnsi="宋体" w:hint="eastAsia"/>
          <w:snapToGrid w:val="0"/>
          <w:color w:val="000000"/>
          <w:kern w:val="0"/>
          <w:szCs w:val="21"/>
        </w:rPr>
        <w:t>本项目按定额收取招标代理服务费，收费金额为人民币</w:t>
      </w:r>
      <w:r>
        <w:rPr>
          <w:rFonts w:ascii="宋体" w:hAnsi="宋体" w:hint="eastAsia"/>
          <w:snapToGrid w:val="0"/>
          <w:color w:val="000000"/>
          <w:kern w:val="0"/>
          <w:szCs w:val="21"/>
          <w:u w:val="single"/>
        </w:rPr>
        <w:t xml:space="preserve">     </w:t>
      </w:r>
      <w:r>
        <w:rPr>
          <w:rFonts w:ascii="宋体" w:hAnsi="宋体" w:hint="eastAsia"/>
          <w:snapToGrid w:val="0"/>
          <w:color w:val="000000"/>
          <w:kern w:val="0"/>
          <w:szCs w:val="21"/>
        </w:rPr>
        <w:t>元。</w:t>
      </w:r>
    </w:p>
    <w:p w:rsidR="007900F6">
      <w:pPr>
        <w:spacing w:line="360" w:lineRule="auto"/>
        <w:contextualSpacing/>
        <w:rPr>
          <w:color w:val="000000"/>
          <w:sz w:val="36"/>
          <w:szCs w:val="36"/>
        </w:rPr>
      </w:pPr>
    </w:p>
    <w:p w:rsidR="007900F6">
      <w:pPr>
        <w:spacing w:line="360" w:lineRule="auto"/>
        <w:contextualSpacing/>
        <w:rPr>
          <w:color w:val="000000"/>
          <w:sz w:val="36"/>
          <w:szCs w:val="36"/>
        </w:rPr>
      </w:pPr>
    </w:p>
    <w:p w:rsidR="007900F6">
      <w:pPr>
        <w:spacing w:line="360" w:lineRule="auto"/>
        <w:contextualSpacing/>
        <w:rPr>
          <w:color w:val="000000"/>
          <w:sz w:val="36"/>
          <w:szCs w:val="36"/>
        </w:rPr>
      </w:pPr>
    </w:p>
    <w:p w:rsidR="007900F6">
      <w:pPr>
        <w:spacing w:line="360" w:lineRule="auto"/>
        <w:contextualSpacing/>
        <w:rPr>
          <w:color w:val="000000"/>
          <w:sz w:val="36"/>
          <w:szCs w:val="36"/>
        </w:rPr>
      </w:pPr>
      <w:r>
        <w:rPr>
          <w:color w:val="000000"/>
          <w:sz w:val="36"/>
          <w:szCs w:val="36"/>
        </w:rPr>
        <w:br w:type="page"/>
      </w:r>
    </w:p>
    <w:p w:rsidR="007900F6">
      <w:pPr>
        <w:pStyle w:val="Heading1"/>
        <w:spacing w:before="0" w:after="0"/>
        <w:contextualSpacing/>
        <w:rPr>
          <w:b w:val="0"/>
          <w:color w:val="000000"/>
          <w:sz w:val="36"/>
          <w:szCs w:val="36"/>
        </w:rPr>
      </w:pPr>
      <w:r>
        <w:rPr>
          <w:rFonts w:hint="eastAsia"/>
          <w:b w:val="0"/>
          <w:color w:val="000000"/>
          <w:sz w:val="36"/>
          <w:szCs w:val="36"/>
        </w:rPr>
        <w:t>第二册  通用条款（公开招标）</w:t>
      </w:r>
    </w:p>
    <w:p w:rsidR="007900F6" w:rsidP="007900F6">
      <w:pPr>
        <w:spacing w:line="360" w:lineRule="auto"/>
        <w:ind w:firstLine="470" w:firstLineChars="196"/>
        <w:contextualSpacing/>
        <w:rPr>
          <w:color w:val="000000"/>
        </w:rPr>
      </w:pPr>
    </w:p>
    <w:p w:rsidR="007900F6">
      <w:pPr>
        <w:pStyle w:val="Heading2"/>
        <w:numPr>
          <w:ilvl w:val="0"/>
          <w:numId w:val="89"/>
        </w:numPr>
        <w:tabs>
          <w:tab w:val="left" w:pos="720"/>
          <w:tab w:val="clear" w:pos="5965"/>
        </w:tabs>
        <w:spacing w:before="0" w:after="0" w:line="360" w:lineRule="auto"/>
        <w:ind w:left="482" w:hanging="482"/>
        <w:contextualSpacing/>
        <w:rPr>
          <w:color w:val="000000"/>
          <w:szCs w:val="24"/>
        </w:rPr>
      </w:pPr>
      <w:r>
        <w:rPr>
          <w:rFonts w:hint="eastAsia"/>
          <w:color w:val="000000"/>
          <w:szCs w:val="24"/>
        </w:rPr>
        <w:t>总则</w:t>
      </w:r>
    </w:p>
    <w:p w:rsidR="007900F6">
      <w:pPr>
        <w:spacing w:line="360" w:lineRule="auto"/>
        <w:rPr>
          <w:rFonts w:ascii="黑体" w:eastAsia="黑体" w:hAnsi="宋体"/>
          <w:sz w:val="24"/>
        </w:rPr>
      </w:pPr>
      <w:r>
        <w:rPr>
          <w:rFonts w:ascii="黑体" w:eastAsia="黑体" w:hAnsi="宋体" w:hint="eastAsia"/>
          <w:sz w:val="24"/>
        </w:rPr>
        <w:t>1. 通用条款说明</w:t>
      </w:r>
    </w:p>
    <w:p w:rsidR="007900F6" w:rsidP="007900F6">
      <w:pPr>
        <w:spacing w:line="360" w:lineRule="auto"/>
        <w:ind w:firstLine="470" w:firstLineChars="196"/>
        <w:rPr>
          <w:rFonts w:ascii="宋体" w:hAnsi="宋体"/>
          <w:szCs w:val="21"/>
        </w:rPr>
      </w:pPr>
      <w:r>
        <w:rPr>
          <w:rFonts w:ascii="宋体" w:hAnsi="宋体" w:hint="eastAsia"/>
          <w:szCs w:val="21"/>
        </w:rPr>
        <w:t>1.1采购实施机构发出招标文件通用条款版本，列出深圳市政府采购项目进行招标采购所适用的通用条款内容。如有需要，采购实施机构可以对通用条款增加附录或补充内容。</w:t>
      </w:r>
    </w:p>
    <w:p w:rsidR="007900F6" w:rsidP="007900F6">
      <w:pPr>
        <w:spacing w:line="360" w:lineRule="auto"/>
        <w:ind w:firstLine="470" w:firstLineChars="196"/>
        <w:rPr>
          <w:rFonts w:ascii="宋体" w:hAnsi="宋体"/>
          <w:szCs w:val="21"/>
        </w:rPr>
      </w:pPr>
      <w:r>
        <w:rPr>
          <w:rFonts w:ascii="宋体" w:hAnsi="宋体" w:hint="eastAsia"/>
          <w:szCs w:val="21"/>
        </w:rPr>
        <w:t>1.2招标文件分为第一册“专用条款”和第二册“通用条款”。</w:t>
      </w:r>
    </w:p>
    <w:p w:rsidR="007900F6" w:rsidP="007900F6">
      <w:pPr>
        <w:spacing w:line="360" w:lineRule="auto"/>
        <w:ind w:firstLine="470" w:firstLineChars="196"/>
        <w:rPr>
          <w:rFonts w:ascii="宋体" w:hAnsi="宋体"/>
          <w:szCs w:val="21"/>
        </w:rPr>
      </w:pPr>
      <w:r>
        <w:rPr>
          <w:rFonts w:ascii="宋体" w:hAnsi="宋体" w:hint="eastAsia"/>
          <w:szCs w:val="21"/>
        </w:rPr>
        <w:t>1.3“专用条款”是对本次采购项目的具体要求，包含投标人资格要求、招标项目需求、投标文件格式、附件等内容。</w:t>
      </w:r>
    </w:p>
    <w:p w:rsidR="007900F6" w:rsidP="007900F6">
      <w:pPr>
        <w:spacing w:line="360" w:lineRule="auto"/>
        <w:ind w:firstLine="470" w:firstLineChars="196"/>
        <w:rPr>
          <w:rFonts w:ascii="宋体" w:hAnsi="宋体"/>
          <w:szCs w:val="21"/>
        </w:rPr>
      </w:pPr>
      <w:r>
        <w:rPr>
          <w:rFonts w:ascii="宋体" w:hAnsi="宋体" w:hint="eastAsia"/>
          <w:szCs w:val="21"/>
        </w:rPr>
        <w:t>1.4“通用条款”是适用于政府采购项目的基础性条款，具有普遍性和通用性。</w:t>
      </w:r>
    </w:p>
    <w:p w:rsidR="007900F6" w:rsidP="007900F6">
      <w:pPr>
        <w:spacing w:line="360" w:lineRule="auto"/>
        <w:ind w:firstLine="470" w:firstLineChars="196"/>
        <w:rPr>
          <w:rFonts w:ascii="宋体" w:hAnsi="宋体"/>
          <w:szCs w:val="21"/>
        </w:rPr>
      </w:pPr>
      <w:r>
        <w:rPr>
          <w:rFonts w:ascii="宋体" w:hAnsi="宋体" w:hint="eastAsia"/>
          <w:szCs w:val="21"/>
        </w:rPr>
        <w:t>1.5 “专用条款”和“通用条款”表述不一致或有冲突时，以“专用条款”为准。</w:t>
      </w:r>
    </w:p>
    <w:p w:rsidR="007900F6">
      <w:pPr>
        <w:spacing w:line="360" w:lineRule="auto"/>
        <w:rPr>
          <w:rFonts w:ascii="黑体" w:eastAsia="黑体" w:hAnsi="宋体"/>
          <w:sz w:val="24"/>
        </w:rPr>
      </w:pPr>
      <w:r>
        <w:rPr>
          <w:rFonts w:ascii="黑体" w:eastAsia="黑体" w:hAnsi="宋体" w:hint="eastAsia"/>
          <w:sz w:val="24"/>
        </w:rPr>
        <w:t>2</w:t>
      </w:r>
      <w:r>
        <w:rPr>
          <w:rFonts w:ascii="黑体" w:eastAsia="黑体" w:hAnsi="宋体"/>
          <w:sz w:val="24"/>
        </w:rPr>
        <w:t>．</w:t>
      </w:r>
      <w:r>
        <w:rPr>
          <w:rFonts w:ascii="黑体" w:eastAsia="黑体" w:hAnsi="宋体" w:hint="eastAsia"/>
          <w:sz w:val="24"/>
        </w:rPr>
        <w:t>招标说明</w:t>
      </w:r>
    </w:p>
    <w:p w:rsidR="007900F6" w:rsidP="007900F6">
      <w:pPr>
        <w:spacing w:line="360" w:lineRule="auto"/>
        <w:ind w:firstLine="470" w:firstLineChars="196"/>
        <w:rPr>
          <w:rFonts w:ascii="宋体" w:hAnsi="宋体"/>
          <w:szCs w:val="21"/>
        </w:rPr>
      </w:pPr>
      <w:r>
        <w:rPr>
          <w:rFonts w:ascii="宋体" w:hAnsi="宋体" w:hint="eastAsia"/>
          <w:szCs w:val="21"/>
        </w:rPr>
        <w:t>本项目按照《深圳经济特区政府采购条例》、《深圳经济特区政府采购条例实施细则》等规定，并参考有关法规，通过招标方式确定中标供应商。</w:t>
      </w:r>
    </w:p>
    <w:p w:rsidR="007900F6">
      <w:pPr>
        <w:spacing w:line="360" w:lineRule="auto"/>
        <w:rPr>
          <w:rFonts w:ascii="黑体" w:eastAsia="黑体" w:hAnsi="宋体"/>
          <w:sz w:val="24"/>
        </w:rPr>
      </w:pPr>
      <w:r>
        <w:rPr>
          <w:rFonts w:ascii="黑体" w:eastAsia="黑体" w:hAnsi="宋体" w:hint="eastAsia"/>
          <w:sz w:val="24"/>
        </w:rPr>
        <w:t>3．定义</w:t>
      </w:r>
    </w:p>
    <w:p w:rsidR="007900F6">
      <w:pPr>
        <w:spacing w:line="360" w:lineRule="auto"/>
        <w:ind w:firstLine="480" w:firstLineChars="200"/>
        <w:rPr>
          <w:rFonts w:ascii="宋体" w:hAnsi="宋体"/>
          <w:szCs w:val="21"/>
        </w:rPr>
      </w:pPr>
      <w:r>
        <w:rPr>
          <w:rFonts w:ascii="宋体" w:hAnsi="宋体"/>
          <w:szCs w:val="21"/>
        </w:rPr>
        <w:t>招标文件中下列术语应解释为：</w:t>
      </w:r>
    </w:p>
    <w:p w:rsidR="007900F6" w:rsidP="007900F6">
      <w:pPr>
        <w:spacing w:line="360" w:lineRule="auto"/>
        <w:ind w:firstLine="470" w:firstLineChars="196"/>
        <w:rPr>
          <w:rFonts w:ascii="宋体" w:hAnsi="宋体"/>
          <w:szCs w:val="21"/>
        </w:rPr>
      </w:pPr>
      <w:r>
        <w:rPr>
          <w:rFonts w:ascii="宋体" w:hAnsi="宋体" w:hint="eastAsia"/>
          <w:szCs w:val="21"/>
        </w:rPr>
        <w:t>3.</w:t>
      </w:r>
      <w:r>
        <w:rPr>
          <w:rFonts w:ascii="宋体" w:hAnsi="宋体"/>
          <w:szCs w:val="21"/>
        </w:rPr>
        <w:t>1</w:t>
      </w:r>
      <w:r>
        <w:rPr>
          <w:rFonts w:ascii="宋体" w:hAnsi="宋体" w:hint="eastAsia"/>
          <w:szCs w:val="21"/>
        </w:rPr>
        <w:t>“</w:t>
      </w:r>
      <w:r>
        <w:rPr>
          <w:rFonts w:ascii="宋体" w:hAnsi="宋体" w:hint="eastAsia"/>
        </w:rPr>
        <w:t>采购实施机构</w:t>
      </w:r>
      <w:r>
        <w:rPr>
          <w:rFonts w:ascii="宋体" w:hAnsi="宋体" w:hint="eastAsia"/>
          <w:szCs w:val="21"/>
        </w:rPr>
        <w:t>”</w:t>
      </w:r>
      <w:r>
        <w:rPr>
          <w:rFonts w:ascii="宋体" w:hAnsi="宋体" w:hint="eastAsia"/>
        </w:rPr>
        <w:t>是指依法取得招标资格、从事招标代理业务并提供相关服务的专门机构</w:t>
      </w:r>
      <w:r>
        <w:rPr>
          <w:rFonts w:ascii="宋体" w:hAnsi="宋体" w:hint="eastAsia"/>
          <w:szCs w:val="21"/>
        </w:rPr>
        <w:t>；本文中特指：深圳市国信招标有限公司。</w:t>
      </w:r>
    </w:p>
    <w:p w:rsidR="007900F6" w:rsidP="007900F6">
      <w:pPr>
        <w:spacing w:line="360" w:lineRule="auto"/>
        <w:ind w:firstLine="470" w:firstLineChars="196"/>
        <w:rPr>
          <w:rFonts w:ascii="宋体" w:hAnsi="宋体"/>
          <w:szCs w:val="21"/>
        </w:rPr>
      </w:pPr>
      <w:r>
        <w:rPr>
          <w:rFonts w:ascii="宋体" w:hAnsi="宋体" w:hint="eastAsia"/>
          <w:szCs w:val="21"/>
        </w:rPr>
        <w:t>3.2“采购人”或“招标人”：指利用财政性资金依法进行政府采购的国家机关、事业单位、团体组织；本文中特指：深圳市环境监测中心站。</w:t>
      </w:r>
    </w:p>
    <w:p w:rsidR="007900F6" w:rsidP="007900F6">
      <w:pPr>
        <w:spacing w:line="360" w:lineRule="auto"/>
        <w:ind w:firstLine="470" w:firstLineChars="196"/>
        <w:rPr>
          <w:rFonts w:ascii="宋体" w:hAnsi="宋体"/>
          <w:szCs w:val="21"/>
        </w:rPr>
      </w:pPr>
      <w:r>
        <w:rPr>
          <w:rFonts w:ascii="宋体" w:hAnsi="宋体" w:hint="eastAsia"/>
          <w:szCs w:val="21"/>
        </w:rPr>
        <w:t>3.3“投标人”或“投标方”，即供应商，指参加投标竞争并愿意按照招标文件要求向采购人提供货物、工程或者服务的依法成立的法人、其他组织或者自然人；</w:t>
      </w:r>
    </w:p>
    <w:p w:rsidR="007900F6" w:rsidP="007900F6">
      <w:pPr>
        <w:spacing w:line="360" w:lineRule="auto"/>
        <w:ind w:firstLine="470" w:firstLineChars="196"/>
        <w:rPr>
          <w:rFonts w:ascii="宋体" w:hAnsi="宋体"/>
          <w:szCs w:val="21"/>
        </w:rPr>
      </w:pPr>
      <w:r>
        <w:rPr>
          <w:rFonts w:ascii="宋体" w:hAnsi="宋体" w:hint="eastAsia"/>
          <w:szCs w:val="21"/>
        </w:rPr>
        <w:t>3.4“评审委员会”和“谈判小组”是依据《深圳经济特区政府采购条例》、《深圳经济特区政府采购条例实施细则》等有关规定组建的专门负责本次招标其评标（谈判）工作的临时性机构；</w:t>
      </w:r>
    </w:p>
    <w:p w:rsidR="007900F6" w:rsidP="007900F6">
      <w:pPr>
        <w:spacing w:line="360" w:lineRule="auto"/>
        <w:ind w:firstLine="470" w:firstLineChars="196"/>
        <w:rPr>
          <w:rFonts w:ascii="宋体" w:hAnsi="宋体"/>
          <w:szCs w:val="21"/>
        </w:rPr>
      </w:pPr>
      <w:r>
        <w:rPr>
          <w:rFonts w:ascii="宋体" w:hAnsi="宋体" w:hint="eastAsia"/>
          <w:szCs w:val="21"/>
        </w:rPr>
        <w:t>3.5“日期”</w:t>
      </w:r>
      <w:r>
        <w:rPr>
          <w:rFonts w:ascii="宋体" w:hAnsi="宋体"/>
          <w:szCs w:val="21"/>
        </w:rPr>
        <w:t>指</w:t>
      </w:r>
      <w:r>
        <w:rPr>
          <w:rFonts w:ascii="宋体" w:hAnsi="宋体" w:hint="eastAsia"/>
          <w:szCs w:val="21"/>
        </w:rPr>
        <w:t>公历日；</w:t>
      </w:r>
    </w:p>
    <w:p w:rsidR="007900F6" w:rsidP="007900F6">
      <w:pPr>
        <w:spacing w:line="360" w:lineRule="auto"/>
        <w:ind w:firstLine="470" w:firstLineChars="196"/>
        <w:rPr>
          <w:rFonts w:ascii="宋体" w:hAnsi="宋体"/>
          <w:szCs w:val="21"/>
        </w:rPr>
      </w:pPr>
      <w:r>
        <w:rPr>
          <w:rFonts w:ascii="宋体" w:hAnsi="宋体" w:hint="eastAsia"/>
          <w:szCs w:val="21"/>
        </w:rPr>
        <w:t>3.6“合同”指由本次招标所产生的合同或合约文件；</w:t>
      </w:r>
    </w:p>
    <w:p w:rsidR="007900F6" w:rsidP="007900F6">
      <w:pPr>
        <w:spacing w:line="360" w:lineRule="auto"/>
        <w:ind w:firstLine="470" w:firstLineChars="196"/>
        <w:rPr>
          <w:rFonts w:ascii="宋体" w:hAnsi="宋体"/>
          <w:szCs w:val="21"/>
        </w:rPr>
      </w:pPr>
      <w:r>
        <w:rPr>
          <w:rFonts w:ascii="宋体" w:hAnsi="宋体" w:hint="eastAsia"/>
          <w:szCs w:val="21"/>
        </w:rPr>
        <w:t>3.7</w:t>
      </w:r>
      <w:r>
        <w:rPr>
          <w:rFonts w:ascii="宋体" w:hAnsi="宋体" w:hint="eastAsia"/>
          <w:b/>
          <w:bCs/>
          <w:szCs w:val="21"/>
        </w:rPr>
        <w:t>“电子投标文件”指利用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r>
        <w:rPr>
          <w:rFonts w:ascii="宋体" w:hAnsi="宋体" w:hint="eastAsia"/>
          <w:szCs w:val="21"/>
        </w:rPr>
        <w:t>；</w:t>
      </w:r>
    </w:p>
    <w:p w:rsidR="007900F6" w:rsidP="007900F6">
      <w:pPr>
        <w:spacing w:line="360" w:lineRule="auto"/>
        <w:ind w:firstLine="470" w:firstLineChars="196"/>
        <w:rPr>
          <w:rFonts w:ascii="宋体" w:hAnsi="宋体"/>
          <w:szCs w:val="21"/>
        </w:rPr>
      </w:pPr>
      <w:r>
        <w:rPr>
          <w:rFonts w:ascii="宋体" w:hAnsi="宋体" w:hint="eastAsia"/>
          <w:szCs w:val="21"/>
        </w:rPr>
        <w:t>3.8</w:t>
      </w:r>
      <w:r>
        <w:rPr>
          <w:rFonts w:ascii="宋体" w:hAnsi="宋体" w:cs="宋体" w:hint="eastAsia"/>
          <w:szCs w:val="21"/>
        </w:rPr>
        <w:t>“网上投标”指通过深圳政府采购智慧平台网站上传电子投标文件；</w:t>
      </w:r>
    </w:p>
    <w:p w:rsidR="007900F6" w:rsidP="007900F6">
      <w:pPr>
        <w:spacing w:line="360" w:lineRule="auto"/>
        <w:ind w:firstLine="470" w:firstLineChars="196"/>
        <w:rPr>
          <w:rFonts w:ascii="宋体" w:hAnsi="宋体"/>
          <w:szCs w:val="21"/>
        </w:rPr>
      </w:pPr>
      <w:r>
        <w:rPr>
          <w:rFonts w:ascii="宋体" w:hAnsi="宋体" w:hint="eastAsia"/>
          <w:szCs w:val="21"/>
        </w:rPr>
        <w:t>3.9招标文件中的标题或题名仅起引导作用，而不应视为对招标文件内容的理解和解释。</w:t>
      </w:r>
    </w:p>
    <w:p w:rsidR="007900F6">
      <w:pPr>
        <w:spacing w:line="360" w:lineRule="auto"/>
        <w:rPr>
          <w:rFonts w:ascii="黑体" w:eastAsia="黑体" w:hAnsi="宋体"/>
          <w:sz w:val="24"/>
        </w:rPr>
      </w:pPr>
      <w:r>
        <w:rPr>
          <w:rFonts w:ascii="黑体" w:eastAsia="黑体" w:hAnsi="宋体" w:hint="eastAsia"/>
          <w:sz w:val="24"/>
        </w:rPr>
        <w:t>4. 政府采购供应商责任</w:t>
      </w:r>
    </w:p>
    <w:p w:rsidR="007900F6" w:rsidP="007900F6">
      <w:pPr>
        <w:spacing w:line="360" w:lineRule="auto"/>
        <w:ind w:firstLine="470" w:firstLineChars="196"/>
        <w:rPr>
          <w:rFonts w:ascii="宋体" w:hAnsi="宋体"/>
          <w:szCs w:val="21"/>
        </w:rPr>
      </w:pPr>
      <w:r>
        <w:rPr>
          <w:rFonts w:ascii="宋体" w:hAnsi="宋体" w:hint="eastAsia"/>
          <w:szCs w:val="21"/>
        </w:rPr>
        <w:t>4.1欢迎诚信、有实力和有社会责任心的供应商参与政府采购事业。</w:t>
      </w:r>
    </w:p>
    <w:p w:rsidR="007900F6" w:rsidP="007900F6">
      <w:pPr>
        <w:spacing w:line="360" w:lineRule="auto"/>
        <w:ind w:firstLine="470" w:firstLineChars="196"/>
        <w:rPr>
          <w:rFonts w:ascii="宋体" w:hAnsi="宋体"/>
          <w:szCs w:val="21"/>
        </w:rPr>
      </w:pPr>
      <w:r>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rsidR="007900F6">
      <w:pPr>
        <w:spacing w:line="360" w:lineRule="auto"/>
        <w:rPr>
          <w:rFonts w:ascii="黑体" w:eastAsia="黑体" w:hAnsi="宋体"/>
          <w:sz w:val="24"/>
        </w:rPr>
      </w:pPr>
      <w:r>
        <w:rPr>
          <w:rFonts w:ascii="黑体" w:eastAsia="黑体" w:hAnsi="宋体" w:hint="eastAsia"/>
          <w:sz w:val="24"/>
        </w:rPr>
        <w:t>5．投标人参加政府采购的条件</w:t>
      </w:r>
    </w:p>
    <w:p w:rsidR="007900F6" w:rsidP="007900F6">
      <w:pPr>
        <w:spacing w:line="360" w:lineRule="auto"/>
        <w:ind w:firstLine="470" w:firstLineChars="196"/>
        <w:rPr>
          <w:rFonts w:ascii="宋体" w:hAnsi="宋体"/>
          <w:szCs w:val="21"/>
        </w:rPr>
      </w:pPr>
      <w:r>
        <w:rPr>
          <w:rFonts w:ascii="宋体" w:hAnsi="宋体" w:hint="eastAsia"/>
          <w:szCs w:val="21"/>
        </w:rPr>
        <w:t>5.1投标人应在投标前联系深圳政府采购智慧平台工作人员进行注册。</w:t>
      </w:r>
    </w:p>
    <w:p w:rsidR="007900F6" w:rsidP="007900F6">
      <w:pPr>
        <w:spacing w:line="360" w:lineRule="auto"/>
        <w:ind w:firstLine="470" w:firstLineChars="196"/>
        <w:rPr>
          <w:rFonts w:ascii="宋体" w:hAnsi="宋体"/>
          <w:szCs w:val="21"/>
        </w:rPr>
      </w:pPr>
      <w:r>
        <w:rPr>
          <w:rFonts w:ascii="宋体" w:hAnsi="宋体" w:hint="eastAsia"/>
          <w:szCs w:val="21"/>
        </w:rPr>
        <w:t>5.2投标人的资格要求</w:t>
      </w:r>
    </w:p>
    <w:p w:rsidR="007900F6" w:rsidP="007900F6">
      <w:pPr>
        <w:spacing w:line="360" w:lineRule="auto"/>
        <w:ind w:firstLine="470" w:firstLineChars="196"/>
        <w:rPr>
          <w:rFonts w:ascii="宋体" w:hAnsi="宋体"/>
          <w:szCs w:val="21"/>
        </w:rPr>
      </w:pPr>
      <w:r>
        <w:rPr>
          <w:rFonts w:ascii="宋体" w:hAnsi="宋体" w:hint="eastAsia"/>
          <w:szCs w:val="21"/>
        </w:rPr>
        <w:t>参加本项目的投标人应具备的资格条件详见本项目招标公告中 “投标人资格要求”的内容。</w:t>
      </w:r>
    </w:p>
    <w:p w:rsidR="007900F6" w:rsidP="007900F6">
      <w:pPr>
        <w:spacing w:line="360" w:lineRule="auto"/>
        <w:ind w:firstLine="470" w:firstLineChars="196"/>
        <w:rPr>
          <w:rFonts w:ascii="宋体" w:hAnsi="宋体"/>
          <w:szCs w:val="21"/>
        </w:rPr>
      </w:pPr>
      <w:r>
        <w:rPr>
          <w:rFonts w:ascii="宋体" w:hAnsi="宋体" w:hint="eastAsia"/>
          <w:szCs w:val="21"/>
        </w:rPr>
        <w:t>5.3联合体投标</w:t>
      </w:r>
    </w:p>
    <w:p w:rsidR="007900F6" w:rsidP="007900F6">
      <w:pPr>
        <w:spacing w:line="360" w:lineRule="auto"/>
        <w:ind w:firstLine="470" w:firstLineChars="196"/>
        <w:rPr>
          <w:rFonts w:ascii="宋体" w:hAnsi="宋体"/>
          <w:szCs w:val="21"/>
        </w:rPr>
      </w:pPr>
      <w:r>
        <w:rPr>
          <w:rFonts w:ascii="宋体" w:hAnsi="宋体" w:hint="eastAsia"/>
          <w:szCs w:val="21"/>
        </w:rPr>
        <w:t>5.3.1　以下有关联合体投标的条款仅适用于允许投标人组成联合体投标的项目。</w:t>
      </w:r>
    </w:p>
    <w:p w:rsidR="007900F6" w:rsidP="007900F6">
      <w:pPr>
        <w:spacing w:line="360" w:lineRule="auto"/>
        <w:ind w:firstLine="470" w:firstLineChars="196"/>
        <w:rPr>
          <w:rFonts w:ascii="宋体" w:hAnsi="宋体"/>
          <w:szCs w:val="21"/>
        </w:rPr>
      </w:pPr>
      <w:r>
        <w:rPr>
          <w:rFonts w:ascii="宋体" w:hAnsi="宋体" w:hint="eastAsia"/>
          <w:szCs w:val="21"/>
        </w:rPr>
        <w:t>5.3.2  由两个或两个以上的自然人、法人或者其他组织可以组成一个联合体，以一个供应商的身份共同投标时，应符合以下原则：</w:t>
      </w:r>
    </w:p>
    <w:p w:rsidR="007900F6" w:rsidP="007900F6">
      <w:pPr>
        <w:spacing w:line="360" w:lineRule="auto"/>
        <w:ind w:firstLine="470" w:firstLineChars="196"/>
        <w:rPr>
          <w:rFonts w:ascii="宋体" w:hAnsi="宋体"/>
        </w:rPr>
      </w:pPr>
      <w:r>
        <w:rPr>
          <w:rFonts w:ascii="宋体" w:hAnsi="宋体" w:hint="eastAsia"/>
        </w:rPr>
        <w:t>（1）投标联合体各方参加政府采购活动应当具备下列条件：</w:t>
      </w:r>
      <w:r>
        <w:rPr>
          <w:rFonts w:ascii="宋体" w:hAnsi="宋体"/>
        </w:rPr>
        <w:t xml:space="preserve"> </w:t>
      </w:r>
    </w:p>
    <w:p w:rsidR="007900F6" w:rsidP="007900F6">
      <w:pPr>
        <w:spacing w:line="360" w:lineRule="auto"/>
        <w:ind w:left="480" w:firstLine="470" w:leftChars="200" w:firstLineChars="196"/>
        <w:rPr>
          <w:rFonts w:ascii="宋体" w:hAnsi="宋体"/>
        </w:rPr>
      </w:pPr>
      <w:r>
        <w:rPr>
          <w:rFonts w:ascii="宋体" w:hAnsi="宋体" w:hint="eastAsia"/>
        </w:rPr>
        <w:t>1、具有独立承担民事责任的能力；</w:t>
      </w:r>
      <w:r>
        <w:rPr>
          <w:rFonts w:ascii="宋体" w:hAnsi="宋体"/>
        </w:rPr>
        <w:t xml:space="preserve"> </w:t>
      </w:r>
    </w:p>
    <w:p w:rsidR="007900F6" w:rsidP="007900F6">
      <w:pPr>
        <w:spacing w:line="360" w:lineRule="auto"/>
        <w:ind w:left="420" w:firstLine="470" w:firstLineChars="196"/>
        <w:rPr>
          <w:rFonts w:ascii="宋体" w:hAnsi="宋体"/>
        </w:rPr>
      </w:pPr>
      <w:r>
        <w:rPr>
          <w:rFonts w:ascii="宋体" w:hAnsi="宋体" w:hint="eastAsia"/>
        </w:rPr>
        <w:t>2、有良好的商业信誉和健全的财务会计制度；</w:t>
      </w:r>
      <w:r>
        <w:rPr>
          <w:rFonts w:ascii="宋体" w:hAnsi="宋体"/>
        </w:rPr>
        <w:t xml:space="preserve"> </w:t>
      </w:r>
    </w:p>
    <w:p w:rsidR="007900F6" w:rsidP="007900F6">
      <w:pPr>
        <w:spacing w:line="360" w:lineRule="auto"/>
        <w:ind w:left="480" w:firstLine="470" w:leftChars="200" w:firstLineChars="196"/>
        <w:rPr>
          <w:rFonts w:ascii="宋体" w:hAnsi="宋体"/>
        </w:rPr>
      </w:pPr>
      <w:r>
        <w:rPr>
          <w:rFonts w:ascii="宋体" w:hAnsi="宋体" w:hint="eastAsia"/>
        </w:rPr>
        <w:t>3、具有履行合同所必需的设备和专业技术能力；</w:t>
      </w:r>
      <w:r>
        <w:rPr>
          <w:rFonts w:ascii="宋体" w:hAnsi="宋体"/>
        </w:rPr>
        <w:t xml:space="preserve"> </w:t>
      </w:r>
    </w:p>
    <w:p w:rsidR="007900F6" w:rsidP="007900F6">
      <w:pPr>
        <w:spacing w:line="360" w:lineRule="auto"/>
        <w:ind w:left="480" w:firstLine="470" w:leftChars="200" w:firstLineChars="196"/>
        <w:rPr>
          <w:rFonts w:ascii="宋体" w:hAnsi="宋体"/>
        </w:rPr>
      </w:pPr>
      <w:r>
        <w:rPr>
          <w:rFonts w:ascii="宋体" w:hAnsi="宋体" w:hint="eastAsia"/>
        </w:rPr>
        <w:t>4、有依法缴纳税收和社会保障资金的良好记录；</w:t>
      </w:r>
      <w:r>
        <w:rPr>
          <w:rFonts w:ascii="宋体" w:hAnsi="宋体"/>
        </w:rPr>
        <w:t xml:space="preserve"> </w:t>
      </w:r>
    </w:p>
    <w:p w:rsidR="007900F6" w:rsidP="007900F6">
      <w:pPr>
        <w:spacing w:line="360" w:lineRule="auto"/>
        <w:ind w:left="480" w:firstLine="470" w:leftChars="200" w:firstLineChars="196"/>
        <w:rPr>
          <w:rFonts w:ascii="宋体" w:hAnsi="宋体"/>
        </w:rPr>
      </w:pPr>
      <w:r>
        <w:rPr>
          <w:rFonts w:ascii="宋体" w:hAnsi="宋体" w:hint="eastAsia"/>
        </w:rPr>
        <w:t>5、参加政府采购活动前三年内，在经营活动中没有重大违法记录；</w:t>
      </w:r>
      <w:r>
        <w:rPr>
          <w:rFonts w:ascii="宋体" w:hAnsi="宋体"/>
        </w:rPr>
        <w:t xml:space="preserve"> </w:t>
      </w:r>
    </w:p>
    <w:p w:rsidR="007900F6" w:rsidP="007900F6">
      <w:pPr>
        <w:spacing w:line="360" w:lineRule="auto"/>
        <w:ind w:left="480" w:firstLine="470" w:leftChars="200" w:firstLineChars="196"/>
        <w:rPr>
          <w:rFonts w:ascii="宋体" w:hAnsi="宋体"/>
        </w:rPr>
      </w:pPr>
      <w:r>
        <w:rPr>
          <w:rFonts w:ascii="宋体" w:hAnsi="宋体" w:hint="eastAsia"/>
        </w:rPr>
        <w:t>6、法律、行政法规规定的其他条件。</w:t>
      </w:r>
      <w:r>
        <w:rPr>
          <w:rFonts w:ascii="宋体" w:hAnsi="宋体"/>
        </w:rPr>
        <w:t xml:space="preserve"> </w:t>
      </w:r>
    </w:p>
    <w:p w:rsidR="007900F6" w:rsidP="007900F6">
      <w:pPr>
        <w:spacing w:line="360" w:lineRule="auto"/>
        <w:ind w:firstLine="470" w:firstLineChars="196"/>
        <w:rPr>
          <w:rFonts w:ascii="宋体" w:hAnsi="宋体"/>
        </w:rPr>
      </w:pPr>
      <w:r>
        <w:rPr>
          <w:rFonts w:ascii="宋体" w:hAnsi="宋体" w:hint="eastAsia"/>
        </w:rPr>
        <w:t>（2）投标联合体各方必须有一方先行注册成政府采购供应商。在投标截止前，投标联合体各方均应注册成政府采购供应商；</w:t>
      </w:r>
    </w:p>
    <w:p w:rsidR="007900F6" w:rsidP="007900F6">
      <w:pPr>
        <w:spacing w:line="360" w:lineRule="auto"/>
        <w:ind w:firstLine="470" w:firstLineChars="196"/>
        <w:rPr>
          <w:rFonts w:ascii="宋体" w:hAnsi="宋体"/>
        </w:rPr>
      </w:pPr>
      <w:r>
        <w:rPr>
          <w:rFonts w:ascii="宋体" w:hAnsi="宋体" w:hint="eastAsia"/>
        </w:rPr>
        <w:t>（3）联合体中有同类资质的供应商按照联合体分工承担相同工作的，应当按照资质等级较低的供应商确定资质等级。</w:t>
      </w:r>
    </w:p>
    <w:p w:rsidR="007900F6" w:rsidP="007900F6">
      <w:pPr>
        <w:spacing w:line="360" w:lineRule="auto"/>
        <w:ind w:firstLine="470" w:firstLineChars="196"/>
      </w:pPr>
      <w:r>
        <w:rPr>
          <w:rFonts w:hint="eastAsia"/>
        </w:rPr>
        <w:t>（4）是否允许联合体参加投标，应当由采购人和采购代理机构根据项目的实际情况和潜在供应商的数量自主决定，如果决定接受联合体投标则应当在采购公告中明示。</w:t>
      </w:r>
    </w:p>
    <w:p w:rsidR="007900F6" w:rsidP="007900F6">
      <w:pPr>
        <w:spacing w:line="360" w:lineRule="auto"/>
        <w:ind w:firstLine="470" w:firstLineChars="196"/>
        <w:rPr>
          <w:rFonts w:ascii="宋体" w:hAnsi="宋体"/>
        </w:rPr>
      </w:pPr>
      <w:r>
        <w:rPr>
          <w:rFonts w:ascii="宋体" w:hAnsi="宋体" w:hint="eastAsia"/>
        </w:rPr>
        <w:t>（5）投标人的投标文件及中标后签署的合同协议对联合体各方均具法律约束力；</w:t>
      </w:r>
    </w:p>
    <w:p w:rsidR="007900F6" w:rsidP="007900F6">
      <w:pPr>
        <w:spacing w:line="360" w:lineRule="auto"/>
        <w:ind w:firstLine="470" w:firstLineChars="196"/>
        <w:rPr>
          <w:rFonts w:ascii="宋体" w:hAnsi="宋体"/>
        </w:rPr>
      </w:pPr>
      <w:r>
        <w:rPr>
          <w:rFonts w:ascii="宋体" w:hAnsi="宋体" w:hint="eastAsia"/>
        </w:rPr>
        <w:t>（6）联合体各方应当签订共同投标协议，明确约定各方拟承担的工作和责任，并将该共同投标协议随投标文件一并递交给采购实施机构；</w:t>
      </w:r>
    </w:p>
    <w:p w:rsidR="007900F6" w:rsidP="007900F6">
      <w:pPr>
        <w:spacing w:line="360" w:lineRule="auto"/>
        <w:ind w:firstLine="470" w:firstLineChars="196"/>
        <w:rPr>
          <w:rFonts w:ascii="宋体" w:hAnsi="宋体"/>
        </w:rPr>
      </w:pPr>
      <w:r>
        <w:rPr>
          <w:rFonts w:ascii="宋体" w:hAnsi="宋体" w:hint="eastAsia"/>
        </w:rPr>
        <w:t>（7）联合体中标后，联合体各方应当共同与采购人签订合同，就中标项目向采购人承担连带责任；</w:t>
      </w:r>
    </w:p>
    <w:p w:rsidR="007900F6" w:rsidP="007900F6">
      <w:pPr>
        <w:spacing w:line="360" w:lineRule="auto"/>
        <w:ind w:firstLine="470" w:firstLineChars="196"/>
        <w:rPr>
          <w:rFonts w:ascii="宋体" w:hAnsi="宋体"/>
        </w:rPr>
      </w:pPr>
      <w:r>
        <w:rPr>
          <w:rFonts w:ascii="宋体" w:hAnsi="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7900F6" w:rsidP="007900F6">
      <w:pPr>
        <w:spacing w:line="360" w:lineRule="auto"/>
        <w:ind w:firstLine="470" w:firstLineChars="196"/>
        <w:rPr>
          <w:rFonts w:ascii="宋体" w:hAnsi="宋体"/>
          <w:szCs w:val="21"/>
        </w:rPr>
      </w:pPr>
      <w:r>
        <w:rPr>
          <w:rFonts w:ascii="宋体" w:hAnsi="宋体" w:hint="eastAsia"/>
        </w:rPr>
        <w:t>（9）本通用条款中“投标人”一词亦指联合体各方，专用条款另有规定或说明的除外。</w:t>
      </w:r>
    </w:p>
    <w:p w:rsidR="007900F6">
      <w:pPr>
        <w:spacing w:line="360" w:lineRule="auto"/>
        <w:rPr>
          <w:rFonts w:ascii="黑体" w:eastAsia="黑体" w:hAnsi="宋体"/>
          <w:sz w:val="24"/>
        </w:rPr>
      </w:pPr>
      <w:r>
        <w:rPr>
          <w:rFonts w:ascii="黑体" w:eastAsia="黑体" w:hAnsi="宋体" w:hint="eastAsia"/>
          <w:sz w:val="24"/>
        </w:rPr>
        <w:t>6．政策导向</w:t>
      </w:r>
    </w:p>
    <w:p w:rsidR="007900F6">
      <w:pPr>
        <w:spacing w:line="360" w:lineRule="auto"/>
        <w:ind w:firstLine="360" w:firstLineChars="150"/>
        <w:rPr>
          <w:bCs/>
          <w:szCs w:val="21"/>
        </w:rPr>
      </w:pPr>
      <w:r>
        <w:rPr>
          <w:rFonts w:hint="eastAsia"/>
          <w:bCs/>
          <w:szCs w:val="21"/>
        </w:rPr>
        <w:t>6.1 2014年起，政府部门、国有企业在进行设备或工程采购时，应在招标文件中明确要求工程机械、装卸机械满足国家现阶段非道路移动机械用柴油机排放标准，并鼓励使用LNG或电动工程机械、装卸机械。2015年起，政府部门、国有企业采购设备或工程项目中选用LNG或电动工程机械、装卸机械的比例不低于30%。</w:t>
      </w:r>
    </w:p>
    <w:p w:rsidR="007900F6">
      <w:pPr>
        <w:spacing w:line="360" w:lineRule="auto"/>
        <w:ind w:firstLine="405"/>
        <w:rPr>
          <w:shd w:val="clear" w:color="auto" w:fill="FFFFFF"/>
        </w:rPr>
      </w:pPr>
      <w:r>
        <w:rPr>
          <w:rFonts w:hint="eastAsia"/>
          <w:shd w:val="clear" w:color="auto" w:fill="FFFFFF"/>
        </w:rPr>
        <w:t xml:space="preserve">6.2 </w:t>
      </w:r>
      <w:r>
        <w:rPr>
          <w:rFonts w:ascii="宋体" w:hAnsi="宋体" w:hint="eastAsia"/>
        </w:rPr>
        <w:t>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rsidR="007900F6">
      <w:pPr>
        <w:spacing w:line="360" w:lineRule="auto"/>
        <w:rPr>
          <w:rFonts w:ascii="黑体" w:eastAsia="黑体" w:hAnsi="宋体"/>
          <w:sz w:val="24"/>
        </w:rPr>
      </w:pPr>
      <w:r>
        <w:rPr>
          <w:rFonts w:ascii="黑体" w:eastAsia="黑体" w:hAnsi="宋体" w:hint="eastAsia"/>
          <w:sz w:val="24"/>
        </w:rPr>
        <w:t>7. 本项目若涉及采购货物，则合格的货物及相应服务应满足以下要求：</w:t>
      </w:r>
    </w:p>
    <w:p w:rsidR="007900F6" w:rsidP="007900F6">
      <w:pPr>
        <w:spacing w:line="360" w:lineRule="auto"/>
        <w:ind w:firstLine="470" w:firstLineChars="196"/>
        <w:rPr>
          <w:rFonts w:ascii="宋体" w:hAnsi="宋体"/>
        </w:rPr>
      </w:pPr>
      <w:r>
        <w:rPr>
          <w:rFonts w:ascii="宋体" w:hAnsi="宋体" w:hint="eastAsia"/>
        </w:rPr>
        <w:t>7</w:t>
      </w:r>
      <w:r>
        <w:rPr>
          <w:rFonts w:ascii="宋体" w:hAnsi="宋体"/>
        </w:rPr>
        <w:t xml:space="preserve">.1  </w:t>
      </w:r>
      <w:r>
        <w:rPr>
          <w:rFonts w:ascii="宋体" w:hAnsi="宋体" w:hint="eastAsia"/>
        </w:rPr>
        <w:t>必须是全新、未使用过的原装合格正品（包括零部件），如安装或配置了软件的，须为正版软件。</w:t>
      </w:r>
    </w:p>
    <w:p w:rsidR="007900F6" w:rsidP="007900F6">
      <w:pPr>
        <w:spacing w:line="360" w:lineRule="auto"/>
        <w:ind w:firstLine="470" w:firstLineChars="196"/>
        <w:rPr>
          <w:rFonts w:ascii="宋体" w:hAnsi="宋体"/>
        </w:rPr>
      </w:pPr>
      <w:r>
        <w:rPr>
          <w:rFonts w:ascii="宋体" w:hAnsi="宋体" w:hint="eastAsia"/>
        </w:rPr>
        <w:t>7.2  国产的货物及其有关服务必须符合中华人民共和国的设计、制造生产标准及行业标准。招标公告有其他要求的，亦应符合其要求。</w:t>
      </w:r>
    </w:p>
    <w:p w:rsidR="007900F6" w:rsidP="007900F6">
      <w:pPr>
        <w:spacing w:line="360" w:lineRule="auto"/>
        <w:ind w:firstLine="470" w:firstLineChars="196"/>
        <w:rPr>
          <w:rFonts w:ascii="宋体" w:hAnsi="宋体"/>
        </w:rPr>
      </w:pPr>
      <w:r>
        <w:rPr>
          <w:rFonts w:ascii="宋体" w:hAnsi="宋体" w:hint="eastAsia"/>
        </w:rPr>
        <w:t>7</w:t>
      </w:r>
      <w:r>
        <w:rPr>
          <w:rFonts w:ascii="宋体" w:hAnsi="宋体"/>
        </w:rPr>
        <w:t>.</w:t>
      </w:r>
      <w:r>
        <w:rPr>
          <w:rFonts w:ascii="宋体" w:hAnsi="宋体" w:hint="eastAsia"/>
        </w:rPr>
        <w:t>3</w:t>
      </w:r>
      <w:r>
        <w:rPr>
          <w:rFonts w:ascii="宋体" w:hAnsi="宋体"/>
        </w:rPr>
        <w:t xml:space="preserve">  </w:t>
      </w:r>
      <w:r>
        <w:rPr>
          <w:rFonts w:ascii="宋体" w:hAnsi="宋体" w:hint="eastAsia"/>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7900F6" w:rsidP="007900F6">
      <w:pPr>
        <w:spacing w:line="360" w:lineRule="auto"/>
        <w:ind w:firstLine="470" w:firstLineChars="196"/>
        <w:rPr>
          <w:rFonts w:ascii="宋体" w:hAnsi="宋体"/>
        </w:rPr>
      </w:pPr>
      <w:r>
        <w:rPr>
          <w:rFonts w:ascii="宋体" w:hAnsi="宋体" w:hint="eastAsia"/>
        </w:rPr>
        <w:t>7</w:t>
      </w:r>
      <w:r>
        <w:rPr>
          <w:rFonts w:ascii="宋体" w:hAnsi="宋体"/>
        </w:rPr>
        <w:t>.</w:t>
      </w:r>
      <w:r>
        <w:rPr>
          <w:rFonts w:ascii="宋体" w:hAnsi="宋体" w:hint="eastAsia"/>
        </w:rPr>
        <w:t>4</w:t>
      </w:r>
      <w:r>
        <w:rPr>
          <w:rFonts w:ascii="宋体" w:hAnsi="宋体"/>
        </w:rPr>
        <w:t xml:space="preserve">  </w:t>
      </w:r>
      <w:r>
        <w:rPr>
          <w:rFonts w:ascii="宋体" w:hAnsi="宋体" w:hint="eastAsia"/>
        </w:rPr>
        <w:t>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7900F6" w:rsidP="007900F6">
      <w:pPr>
        <w:spacing w:line="360" w:lineRule="auto"/>
        <w:ind w:firstLine="470" w:firstLineChars="196"/>
        <w:rPr>
          <w:rFonts w:ascii="宋体" w:hAnsi="宋体"/>
        </w:rPr>
      </w:pPr>
      <w:r>
        <w:rPr>
          <w:rFonts w:ascii="宋体" w:hAnsi="宋体" w:hint="eastAsia"/>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7900F6" w:rsidP="007900F6">
      <w:pPr>
        <w:spacing w:line="360" w:lineRule="auto"/>
        <w:ind w:firstLine="470" w:firstLineChars="196"/>
        <w:rPr>
          <w:rFonts w:ascii="宋体" w:hAnsi="宋体"/>
        </w:rPr>
      </w:pPr>
      <w:r>
        <w:rPr>
          <w:rFonts w:ascii="宋体" w:hAnsi="宋体" w:hint="eastAsia"/>
        </w:rPr>
        <w:t>7.6  对工期的要求：投标人在投标时对其所投项目应提交交货进度、交货计划等，在合同规定的时间内完工验收。</w:t>
      </w:r>
    </w:p>
    <w:p w:rsidR="007900F6" w:rsidP="007900F6">
      <w:pPr>
        <w:spacing w:line="360" w:lineRule="auto"/>
        <w:ind w:firstLine="470" w:firstLineChars="196"/>
        <w:rPr>
          <w:rFonts w:ascii="宋体" w:hAnsi="宋体"/>
        </w:rPr>
      </w:pPr>
      <w:r>
        <w:rPr>
          <w:rFonts w:ascii="宋体" w:hAnsi="宋体" w:hint="eastAsia"/>
        </w:rPr>
        <w:t>7.7  投标人必须承担的设备运输、安装调试、验收检测和提供设备操作说明书、图纸等其他相关及类似的义务。</w:t>
      </w:r>
    </w:p>
    <w:p w:rsidR="007900F6">
      <w:pPr>
        <w:spacing w:line="360" w:lineRule="auto"/>
        <w:rPr>
          <w:rFonts w:ascii="黑体" w:eastAsia="黑体" w:hAnsi="宋体"/>
          <w:sz w:val="24"/>
        </w:rPr>
      </w:pPr>
      <w:r>
        <w:rPr>
          <w:rFonts w:ascii="黑体" w:eastAsia="黑体" w:hAnsi="宋体" w:hint="eastAsia"/>
          <w:sz w:val="24"/>
        </w:rPr>
        <w:t>8．投标费用</w:t>
      </w:r>
    </w:p>
    <w:p w:rsidR="007900F6" w:rsidP="007900F6">
      <w:pPr>
        <w:spacing w:line="360" w:lineRule="auto"/>
        <w:ind w:firstLine="470" w:firstLineChars="196"/>
        <w:rPr>
          <w:rFonts w:ascii="宋体" w:hAnsi="宋体"/>
          <w:szCs w:val="21"/>
        </w:rPr>
      </w:pPr>
      <w:r>
        <w:rPr>
          <w:rFonts w:ascii="宋体" w:hAnsi="宋体" w:hint="eastAsia"/>
          <w:szCs w:val="21"/>
        </w:rPr>
        <w:t>不论投标结果如何，投标人应承担其编制投标文件与递交投标文件所涉及的一切费用。</w:t>
      </w:r>
    </w:p>
    <w:p w:rsidR="007900F6">
      <w:pPr>
        <w:spacing w:line="360" w:lineRule="auto"/>
        <w:rPr>
          <w:rFonts w:ascii="黑体" w:eastAsia="黑体" w:hAnsi="宋体"/>
          <w:sz w:val="24"/>
        </w:rPr>
      </w:pPr>
      <w:r>
        <w:rPr>
          <w:rFonts w:ascii="黑体" w:eastAsia="黑体" w:hAnsi="宋体" w:hint="eastAsia"/>
          <w:sz w:val="24"/>
        </w:rPr>
        <w:t>9．踏勘现场</w:t>
      </w:r>
    </w:p>
    <w:p w:rsidR="007900F6" w:rsidP="007900F6">
      <w:pPr>
        <w:spacing w:line="360" w:lineRule="auto"/>
        <w:ind w:firstLine="470" w:firstLineChars="196"/>
        <w:rPr>
          <w:rFonts w:ascii="宋体" w:hAnsi="宋体"/>
          <w:szCs w:val="21"/>
        </w:rPr>
      </w:pPr>
      <w:r>
        <w:rPr>
          <w:rFonts w:ascii="宋体" w:hAnsi="宋体" w:hint="eastAsia"/>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7900F6" w:rsidP="007900F6">
      <w:pPr>
        <w:spacing w:line="360" w:lineRule="auto"/>
        <w:ind w:firstLine="470" w:firstLineChars="196"/>
        <w:rPr>
          <w:rFonts w:ascii="宋体" w:hAnsi="宋体"/>
        </w:rPr>
      </w:pPr>
      <w:r>
        <w:rPr>
          <w:rFonts w:ascii="宋体" w:hAnsi="宋体" w:hint="eastAsia"/>
        </w:rPr>
        <w:t>9.2投标人及其人员经过采购人的允许，可以进入采购人的项目现场踏勘。若招标文件要求投标人于统一时间地点踏勘现场的，投标人应当按时前往。</w:t>
      </w:r>
    </w:p>
    <w:p w:rsidR="007900F6" w:rsidP="007900F6">
      <w:pPr>
        <w:spacing w:line="360" w:lineRule="auto"/>
        <w:ind w:firstLine="470" w:firstLineChars="196"/>
        <w:rPr>
          <w:rFonts w:ascii="宋体" w:hAnsi="宋体"/>
        </w:rPr>
      </w:pPr>
      <w:r>
        <w:rPr>
          <w:rFonts w:ascii="宋体" w:hAnsi="宋体" w:hint="eastAsia"/>
        </w:rPr>
        <w:t>9.3采购人必须通过采购实施机构向投标人提供有关现场的资料和数据。</w:t>
      </w:r>
    </w:p>
    <w:p w:rsidR="007900F6" w:rsidP="007900F6">
      <w:pPr>
        <w:spacing w:line="360" w:lineRule="auto"/>
        <w:ind w:firstLine="470" w:firstLineChars="196"/>
        <w:rPr>
          <w:rFonts w:ascii="宋体" w:hAnsi="宋体"/>
        </w:rPr>
      </w:pPr>
      <w:r>
        <w:rPr>
          <w:rFonts w:ascii="宋体" w:hAnsi="宋体" w:hint="eastAsia"/>
        </w:rPr>
        <w:t>9.4任何人或任何组织在踏勘现场时向投标人提交的任何书面资料或口头承诺，未经</w:t>
      </w:r>
      <w:r>
        <w:rPr>
          <w:rFonts w:ascii="宋体" w:hAnsi="宋体" w:hint="eastAsia"/>
          <w:szCs w:val="21"/>
        </w:rPr>
        <w:t>采购实施机构</w:t>
      </w:r>
      <w:r>
        <w:rPr>
          <w:rFonts w:ascii="宋体" w:hAnsi="宋体" w:hint="eastAsia"/>
        </w:rPr>
        <w:t>在网上发布或书面通知，均作无效处理。</w:t>
      </w:r>
    </w:p>
    <w:p w:rsidR="007900F6">
      <w:pPr>
        <w:spacing w:line="360" w:lineRule="auto"/>
        <w:rPr>
          <w:rFonts w:ascii="黑体" w:eastAsia="黑体" w:hAnsi="宋体"/>
          <w:sz w:val="24"/>
        </w:rPr>
      </w:pPr>
      <w:r>
        <w:rPr>
          <w:rFonts w:ascii="黑体" w:eastAsia="黑体" w:hAnsi="宋体" w:hint="eastAsia"/>
          <w:sz w:val="24"/>
        </w:rPr>
        <w:t>10．招标采购的询问、质疑、投诉。</w:t>
      </w:r>
    </w:p>
    <w:p w:rsidR="007900F6">
      <w:pPr>
        <w:widowControl/>
        <w:tabs>
          <w:tab w:val="left" w:pos="426"/>
        </w:tabs>
        <w:snapToGrid w:val="0"/>
        <w:spacing w:line="360" w:lineRule="auto"/>
        <w:ind w:left="367" w:firstLine="360" w:leftChars="153" w:firstLineChars="150"/>
        <w:jc w:val="left"/>
        <w:rPr>
          <w:rFonts w:ascii="宋体" w:hAnsi="宋体" w:cs="宋体"/>
          <w:kern w:val="0"/>
          <w:szCs w:val="21"/>
        </w:rPr>
      </w:pPr>
      <w:r>
        <w:rPr>
          <w:rFonts w:ascii="宋体" w:hAnsi="宋体" w:cs="宋体" w:hint="eastAsia"/>
          <w:kern w:val="0"/>
          <w:szCs w:val="21"/>
        </w:rPr>
        <w:t>10.1、询问与澄清：供应商如认为采购文件存在不明确、不清晰和前后不一致等问题，要求对采购文件提出询问，应在采购文件公布之日依照相关法规要求在规定的时间内以书面形式提出。采购人或深圳市国信招标有限公司依照相关法规要求作出答询或澄清（包括网站发布信息）。</w:t>
      </w:r>
    </w:p>
    <w:p w:rsidR="007900F6">
      <w:pPr>
        <w:widowControl/>
        <w:snapToGrid w:val="0"/>
        <w:spacing w:line="360" w:lineRule="auto"/>
        <w:ind w:left="200" w:firstLine="480" w:firstLineChars="200"/>
        <w:jc w:val="left"/>
        <w:rPr>
          <w:rFonts w:ascii="宋体" w:hAnsi="宋体" w:cs="宋体"/>
          <w:kern w:val="0"/>
          <w:szCs w:val="21"/>
        </w:rPr>
      </w:pPr>
      <w:r>
        <w:rPr>
          <w:rFonts w:ascii="宋体" w:hAnsi="宋体" w:cs="宋体" w:hint="eastAsia"/>
          <w:kern w:val="0"/>
          <w:szCs w:val="21"/>
        </w:rPr>
        <w:t>询问现场提交、邮寄地址：深圳市福田区福田街道福安社区民田路178号华融大厦1007、1008深圳市国信招标有限公司。</w:t>
      </w:r>
    </w:p>
    <w:p w:rsidR="007900F6">
      <w:pPr>
        <w:widowControl/>
        <w:shd w:val="clear" w:color="auto" w:fill="FFFFFF"/>
        <w:snapToGrid w:val="0"/>
        <w:spacing w:after="240" w:line="360" w:lineRule="auto"/>
        <w:ind w:left="240" w:firstLine="480" w:leftChars="100" w:firstLineChars="200"/>
        <w:jc w:val="left"/>
        <w:textAlignment w:val="baseline"/>
        <w:rPr>
          <w:rFonts w:ascii="宋体" w:hAnsi="宋体" w:cs="宋体"/>
          <w:kern w:val="0"/>
          <w:szCs w:val="21"/>
        </w:rPr>
      </w:pPr>
      <w:r>
        <w:rPr>
          <w:rFonts w:ascii="宋体" w:hAnsi="宋体" w:cs="宋体" w:hint="eastAsia"/>
          <w:kern w:val="0"/>
          <w:szCs w:val="21"/>
        </w:rPr>
        <w:t>10.2、质疑:参与供应商（投标人）认为采购文件、采购过程、中标或者成交结果使自己的权益受到损害的，可以在知道或者应知其权益受到损害之日起7个工作日内，以书面形式向采购人、采购代理机构提出质疑。</w:t>
      </w:r>
    </w:p>
    <w:p w:rsidR="007900F6">
      <w:pPr>
        <w:widowControl/>
        <w:shd w:val="clear" w:color="auto" w:fill="FFFFFF"/>
        <w:snapToGrid w:val="0"/>
        <w:spacing w:after="240" w:line="360" w:lineRule="auto"/>
        <w:ind w:left="210" w:hanging="240" w:hangingChars="100"/>
        <w:jc w:val="left"/>
        <w:textAlignment w:val="baseline"/>
        <w:rPr>
          <w:rFonts w:ascii="宋体" w:hAnsi="宋体" w:cs="宋体"/>
          <w:kern w:val="0"/>
          <w:szCs w:val="21"/>
        </w:rPr>
      </w:pPr>
      <w:r>
        <w:rPr>
          <w:rFonts w:ascii="宋体" w:hAnsi="宋体" w:cs="宋体" w:hint="eastAsia"/>
          <w:kern w:val="0"/>
          <w:szCs w:val="21"/>
        </w:rPr>
        <w:t>　　   参与供应商应在在法定质疑期内一次性提出针对同一采购程序环节的质疑。参与供应商提出质疑应当提交质疑函和必要的证明材料。质疑函应当包括下列内容：</w:t>
      </w:r>
    </w:p>
    <w:p w:rsidR="007900F6">
      <w:pPr>
        <w:widowControl/>
        <w:shd w:val="clear" w:color="auto" w:fill="FFFFFF"/>
        <w:snapToGrid w:val="0"/>
        <w:spacing w:after="240" w:line="360" w:lineRule="auto"/>
        <w:jc w:val="left"/>
        <w:textAlignment w:val="baseline"/>
        <w:rPr>
          <w:rFonts w:ascii="宋体" w:hAnsi="宋体" w:cs="宋体"/>
          <w:kern w:val="0"/>
          <w:szCs w:val="21"/>
        </w:rPr>
      </w:pPr>
      <w:r>
        <w:rPr>
          <w:rFonts w:ascii="宋体" w:hAnsi="宋体" w:cs="宋体" w:hint="eastAsia"/>
          <w:kern w:val="0"/>
          <w:szCs w:val="21"/>
        </w:rPr>
        <w:t>　　（一）供应商的姓名或者名称、地址、邮编、联系人及联系电话；</w:t>
      </w:r>
    </w:p>
    <w:p w:rsidR="007900F6">
      <w:pPr>
        <w:widowControl/>
        <w:shd w:val="clear" w:color="auto" w:fill="FFFFFF"/>
        <w:snapToGrid w:val="0"/>
        <w:spacing w:after="240" w:line="360" w:lineRule="auto"/>
        <w:jc w:val="left"/>
        <w:textAlignment w:val="baseline"/>
        <w:rPr>
          <w:rFonts w:ascii="宋体" w:hAnsi="宋体" w:cs="宋体"/>
          <w:kern w:val="0"/>
          <w:szCs w:val="21"/>
        </w:rPr>
      </w:pPr>
      <w:r>
        <w:rPr>
          <w:rFonts w:ascii="宋体" w:hAnsi="宋体" w:cs="宋体" w:hint="eastAsia"/>
          <w:kern w:val="0"/>
          <w:szCs w:val="21"/>
        </w:rPr>
        <w:t>　　（二）质疑项目的名称、编号；</w:t>
      </w:r>
    </w:p>
    <w:p w:rsidR="007900F6">
      <w:pPr>
        <w:widowControl/>
        <w:shd w:val="clear" w:color="auto" w:fill="FFFFFF"/>
        <w:snapToGrid w:val="0"/>
        <w:spacing w:after="240" w:line="360" w:lineRule="auto"/>
        <w:jc w:val="left"/>
        <w:textAlignment w:val="baseline"/>
        <w:rPr>
          <w:rFonts w:ascii="宋体" w:hAnsi="宋体" w:cs="宋体"/>
          <w:kern w:val="0"/>
          <w:szCs w:val="21"/>
        </w:rPr>
      </w:pPr>
      <w:r>
        <w:rPr>
          <w:rFonts w:ascii="宋体" w:hAnsi="宋体" w:cs="宋体" w:hint="eastAsia"/>
          <w:kern w:val="0"/>
          <w:szCs w:val="21"/>
        </w:rPr>
        <w:t>　　（三）具体、明确的质疑事项和与质疑事项相关的请求；</w:t>
      </w:r>
    </w:p>
    <w:p w:rsidR="007900F6">
      <w:pPr>
        <w:widowControl/>
        <w:shd w:val="clear" w:color="auto" w:fill="FFFFFF"/>
        <w:snapToGrid w:val="0"/>
        <w:spacing w:after="240" w:line="360" w:lineRule="auto"/>
        <w:jc w:val="left"/>
        <w:textAlignment w:val="baseline"/>
        <w:rPr>
          <w:rFonts w:ascii="宋体" w:hAnsi="宋体" w:cs="宋体"/>
          <w:kern w:val="0"/>
          <w:szCs w:val="21"/>
        </w:rPr>
      </w:pPr>
      <w:r>
        <w:rPr>
          <w:rFonts w:ascii="宋体" w:hAnsi="宋体" w:cs="宋体" w:hint="eastAsia"/>
          <w:kern w:val="0"/>
          <w:szCs w:val="21"/>
        </w:rPr>
        <w:t>　　（四）事实依据；</w:t>
      </w:r>
    </w:p>
    <w:p w:rsidR="007900F6">
      <w:pPr>
        <w:widowControl/>
        <w:shd w:val="clear" w:color="auto" w:fill="FFFFFF"/>
        <w:snapToGrid w:val="0"/>
        <w:spacing w:after="240" w:line="360" w:lineRule="auto"/>
        <w:jc w:val="left"/>
        <w:textAlignment w:val="baseline"/>
        <w:rPr>
          <w:rFonts w:ascii="宋体" w:hAnsi="宋体" w:cs="宋体"/>
          <w:kern w:val="0"/>
          <w:szCs w:val="21"/>
        </w:rPr>
      </w:pPr>
      <w:r>
        <w:rPr>
          <w:rFonts w:ascii="宋体" w:hAnsi="宋体" w:cs="宋体" w:hint="eastAsia"/>
          <w:kern w:val="0"/>
          <w:szCs w:val="21"/>
        </w:rPr>
        <w:t>　　（五）必要的法律依据；</w:t>
      </w:r>
    </w:p>
    <w:p w:rsidR="007900F6">
      <w:pPr>
        <w:widowControl/>
        <w:shd w:val="clear" w:color="auto" w:fill="FFFFFF"/>
        <w:snapToGrid w:val="0"/>
        <w:spacing w:after="240" w:line="360" w:lineRule="auto"/>
        <w:jc w:val="left"/>
        <w:textAlignment w:val="baseline"/>
        <w:rPr>
          <w:rFonts w:ascii="宋体" w:hAnsi="宋体" w:cs="宋体"/>
          <w:kern w:val="0"/>
          <w:szCs w:val="21"/>
        </w:rPr>
      </w:pPr>
      <w:r>
        <w:rPr>
          <w:rFonts w:ascii="宋体" w:hAnsi="宋体" w:cs="宋体" w:hint="eastAsia"/>
          <w:kern w:val="0"/>
          <w:szCs w:val="21"/>
        </w:rPr>
        <w:t>　　（六）提出质疑的日期。</w:t>
      </w:r>
    </w:p>
    <w:p w:rsidR="007900F6">
      <w:pPr>
        <w:widowControl/>
        <w:shd w:val="clear" w:color="auto" w:fill="FFFFFF"/>
        <w:snapToGrid w:val="0"/>
        <w:spacing w:after="240" w:line="360" w:lineRule="auto"/>
        <w:ind w:left="105" w:hanging="120" w:hangingChars="50"/>
        <w:jc w:val="left"/>
        <w:textAlignment w:val="baseline"/>
        <w:rPr>
          <w:rFonts w:ascii="宋体" w:hAnsi="宋体" w:cs="宋体"/>
          <w:kern w:val="0"/>
          <w:szCs w:val="21"/>
        </w:rPr>
      </w:pPr>
      <w:r>
        <w:rPr>
          <w:rFonts w:ascii="宋体" w:hAnsi="宋体" w:cs="宋体" w:hint="eastAsia"/>
          <w:kern w:val="0"/>
          <w:szCs w:val="21"/>
        </w:rPr>
        <w:t>　　供应商为自然人的，应当由本人签字；供应商为法人或者其他组织的，应当由法定代表人、主要负责人，或者其授权代表签字或者盖章，并加盖公章。</w:t>
      </w:r>
    </w:p>
    <w:p w:rsidR="007900F6">
      <w:pPr>
        <w:widowControl/>
        <w:snapToGrid w:val="0"/>
        <w:spacing w:line="360" w:lineRule="auto"/>
        <w:ind w:left="200" w:firstLine="720" w:firstLineChars="300"/>
        <w:jc w:val="left"/>
        <w:rPr>
          <w:rFonts w:ascii="宋体" w:hAnsi="宋体" w:cs="宋体"/>
          <w:kern w:val="0"/>
          <w:szCs w:val="21"/>
        </w:rPr>
      </w:pPr>
      <w:r>
        <w:rPr>
          <w:rFonts w:ascii="宋体" w:hAnsi="宋体" w:cs="宋体" w:hint="eastAsia"/>
          <w:kern w:val="0"/>
          <w:szCs w:val="21"/>
        </w:rPr>
        <w:t>质疑函现场提交、邮寄地址：深圳市福田区福田街道福安社区民田路178号华融大厦1007、1008深圳市国信招标有限公司。</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10.3政府采购代理机构对疑问所做出的澄清和解答，以书面答复（包括网站发布信息）为准。答疑纪要的有效性规定按照本通用条款第13.3、13.4款规定执行。</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10.4如政府采购代理机构认为有必要组织现场答疑会，投标人应按照招标文件规定的时间或集中采购机构另行书面通知（包括网站发布的通知）的时间和地点，参与现场答疑会。</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10.5、投诉</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质疑供应商对采购人、采购代理机构的答复不满意，或者采购人、采购代理机构未在规定时间内作出答复的，可以在答复期满后15个工作日内向法规规定的资金预算监管部门（财政部门）提起投诉。</w:t>
      </w:r>
    </w:p>
    <w:p w:rsidR="007900F6" w:rsidP="007900F6">
      <w:pPr>
        <w:snapToGrid w:val="0"/>
        <w:spacing w:line="360" w:lineRule="auto"/>
        <w:ind w:firstLine="470" w:firstLineChars="196"/>
        <w:rPr>
          <w:rFonts w:ascii="宋体" w:hAnsi="宋体"/>
          <w:szCs w:val="21"/>
        </w:rPr>
      </w:pPr>
    </w:p>
    <w:p w:rsidR="007900F6">
      <w:pPr>
        <w:pStyle w:val="Heading2"/>
        <w:numPr>
          <w:ilvl w:val="0"/>
          <w:numId w:val="89"/>
        </w:numPr>
        <w:tabs>
          <w:tab w:val="left" w:pos="720"/>
          <w:tab w:val="clear" w:pos="5965"/>
        </w:tabs>
        <w:spacing w:before="120" w:beforeLines="50" w:after="120" w:afterLines="50" w:line="360" w:lineRule="auto"/>
        <w:ind w:left="720"/>
        <w:rPr>
          <w:sz w:val="28"/>
          <w:szCs w:val="28"/>
        </w:rPr>
      </w:pPr>
      <w:r>
        <w:rPr>
          <w:rFonts w:hint="eastAsia"/>
          <w:sz w:val="28"/>
          <w:szCs w:val="28"/>
        </w:rPr>
        <w:t>招标文件</w:t>
      </w:r>
    </w:p>
    <w:p w:rsidR="007900F6">
      <w:pPr>
        <w:spacing w:line="360" w:lineRule="auto"/>
        <w:rPr>
          <w:rFonts w:ascii="黑体" w:eastAsia="黑体" w:hAnsi="宋体"/>
          <w:sz w:val="24"/>
        </w:rPr>
      </w:pPr>
      <w:r>
        <w:rPr>
          <w:rFonts w:ascii="黑体" w:eastAsia="黑体" w:hAnsi="宋体" w:hint="eastAsia"/>
          <w:sz w:val="24"/>
        </w:rPr>
        <w:t>11．招标文件的编制与组成</w:t>
      </w:r>
    </w:p>
    <w:p w:rsidR="007900F6">
      <w:pPr>
        <w:snapToGrid w:val="0"/>
        <w:spacing w:line="360" w:lineRule="auto"/>
        <w:ind w:firstLine="480" w:firstLineChars="200"/>
        <w:rPr>
          <w:rFonts w:ascii="宋体" w:hAnsi="宋体"/>
          <w:szCs w:val="21"/>
        </w:rPr>
      </w:pPr>
      <w:r>
        <w:rPr>
          <w:rFonts w:ascii="宋体" w:hAnsi="宋体" w:hint="eastAsia"/>
          <w:szCs w:val="21"/>
        </w:rPr>
        <w:t>11.1招标文件除以下内容外，采购实施机构在招标（或谈判）期间发出的答疑、澄清或修改等相关公告或通知内容，均是招标文件的组成部分，对投标人起约束作用；</w:t>
      </w:r>
    </w:p>
    <w:p w:rsidR="007900F6" w:rsidP="007900F6">
      <w:pPr>
        <w:spacing w:line="360" w:lineRule="auto"/>
        <w:ind w:firstLine="470" w:firstLineChars="196"/>
        <w:rPr>
          <w:rFonts w:ascii="宋体" w:hAnsi="宋体"/>
          <w:szCs w:val="21"/>
        </w:rPr>
      </w:pPr>
      <w:r>
        <w:rPr>
          <w:rFonts w:ascii="宋体" w:hAnsi="宋体" w:hint="eastAsia"/>
          <w:szCs w:val="21"/>
        </w:rPr>
        <w:t>招标文件包括下列内容：</w:t>
      </w:r>
    </w:p>
    <w:p w:rsidR="007900F6">
      <w:pPr>
        <w:spacing w:line="360" w:lineRule="auto"/>
        <w:ind w:left="480" w:firstLine="470" w:leftChars="200" w:firstLineChars="196"/>
        <w:rPr>
          <w:rFonts w:ascii="宋体" w:hAnsi="宋体"/>
          <w:b/>
          <w:szCs w:val="21"/>
        </w:rPr>
      </w:pPr>
      <w:r>
        <w:rPr>
          <w:rFonts w:ascii="宋体" w:hAnsi="宋体" w:hint="eastAsia"/>
          <w:b/>
          <w:szCs w:val="21"/>
        </w:rPr>
        <w:t>第一册  专用条款</w:t>
      </w:r>
    </w:p>
    <w:p w:rsidR="007900F6">
      <w:pPr>
        <w:spacing w:line="360" w:lineRule="auto"/>
        <w:ind w:left="1234" w:leftChars="514"/>
        <w:rPr>
          <w:rFonts w:ascii="宋体" w:hAnsi="宋体"/>
          <w:b/>
          <w:szCs w:val="21"/>
        </w:rPr>
      </w:pPr>
      <w:r>
        <w:rPr>
          <w:rFonts w:ascii="宋体" w:hAnsi="宋体" w:hint="eastAsia"/>
          <w:b/>
          <w:szCs w:val="21"/>
        </w:rPr>
        <w:t>关键信息</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第一章  招标公告</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第二章  招标项目需求</w:t>
      </w:r>
    </w:p>
    <w:p w:rsidR="007900F6" w:rsidP="007900F6">
      <w:pPr>
        <w:spacing w:line="360" w:lineRule="auto"/>
        <w:ind w:left="720" w:firstLine="470" w:leftChars="300" w:firstLineChars="196"/>
        <w:rPr>
          <w:rFonts w:ascii="宋体" w:hAnsi="宋体"/>
          <w:szCs w:val="21"/>
        </w:rPr>
      </w:pPr>
      <w:r>
        <w:rPr>
          <w:rFonts w:ascii="宋体" w:hAnsi="宋体" w:hint="eastAsia"/>
          <w:szCs w:val="21"/>
        </w:rPr>
        <w:t xml:space="preserve">第三章  </w:t>
      </w:r>
      <w:r>
        <w:rPr>
          <w:rFonts w:hint="eastAsia"/>
        </w:rPr>
        <w:t>投标文件格式、附件</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第四章  合同及履约情况反馈格式</w:t>
      </w:r>
    </w:p>
    <w:p w:rsidR="007900F6">
      <w:pPr>
        <w:spacing w:line="360" w:lineRule="auto"/>
        <w:ind w:left="480" w:firstLine="470" w:leftChars="200" w:firstLineChars="196"/>
        <w:rPr>
          <w:rFonts w:ascii="宋体" w:hAnsi="宋体"/>
          <w:b/>
          <w:szCs w:val="21"/>
        </w:rPr>
      </w:pPr>
      <w:r>
        <w:rPr>
          <w:rFonts w:ascii="宋体" w:hAnsi="宋体" w:hint="eastAsia"/>
          <w:b/>
          <w:szCs w:val="21"/>
        </w:rPr>
        <w:t>第二册  通用条款</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第一章  总则</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第二章  招标文件</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第三章  投标文件的编制</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第四章  投标文件的递交</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第五章  开标</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第六章  评标要求</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第七章  评标程序及评标方法</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第八章  定标及公示</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第九章  公开招标失败的后续处理</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第十章  合同的授予与备案</w:t>
      </w:r>
    </w:p>
    <w:p w:rsidR="007900F6" w:rsidP="007900F6">
      <w:pPr>
        <w:spacing w:line="360" w:lineRule="auto"/>
        <w:ind w:left="720" w:firstLine="470" w:leftChars="300" w:firstLineChars="196"/>
        <w:rPr>
          <w:rFonts w:ascii="宋体" w:hAnsi="宋体"/>
          <w:szCs w:val="21"/>
        </w:rPr>
      </w:pPr>
      <w:r>
        <w:rPr>
          <w:rFonts w:ascii="宋体" w:hAnsi="宋体" w:hint="eastAsia"/>
          <w:szCs w:val="21"/>
        </w:rPr>
        <w:t>第十一章  质疑处理</w:t>
      </w:r>
    </w:p>
    <w:p w:rsidR="007900F6" w:rsidP="007900F6">
      <w:pPr>
        <w:spacing w:line="360" w:lineRule="auto"/>
        <w:ind w:left="720" w:firstLine="470" w:leftChars="300" w:firstLineChars="196"/>
        <w:rPr>
          <w:rFonts w:ascii="宋体" w:hAnsi="宋体"/>
          <w:szCs w:val="21"/>
        </w:rPr>
      </w:pPr>
    </w:p>
    <w:p w:rsidR="007900F6" w:rsidP="007900F6">
      <w:pPr>
        <w:spacing w:line="360" w:lineRule="auto"/>
        <w:ind w:firstLine="470" w:firstLineChars="196"/>
        <w:rPr>
          <w:rFonts w:ascii="宋体" w:hAnsi="宋体"/>
          <w:szCs w:val="21"/>
        </w:rPr>
      </w:pPr>
      <w:r>
        <w:rPr>
          <w:rFonts w:ascii="宋体" w:hAnsi="宋体" w:hint="eastAsia"/>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7900F6" w:rsidP="007900F6">
      <w:pPr>
        <w:spacing w:line="360" w:lineRule="auto"/>
        <w:ind w:firstLine="470" w:firstLineChars="196"/>
        <w:rPr>
          <w:rFonts w:ascii="宋体" w:hAnsi="宋体"/>
          <w:szCs w:val="21"/>
        </w:rPr>
      </w:pPr>
      <w:r>
        <w:rPr>
          <w:rFonts w:ascii="宋体" w:hAnsi="宋体" w:hint="eastAsia"/>
          <w:szCs w:val="21"/>
        </w:rPr>
        <w:t>11.3</w:t>
      </w:r>
      <w:r>
        <w:rPr>
          <w:rFonts w:ascii="宋体" w:hAnsi="宋体" w:hint="eastAsia"/>
        </w:rPr>
        <w:t>任何人或任何组织向投标人提交的任何书面或口头资料，未经</w:t>
      </w:r>
      <w:r>
        <w:rPr>
          <w:rFonts w:ascii="宋体" w:hAnsi="宋体" w:hint="eastAsia"/>
          <w:szCs w:val="21"/>
        </w:rPr>
        <w:t>采购实施机构</w:t>
      </w:r>
      <w:r>
        <w:rPr>
          <w:rFonts w:ascii="宋体" w:hAnsi="宋体" w:hint="eastAsia"/>
        </w:rPr>
        <w:t>在网上发布或书面通知，均作无效处理，不得作为招标文件的组成部分。</w:t>
      </w:r>
      <w:r>
        <w:rPr>
          <w:rFonts w:ascii="宋体" w:hAnsi="宋体" w:hint="eastAsia"/>
          <w:szCs w:val="21"/>
        </w:rPr>
        <w:t>采购实施机构</w:t>
      </w:r>
      <w:r>
        <w:rPr>
          <w:rFonts w:ascii="宋体" w:hAnsi="宋体" w:hint="eastAsia"/>
        </w:rPr>
        <w:t>对投标人由此而做出的推论、理解和结论概不负责。</w:t>
      </w:r>
    </w:p>
    <w:p w:rsidR="007900F6">
      <w:pPr>
        <w:spacing w:line="360" w:lineRule="auto"/>
        <w:rPr>
          <w:rFonts w:ascii="黑体" w:eastAsia="黑体" w:hAnsi="宋体"/>
          <w:sz w:val="24"/>
        </w:rPr>
      </w:pPr>
      <w:r>
        <w:rPr>
          <w:rFonts w:ascii="黑体" w:eastAsia="黑体" w:hAnsi="宋体" w:hint="eastAsia"/>
          <w:sz w:val="24"/>
        </w:rPr>
        <w:t>12．招标文件的澄清</w:t>
      </w:r>
    </w:p>
    <w:p w:rsidR="007900F6">
      <w:pPr>
        <w:snapToGrid w:val="0"/>
        <w:spacing w:line="360" w:lineRule="auto"/>
        <w:ind w:firstLine="480" w:firstLineChars="200"/>
        <w:rPr>
          <w:rFonts w:ascii="宋体" w:hAnsi="宋体"/>
          <w:szCs w:val="21"/>
        </w:rPr>
      </w:pPr>
      <w:r>
        <w:rPr>
          <w:rFonts w:ascii="宋体" w:hAnsi="宋体" w:hint="eastAsia"/>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7900F6">
      <w:pPr>
        <w:snapToGrid w:val="0"/>
        <w:spacing w:line="360" w:lineRule="auto"/>
        <w:ind w:firstLine="480" w:firstLineChars="200"/>
        <w:rPr>
          <w:rFonts w:ascii="宋体" w:hAnsi="宋体"/>
          <w:szCs w:val="21"/>
        </w:rPr>
      </w:pPr>
      <w:r>
        <w:rPr>
          <w:rFonts w:ascii="宋体" w:hAnsi="宋体" w:hint="eastAsia"/>
          <w:szCs w:val="21"/>
        </w:rPr>
        <w:t>12.2对于没有提出澄清又参与了该项目投标的供应商将被视为完全认同该</w:t>
      </w:r>
      <w:r>
        <w:rPr>
          <w:rFonts w:hint="eastAsia"/>
        </w:rPr>
        <w:t>招标文件（含澄清纪要）</w:t>
      </w:r>
      <w:r>
        <w:rPr>
          <w:rFonts w:ascii="宋体" w:hAnsi="宋体" w:hint="eastAsia"/>
          <w:szCs w:val="21"/>
        </w:rPr>
        <w:t>，投标截止期后不再受理针对招标文件的相关质疑或投诉。</w:t>
      </w:r>
    </w:p>
    <w:p w:rsidR="007900F6">
      <w:pPr>
        <w:snapToGrid w:val="0"/>
        <w:spacing w:line="360" w:lineRule="auto"/>
        <w:ind w:firstLine="480" w:firstLineChars="200"/>
        <w:rPr>
          <w:rFonts w:ascii="宋体" w:hAnsi="宋体"/>
          <w:szCs w:val="21"/>
        </w:rPr>
      </w:pPr>
      <w:r>
        <w:rPr>
          <w:rFonts w:ascii="宋体" w:hAnsi="宋体" w:hint="eastAsia"/>
          <w:szCs w:val="21"/>
        </w:rPr>
        <w:t>12.3 对招标文件中描述有歧意或前后不一致的地方，评审委员会有权进行评判，但对同一条款的评判应适用于每个投标人。</w:t>
      </w:r>
    </w:p>
    <w:p w:rsidR="007900F6">
      <w:pPr>
        <w:spacing w:line="360" w:lineRule="auto"/>
        <w:rPr>
          <w:rFonts w:ascii="黑体" w:eastAsia="黑体" w:hAnsi="宋体"/>
          <w:sz w:val="24"/>
        </w:rPr>
      </w:pPr>
      <w:r>
        <w:rPr>
          <w:rFonts w:ascii="黑体" w:eastAsia="黑体" w:hAnsi="宋体"/>
          <w:sz w:val="24"/>
        </w:rPr>
        <w:t>1</w:t>
      </w:r>
      <w:r>
        <w:rPr>
          <w:rFonts w:ascii="黑体" w:eastAsia="黑体" w:hAnsi="宋体" w:hint="eastAsia"/>
          <w:sz w:val="24"/>
        </w:rPr>
        <w:t>3．招标文件的修改</w:t>
      </w:r>
    </w:p>
    <w:p w:rsidR="007900F6" w:rsidP="007900F6">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3.1招标文件发出后，在投标截止日期前任何时候，确需要变更招标内容的，采购实施机构可主动或在解答投标人提出的澄清问题时对招标文件进行修改；</w:t>
      </w:r>
    </w:p>
    <w:p w:rsidR="007900F6" w:rsidP="007900F6">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3.2招标文件的修改以书面形式（包括网站公开发布方式）发送给所有投标人，招标文件的修改内容作为招标文件的组成部分，并具有约束力。</w:t>
      </w:r>
    </w:p>
    <w:p w:rsidR="007900F6" w:rsidP="007900F6">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7900F6" w:rsidP="007900F6">
      <w:pPr>
        <w:spacing w:line="360" w:lineRule="auto"/>
        <w:ind w:firstLine="470" w:firstLineChars="196"/>
        <w:rPr>
          <w:rFonts w:ascii="宋体" w:hAnsi="宋体"/>
          <w:szCs w:val="21"/>
        </w:rPr>
      </w:pPr>
      <w:r>
        <w:rPr>
          <w:rFonts w:ascii="宋体" w:hAnsi="宋体"/>
          <w:szCs w:val="21"/>
        </w:rPr>
        <w:t>1</w:t>
      </w:r>
      <w:r>
        <w:rPr>
          <w:rFonts w:ascii="宋体" w:hAnsi="宋体" w:hint="eastAsia"/>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7900F6" w:rsidP="007900F6">
      <w:pPr>
        <w:spacing w:line="360" w:lineRule="auto"/>
        <w:ind w:firstLine="470" w:firstLineChars="196"/>
        <w:rPr>
          <w:rFonts w:ascii="宋体" w:hAnsi="宋体"/>
          <w:szCs w:val="21"/>
        </w:rPr>
      </w:pPr>
    </w:p>
    <w:p w:rsidR="007900F6">
      <w:pPr>
        <w:pStyle w:val="Heading2"/>
        <w:numPr>
          <w:ilvl w:val="0"/>
          <w:numId w:val="89"/>
        </w:numPr>
        <w:tabs>
          <w:tab w:val="left" w:pos="720"/>
          <w:tab w:val="clear" w:pos="5965"/>
        </w:tabs>
        <w:spacing w:before="120" w:beforeLines="50" w:after="120" w:afterLines="50" w:line="360" w:lineRule="auto"/>
        <w:ind w:left="720"/>
        <w:rPr>
          <w:sz w:val="28"/>
          <w:szCs w:val="28"/>
        </w:rPr>
      </w:pPr>
      <w:r>
        <w:rPr>
          <w:rFonts w:hint="eastAsia"/>
          <w:sz w:val="28"/>
          <w:szCs w:val="28"/>
        </w:rPr>
        <w:t>投标文件的编制</w:t>
      </w:r>
    </w:p>
    <w:p w:rsidR="007900F6">
      <w:pPr>
        <w:spacing w:line="360" w:lineRule="auto"/>
        <w:rPr>
          <w:rFonts w:ascii="黑体" w:eastAsia="黑体" w:hAnsi="宋体"/>
          <w:sz w:val="24"/>
        </w:rPr>
      </w:pPr>
      <w:r>
        <w:rPr>
          <w:rFonts w:ascii="黑体" w:eastAsia="黑体" w:hAnsi="宋体" w:hint="eastAsia"/>
          <w:sz w:val="24"/>
        </w:rPr>
        <w:t>14．投标文件的编制、语言及度量单位</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14.1 投标人应在认真阅读招标文件所有内容的基础上，按照招标文件的要求编制完整的投标文件。招标文件中对投标文件格式有要求的，投标人必须全部填写格式中要求的所有内容。无相应内容可填的项应填写“无”、“没有相应指标”等明确的回答文字。有具体数值的应填写具体数值，而不能笼统地响应为“符合”、“满足”等结论性内容。</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14.2投标人必须保证投标文件所提供的全部信息和资料是真实的和正确的，并接受评标委员会对其中任何资料进一步审查的要求。投标人提交的资料将被保密，但不退还。</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投标人投标文件所提供的有关证明文件，包括但不限于营业执照、机构登记证、经营许可证、生产许可证、产品注册证、第三方检测报告、质量体系证书、荣誉证书、奖励奖项等，都必须是国家机关签发、或在中国合法登记设立并有权颁发相关证明文件的机构签发。</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14.3  投标文件须对招标文件中的内容做出实质性和完整的响应，否则其投标将被视为无效标被拒绝。</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14.4 投标文件的编制可在招标文件提供的格式基础上扩展加页。需投标人自行编写的投标内容，投标人应采用简洁、清晰的文件格式。投标文件编制格式其它特殊要求详见</w:t>
      </w:r>
      <w:r>
        <w:rPr>
          <w:rFonts w:ascii="宋体" w:hAnsi="宋体" w:cs="宋体" w:hint="eastAsia"/>
          <w:b/>
          <w:bCs/>
          <w:kern w:val="0"/>
          <w:szCs w:val="21"/>
        </w:rPr>
        <w:t>本须知前附表</w:t>
      </w:r>
      <w:r>
        <w:rPr>
          <w:rFonts w:ascii="宋体" w:hAnsi="宋体" w:cs="宋体" w:hint="eastAsia"/>
          <w:kern w:val="0"/>
          <w:szCs w:val="21"/>
        </w:rPr>
        <w:t>。</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14.5 投标人在投标文件中提供的有关证明文件（如营业执照、经营许可证、生产许可证、产品注册证、第三方检测报告、质量体系证书、产品说明书和样本等）等应为原件的复印件或者清晰的扫描件。</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14.6 投标人与政府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14.7 除技术规范另有规定外，投标文件使用的度量单位，均采用中华人民共和国法定计量单位。</w:t>
      </w:r>
    </w:p>
    <w:p w:rsidR="007900F6">
      <w:pPr>
        <w:spacing w:line="360" w:lineRule="auto"/>
        <w:rPr>
          <w:rFonts w:ascii="黑体" w:eastAsia="黑体" w:hAnsi="宋体"/>
          <w:sz w:val="24"/>
        </w:rPr>
      </w:pPr>
      <w:r>
        <w:rPr>
          <w:rFonts w:ascii="黑体" w:eastAsia="黑体" w:hAnsi="宋体" w:hint="eastAsia"/>
          <w:sz w:val="24"/>
        </w:rPr>
        <w:t>15．投标文件的组成</w:t>
      </w:r>
    </w:p>
    <w:p w:rsidR="007900F6">
      <w:pPr>
        <w:widowControl/>
        <w:snapToGrid w:val="0"/>
        <w:spacing w:line="360" w:lineRule="auto"/>
        <w:ind w:firstLine="470" w:firstLineChars="196"/>
        <w:jc w:val="left"/>
        <w:rPr>
          <w:rFonts w:ascii="宋体" w:hAnsi="宋体" w:cs="宋体"/>
          <w:b/>
          <w:kern w:val="0"/>
          <w:szCs w:val="21"/>
        </w:rPr>
      </w:pPr>
      <w:r>
        <w:rPr>
          <w:rFonts w:ascii="宋体" w:hAnsi="宋体" w:cs="宋体" w:hint="eastAsia"/>
          <w:b/>
          <w:kern w:val="0"/>
          <w:szCs w:val="21"/>
        </w:rPr>
        <w:t>具体内容请详见本项目</w:t>
      </w:r>
      <w:r>
        <w:rPr>
          <w:rFonts w:ascii="宋体" w:hAnsi="宋体" w:cs="宋体" w:hint="eastAsia"/>
          <w:b/>
          <w:bCs/>
          <w:kern w:val="0"/>
          <w:szCs w:val="21"/>
        </w:rPr>
        <w:t>招标文件第一册“专用条款”</w:t>
      </w:r>
      <w:r>
        <w:rPr>
          <w:rFonts w:ascii="宋体" w:hAnsi="宋体" w:cs="宋体" w:hint="eastAsia"/>
          <w:b/>
          <w:kern w:val="0"/>
          <w:szCs w:val="21"/>
        </w:rPr>
        <w:t>的相关内容。</w:t>
      </w:r>
    </w:p>
    <w:p w:rsidR="007900F6">
      <w:pPr>
        <w:spacing w:line="360" w:lineRule="auto"/>
        <w:rPr>
          <w:rFonts w:ascii="黑体" w:eastAsia="黑体" w:hAnsi="宋体"/>
          <w:sz w:val="24"/>
        </w:rPr>
      </w:pPr>
      <w:r>
        <w:rPr>
          <w:rFonts w:ascii="黑体" w:eastAsia="黑体" w:hAnsi="宋体" w:hint="eastAsia"/>
          <w:sz w:val="24"/>
        </w:rPr>
        <w:t>16．投标文件格式</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投标文件包括本通用条款第15条中规定的内容。如招标文件提供了投标文件格式，则</w:t>
      </w:r>
      <w:r>
        <w:rPr>
          <w:rFonts w:ascii="宋体" w:hAnsi="宋体" w:cs="宋体" w:hint="eastAsia"/>
          <w:b/>
          <w:bCs/>
          <w:kern w:val="0"/>
          <w:szCs w:val="21"/>
        </w:rPr>
        <w:t>投标人提交的投标文件应毫无例外地使用招标文件所提供的相应格式</w:t>
      </w:r>
      <w:r>
        <w:rPr>
          <w:rFonts w:ascii="宋体" w:hAnsi="宋体" w:cs="宋体" w:hint="eastAsia"/>
          <w:kern w:val="0"/>
          <w:szCs w:val="21"/>
        </w:rPr>
        <w:t>（表格可以按同样格式扩展）。</w:t>
      </w:r>
    </w:p>
    <w:p w:rsidR="007900F6">
      <w:pPr>
        <w:spacing w:line="360" w:lineRule="auto"/>
        <w:rPr>
          <w:rFonts w:ascii="黑体" w:eastAsia="黑体" w:hAnsi="宋体"/>
          <w:sz w:val="24"/>
        </w:rPr>
      </w:pPr>
      <w:r>
        <w:rPr>
          <w:rFonts w:ascii="黑体" w:eastAsia="黑体" w:hAnsi="宋体" w:hint="eastAsia"/>
          <w:sz w:val="24"/>
        </w:rPr>
        <w:t>17．投标货币</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本项目的投标应以人民币计。</w:t>
      </w:r>
    </w:p>
    <w:p w:rsidR="007900F6">
      <w:pPr>
        <w:spacing w:line="360" w:lineRule="auto"/>
        <w:rPr>
          <w:rFonts w:ascii="黑体" w:eastAsia="黑体" w:hAnsi="宋体"/>
          <w:sz w:val="24"/>
        </w:rPr>
      </w:pPr>
      <w:r>
        <w:rPr>
          <w:rFonts w:ascii="黑体" w:eastAsia="黑体" w:hAnsi="宋体" w:hint="eastAsia"/>
          <w:sz w:val="24"/>
        </w:rPr>
        <w:t>18．证明投标文件投标技术方案的合格性和符合招标文件规定的文件要求</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18.1 投标人应提交证明文件证明其投标技术方案项下的货物、工程和服务的合格性符合招标文件规定。该投标技术方案及其证明文件作为投标文件的一部分。</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18.2.1主要技术指标和性能的详细说明。</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18.2.2投标产品从采购人开始使用至招标文件中规定的周期内正常、连续地使用所必须的备件和专用工具清单，包括备件和专用工具的货源及现行价格。</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18.2.3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18.2.5我国政府机构出具的产品检验和核准证件应为证件正面、背面和附件标注的全部具体内容；产品检验和核准证件的尺寸和清晰度应该能够在电脑上被阅读、识别和判断，提供原件扫描件。</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18.3相关资料不符合18.2款要求的，评审委员会有权认定为投标技术方案不合格响应，其相关分数予以扣减或作投标无效处理。</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18.5为保证公平公正，除非另有规定或说明，投标人对同一项目投标时，不得同时提供两套或两套以上的投标人案。</w:t>
      </w:r>
    </w:p>
    <w:p w:rsidR="007900F6">
      <w:pPr>
        <w:spacing w:line="360" w:lineRule="auto"/>
        <w:rPr>
          <w:rFonts w:ascii="黑体" w:eastAsia="黑体" w:hAnsi="宋体"/>
          <w:sz w:val="24"/>
        </w:rPr>
      </w:pPr>
      <w:r>
        <w:rPr>
          <w:rFonts w:ascii="黑体" w:eastAsia="黑体" w:hAnsi="宋体" w:hint="eastAsia"/>
          <w:sz w:val="24"/>
        </w:rPr>
        <w:t>19．投标文件其他证明文件的要求</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或有意涂改遮挡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7900F6">
      <w:pPr>
        <w:widowControl/>
        <w:snapToGrid w:val="0"/>
        <w:spacing w:line="360" w:lineRule="auto"/>
        <w:ind w:firstLine="480" w:firstLineChars="200"/>
        <w:jc w:val="left"/>
        <w:rPr>
          <w:rFonts w:ascii="宋体" w:hAnsi="宋体" w:cs="宋体"/>
          <w:kern w:val="0"/>
          <w:szCs w:val="21"/>
        </w:rPr>
      </w:pPr>
      <w:r>
        <w:rPr>
          <w:rFonts w:ascii="宋体" w:hAnsi="宋体" w:cs="宋体" w:hint="eastAsia"/>
          <w:kern w:val="0"/>
          <w:szCs w:val="21"/>
        </w:rPr>
        <w:t>（1）被质疑供应商未能在合理时间内提供资料原件核对，且不能合理说明的；</w:t>
      </w:r>
    </w:p>
    <w:p w:rsidR="007900F6">
      <w:pPr>
        <w:widowControl/>
        <w:snapToGrid w:val="0"/>
        <w:spacing w:line="360" w:lineRule="auto"/>
        <w:ind w:firstLine="480" w:firstLineChars="200"/>
        <w:jc w:val="left"/>
        <w:rPr>
          <w:rFonts w:ascii="宋体" w:hAnsi="宋体" w:cs="宋体"/>
          <w:kern w:val="0"/>
          <w:szCs w:val="21"/>
        </w:rPr>
      </w:pPr>
      <w:r>
        <w:rPr>
          <w:rFonts w:ascii="宋体" w:hAnsi="宋体" w:cs="宋体" w:hint="eastAsia"/>
          <w:kern w:val="0"/>
          <w:szCs w:val="21"/>
        </w:rPr>
        <w:t>（2）被质疑供应商提供的资料原件与投标文件资料不一致的；</w:t>
      </w:r>
    </w:p>
    <w:p w:rsidR="007900F6">
      <w:pPr>
        <w:widowControl/>
        <w:snapToGrid w:val="0"/>
        <w:spacing w:line="360" w:lineRule="auto"/>
        <w:ind w:firstLine="480" w:firstLineChars="200"/>
        <w:jc w:val="left"/>
        <w:rPr>
          <w:rFonts w:ascii="宋体" w:hAnsi="宋体" w:cs="宋体"/>
          <w:kern w:val="0"/>
          <w:szCs w:val="21"/>
        </w:rPr>
      </w:pPr>
      <w:r>
        <w:rPr>
          <w:rFonts w:ascii="宋体" w:hAnsi="宋体" w:cs="宋体" w:hint="eastAsia"/>
          <w:kern w:val="0"/>
          <w:szCs w:val="21"/>
        </w:rPr>
        <w:t>（3）被质疑供应商投标文件资料信息与在相应官方查询渠道查询到的信息不一致，且不能合理说明的。</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7900F6">
      <w:pPr>
        <w:spacing w:line="360" w:lineRule="auto"/>
        <w:rPr>
          <w:rFonts w:ascii="黑体" w:eastAsia="黑体" w:hAnsi="宋体"/>
          <w:sz w:val="24"/>
        </w:rPr>
      </w:pPr>
      <w:r>
        <w:rPr>
          <w:rFonts w:ascii="黑体" w:eastAsia="黑体" w:hAnsi="宋体" w:hint="eastAsia"/>
          <w:sz w:val="24"/>
        </w:rPr>
        <w:t>20．投标有效期</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20.1 投标有效期为从投标截止之日算起的日历天数，具体见专用条款中投标有效期的天数要求。在此期限内，所有投标文件均保持有效；</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20.2 在特殊的情况下，政府采购代理机构在原定的投标有效期满之前，政府采购代理机构可以根据需要以书面形式（包括网站公开发布方式）向投标人提出延长投标有效期的要求，对此要求投标人须以书面形式予以答复，投标人可以拒绝政府采购代理机构此项要求，其投标在原投标有效期满后不再有效。同意延长投标有效期的投标人不能要求也不允许修改其投标文件，但应当相应的延长投标担保有效期；</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20.3 中标单位的投标书有效期，截止于完成本招标文件规定的全部项目内容，并通过竣工验收及保修结束。</w:t>
      </w:r>
    </w:p>
    <w:p w:rsidR="007900F6">
      <w:pPr>
        <w:spacing w:line="360" w:lineRule="auto"/>
        <w:rPr>
          <w:rFonts w:ascii="黑体" w:eastAsia="黑体" w:hAnsi="宋体"/>
          <w:sz w:val="24"/>
        </w:rPr>
      </w:pPr>
      <w:r>
        <w:rPr>
          <w:rFonts w:ascii="黑体" w:eastAsia="黑体" w:hAnsi="宋体" w:hint="eastAsia"/>
          <w:sz w:val="24"/>
        </w:rPr>
        <w:t xml:space="preserve">21．关于投标保证金 </w:t>
      </w:r>
    </w:p>
    <w:p w:rsidR="007900F6">
      <w:pPr>
        <w:widowControl/>
        <w:snapToGrid w:val="0"/>
        <w:spacing w:line="360" w:lineRule="auto"/>
        <w:jc w:val="left"/>
        <w:rPr>
          <w:rFonts w:ascii="宋体" w:hAnsi="宋体" w:cs="宋体"/>
          <w:kern w:val="0"/>
          <w:szCs w:val="21"/>
        </w:rPr>
      </w:pPr>
      <w:r>
        <w:rPr>
          <w:rFonts w:ascii="宋体" w:hAnsi="宋体" w:cs="宋体" w:hint="eastAsia"/>
          <w:kern w:val="0"/>
          <w:szCs w:val="21"/>
        </w:rPr>
        <w:t xml:space="preserve">    21.1 根据《深圳市财政局关于明确政府采购保证金管理工作的通知》（深财购[2019]42号）文的规定，本项目不收取投标保证金。</w:t>
      </w:r>
    </w:p>
    <w:p w:rsidR="007900F6">
      <w:pPr>
        <w:spacing w:line="360" w:lineRule="auto"/>
        <w:rPr>
          <w:rFonts w:ascii="黑体" w:eastAsia="黑体" w:hAnsi="宋体"/>
          <w:sz w:val="24"/>
        </w:rPr>
      </w:pPr>
      <w:r>
        <w:rPr>
          <w:rFonts w:ascii="黑体" w:eastAsia="黑体" w:hAnsi="宋体" w:hint="eastAsia"/>
          <w:sz w:val="24"/>
        </w:rPr>
        <w:t>22．投标人的替代方案</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7900F6" w:rsidP="007900F6">
      <w:pPr>
        <w:widowControl/>
        <w:snapToGrid w:val="0"/>
        <w:spacing w:line="360" w:lineRule="auto"/>
        <w:ind w:firstLine="470" w:firstLineChars="196"/>
        <w:jc w:val="left"/>
        <w:rPr>
          <w:rFonts w:ascii="宋体" w:hAnsi="宋体" w:cs="宋体"/>
          <w:kern w:val="0"/>
          <w:szCs w:val="21"/>
        </w:rPr>
      </w:pPr>
      <w:r>
        <w:rPr>
          <w:rFonts w:ascii="宋体" w:hAnsi="宋体" w:cs="宋体" w:hint="eastAsia"/>
          <w:kern w:val="0"/>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7900F6">
      <w:pPr>
        <w:spacing w:line="360" w:lineRule="auto"/>
        <w:rPr>
          <w:rFonts w:ascii="黑体" w:eastAsia="黑体" w:hAnsi="宋体"/>
          <w:sz w:val="24"/>
        </w:rPr>
      </w:pPr>
      <w:r>
        <w:rPr>
          <w:rFonts w:ascii="黑体" w:eastAsia="黑体" w:hAnsi="宋体" w:hint="eastAsia"/>
          <w:sz w:val="24"/>
        </w:rPr>
        <w:t>23．投标文件的制作要求</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23.1投标人应准备所投项目的电子投标文件一份。此电子投标文件须由投标人根据政府集中采购机构提供的后缀名为.szczf的电子招标文件，下载并使用相应的深圳智慧采购平台投标文件制作专用软件打开招标文件（.szczf格式）【下载地址：</w:t>
      </w:r>
      <w:r>
        <w:rPr>
          <w:rFonts w:ascii="宋体" w:hAnsi="宋体"/>
          <w:kern w:val="0"/>
          <w:szCs w:val="21"/>
        </w:rPr>
        <w:t>http://zfcg.szggzy.com/</w:t>
      </w:r>
      <w:r>
        <w:rPr>
          <w:rFonts w:ascii="宋体" w:hAnsi="宋体" w:hint="eastAsia"/>
          <w:kern w:val="0"/>
          <w:szCs w:val="21"/>
        </w:rPr>
        <w:t>TPBidder/DownLoad/深圳市智慧采购平台投标文件制作专用软件.zip】。</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23.2投标人在使用《投标文件制作软件》编制投标书时须注意：</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23.2.1导入《投标文件制作软件》的招标文件项目编号、包号应与以此制作的投标文件项目编号、包号一致。例如，不能将甲项目A包的招标书导入《投标文件制作软件》，制作乙项目B包的投标书。</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23.2.2不能用非本公司的电子密钥加密本公司的投标文件，或者用其它公司的登录用户上传本公司的投标文件。</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23.2.3要求用《投标文件制作软件》编制投标书的包，不能用其它方式编制投标书。编制投标文件时，电脑须连通互联网。</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23.2.4投标文件不能带病毒。政府集中采购机构将用专业杀毒软件对投标文件进行病毒检测，如果这两种软件均报告发现病毒，则政府集中采购机构认为该投标文件带病毒。</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23.2.5完整填写“投标关键信息”，如下图所示：</w:t>
      </w:r>
    </w:p>
    <w:p w:rsidR="007900F6">
      <w:pPr>
        <w:widowControl/>
        <w:snapToGrid w:val="0"/>
        <w:spacing w:line="360" w:lineRule="auto"/>
        <w:jc w:val="center"/>
        <w:rPr>
          <w:rFonts w:ascii="宋体" w:hAnsi="宋体"/>
          <w:kern w:val="0"/>
          <w:szCs w:val="21"/>
        </w:rPr>
      </w:pPr>
      <w:r>
        <w:rPr>
          <w:rFonts w:ascii="宋体" w:hAnsi="宋体"/>
          <w:kern w:val="0"/>
          <w:szCs w:val="21"/>
        </w:rPr>
        <w:pict>
          <v:shape id="图片 5" o:spid="_x0000_i1027" type="#_x0000_t75" alt="图形用户界面, 应用程序&#10;&#10;描述已自动生成" style="height:214.48pt;mso-wrap-distance-left:0;mso-wrap-distance-right:0;width:415.52pt" o:preferrelative="t" filled="f" stroked="f">
            <v:fill o:detectmouseclick="t"/>
            <v:imagedata r:id="rId6" o:title="图形用户界面, 应用程序&#10;&#10;描述已自动生成"/>
            <v:path o:extrusionok="f"/>
            <o:lock v:ext="edit" aspectratio="t"/>
          </v:shape>
        </w:pict>
      </w:r>
    </w:p>
    <w:p w:rsidR="007900F6">
      <w:pPr>
        <w:widowControl/>
        <w:snapToGrid w:val="0"/>
        <w:spacing w:line="360" w:lineRule="auto"/>
        <w:ind w:firstLine="470" w:firstLineChars="196"/>
        <w:jc w:val="left"/>
        <w:rPr>
          <w:rFonts w:ascii="宋体" w:hAnsi="宋体"/>
          <w:b/>
          <w:kern w:val="0"/>
          <w:szCs w:val="21"/>
        </w:rPr>
      </w:pPr>
      <w:r>
        <w:rPr>
          <w:rFonts w:ascii="宋体" w:hAnsi="宋体" w:hint="eastAsia"/>
          <w:b/>
          <w:kern w:val="0"/>
          <w:szCs w:val="21"/>
        </w:rPr>
        <w:t>备注：上述“开标一览表”中的“投标总价”将作为价格分计算依据；其它信息仅是对投标文件相关内容的概括性表述，不作为评审依据。</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23.2.6投标人在编辑投标文件时，</w:t>
      </w:r>
      <w:r>
        <w:rPr>
          <w:rFonts w:ascii="宋体" w:hAnsi="宋体" w:hint="eastAsia"/>
          <w:b/>
          <w:kern w:val="0"/>
          <w:szCs w:val="21"/>
        </w:rPr>
        <w:t>在投标文件目录中属于本节点内容的必须在本节点中填写，填写到其他节点或附件，</w:t>
      </w:r>
      <w:r>
        <w:rPr>
          <w:rFonts w:ascii="宋体" w:hAnsi="宋体" w:hint="eastAsia"/>
          <w:kern w:val="0"/>
          <w:szCs w:val="21"/>
        </w:rPr>
        <w:t>一切后果由供应商自行承担。</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23.2.7投标文件编写完成后，</w:t>
      </w:r>
      <w:r>
        <w:rPr>
          <w:rFonts w:ascii="宋体" w:hAnsi="宋体" w:hint="eastAsia"/>
          <w:b/>
          <w:kern w:val="0"/>
          <w:szCs w:val="21"/>
        </w:rPr>
        <w:t>必须用属于投标人的电子密钥进行加密，否则视同未盖公章，将导致投标文件无效。</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23.2.8政府集中采购机构不接受投标截止时间后递交的纸质、电子、传真等所有形式的投标文件。由于对网上政府采购系统操作不熟悉或自身电脑、网络等原因导致不能在投标截止时间之前上传投标文件，政府集中采购机构概不负责。建议于开标前一个工作日完成投标文件的制作与上传，如上传确有困难，请及时咨询。</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23.2.9如果开标时出现网络故障、技术故障，影响了政府采购活动，政府集中采购机构有权采取措施如延期、接受无法从网上上传的投标书等，以保障政府采购活动的公开、公平和公正。</w:t>
      </w:r>
    </w:p>
    <w:p w:rsidR="007900F6" w:rsidP="007900F6">
      <w:pPr>
        <w:widowControl/>
        <w:snapToGrid w:val="0"/>
        <w:spacing w:line="360" w:lineRule="auto"/>
        <w:ind w:firstLine="470" w:firstLineChars="196"/>
        <w:jc w:val="left"/>
        <w:rPr>
          <w:rFonts w:ascii="宋体" w:hAnsi="宋体"/>
          <w:kern w:val="0"/>
          <w:szCs w:val="21"/>
        </w:rPr>
      </w:pPr>
      <w:r>
        <w:rPr>
          <w:rFonts w:ascii="宋体" w:hAnsi="宋体" w:hint="eastAsia"/>
          <w:kern w:val="0"/>
          <w:szCs w:val="21"/>
        </w:rPr>
        <w:t>23.3电报、电话、传真形式的投标概不接受。</w:t>
      </w:r>
    </w:p>
    <w:p w:rsidR="007900F6">
      <w:pPr>
        <w:widowControl/>
        <w:snapToGrid w:val="0"/>
        <w:spacing w:line="360" w:lineRule="auto"/>
        <w:ind w:firstLine="470" w:firstLineChars="196"/>
        <w:jc w:val="left"/>
        <w:rPr>
          <w:rFonts w:ascii="宋体" w:hAnsi="宋体"/>
          <w:b/>
          <w:kern w:val="0"/>
          <w:szCs w:val="21"/>
        </w:rPr>
      </w:pPr>
      <w:r>
        <w:rPr>
          <w:rFonts w:ascii="宋体" w:hAnsi="宋体" w:hint="eastAsia"/>
          <w:b/>
          <w:kern w:val="0"/>
          <w:szCs w:val="21"/>
        </w:rPr>
        <w:t>23.4经投标人电子密钥加密的投标文件无须盖章或签字，</w:t>
      </w:r>
      <w:r>
        <w:rPr>
          <w:rFonts w:ascii="宋体" w:hAnsi="宋体" w:hint="eastAsia"/>
          <w:kern w:val="0"/>
          <w:szCs w:val="21"/>
        </w:rPr>
        <w:t>专用条款另有要求的除外。</w:t>
      </w:r>
    </w:p>
    <w:p w:rsidR="007900F6">
      <w:pPr>
        <w:widowControl/>
        <w:snapToGrid w:val="0"/>
        <w:spacing w:line="360" w:lineRule="auto"/>
        <w:ind w:firstLine="470" w:firstLineChars="196"/>
        <w:jc w:val="left"/>
        <w:rPr>
          <w:rFonts w:ascii="宋体" w:hAnsi="宋体" w:cs="宋体"/>
          <w:kern w:val="0"/>
          <w:szCs w:val="21"/>
        </w:rPr>
      </w:pPr>
      <w:r>
        <w:rPr>
          <w:rFonts w:ascii="宋体" w:hAnsi="宋体" w:hint="eastAsia"/>
          <w:b/>
          <w:kern w:val="0"/>
          <w:szCs w:val="21"/>
        </w:rPr>
        <w:t>23.5</w:t>
      </w:r>
      <w:r>
        <w:rPr>
          <w:rFonts w:ascii="宋体" w:hAnsi="宋体" w:hint="eastAsia"/>
          <w:kern w:val="0"/>
          <w:szCs w:val="21"/>
        </w:rPr>
        <w:t xml:space="preserve"> 各类资格（资质）文件提供扫描件，专用条款另有要求的除外</w:t>
      </w:r>
      <w:r>
        <w:rPr>
          <w:rFonts w:ascii="宋体" w:hAnsi="宋体" w:cs="宋体" w:hint="eastAsia"/>
          <w:kern w:val="0"/>
          <w:szCs w:val="21"/>
        </w:rPr>
        <w:t>。</w:t>
      </w:r>
    </w:p>
    <w:p w:rsidR="007900F6">
      <w:pPr>
        <w:spacing w:line="360" w:lineRule="auto"/>
        <w:rPr>
          <w:rFonts w:ascii="黑体" w:eastAsia="黑体" w:hAnsi="宋体"/>
          <w:sz w:val="24"/>
        </w:rPr>
      </w:pPr>
    </w:p>
    <w:p w:rsidR="007900F6">
      <w:pPr>
        <w:pStyle w:val="Heading2"/>
        <w:numPr>
          <w:ilvl w:val="0"/>
          <w:numId w:val="89"/>
        </w:numPr>
        <w:tabs>
          <w:tab w:val="left" w:pos="720"/>
          <w:tab w:val="clear" w:pos="5965"/>
        </w:tabs>
        <w:spacing w:before="120" w:beforeLines="50" w:after="120" w:afterLines="50" w:line="360" w:lineRule="auto"/>
        <w:ind w:left="720"/>
        <w:rPr>
          <w:sz w:val="28"/>
          <w:szCs w:val="28"/>
        </w:rPr>
      </w:pPr>
      <w:r>
        <w:rPr>
          <w:rFonts w:hint="eastAsia"/>
          <w:sz w:val="28"/>
          <w:szCs w:val="28"/>
        </w:rPr>
        <w:t>投标文件的递交</w:t>
      </w:r>
    </w:p>
    <w:p w:rsidR="007900F6">
      <w:pPr>
        <w:spacing w:line="360" w:lineRule="auto"/>
        <w:rPr>
          <w:rFonts w:ascii="黑体" w:eastAsia="黑体" w:hAnsi="宋体"/>
          <w:sz w:val="24"/>
        </w:rPr>
      </w:pPr>
      <w:r>
        <w:rPr>
          <w:rFonts w:ascii="黑体" w:eastAsia="黑体" w:hAnsi="宋体" w:hint="eastAsia"/>
          <w:sz w:val="24"/>
        </w:rPr>
        <w:t>24．投标书的保密</w:t>
      </w:r>
    </w:p>
    <w:p w:rsidR="007900F6">
      <w:pPr>
        <w:widowControl/>
        <w:spacing w:line="360" w:lineRule="auto"/>
        <w:jc w:val="left"/>
        <w:rPr>
          <w:rFonts w:ascii="宋体" w:hAnsi="宋体"/>
        </w:rPr>
      </w:pPr>
      <w:r>
        <w:rPr>
          <w:rFonts w:ascii="宋体" w:hAnsi="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7900F6">
      <w:pPr>
        <w:widowControl/>
        <w:spacing w:line="360" w:lineRule="auto"/>
        <w:jc w:val="left"/>
        <w:rPr>
          <w:rFonts w:ascii="宋体" w:hAnsi="宋体" w:cs="宋体"/>
          <w:kern w:val="0"/>
          <w:sz w:val="24"/>
        </w:rPr>
      </w:pPr>
      <w:r>
        <w:rPr>
          <w:rFonts w:ascii="宋体" w:hAnsi="宋体"/>
        </w:rPr>
        <w:pict>
          <v:shape id="图片 6" o:spid="_x0000_i1028" type="#_x0000_t75" alt="图形用户界面, 应用程序&#10;&#10;描述已自动生成" style="height:214.48pt;mso-wrap-distance-left:0;mso-wrap-distance-right:0;width:415.52pt" o:preferrelative="t" filled="f" stroked="f">
            <v:fill o:detectmouseclick="t"/>
            <v:imagedata r:id="rId6" o:title="图形用户界面, 应用程序&#10;&#10;描述已自动生成"/>
            <v:path o:extrusionok="f"/>
            <o:lock v:ext="edit" aspectratio="t"/>
          </v:shape>
        </w:pict>
      </w:r>
    </w:p>
    <w:p w:rsidR="007900F6">
      <w:pPr>
        <w:spacing w:line="360" w:lineRule="auto"/>
        <w:rPr>
          <w:sz w:val="24"/>
        </w:rPr>
      </w:pPr>
      <w:r>
        <w:rPr>
          <w:rFonts w:hint="eastAsia"/>
          <w:sz w:val="24"/>
        </w:rPr>
        <w:t>在投标文件制作软件点击【生成标书】按钮进入【填写开标一览表界面】界面，在该界面填写完开标一览表信息后点击【确定】，进入投标文件生成环节</w:t>
      </w:r>
    </w:p>
    <w:p w:rsidR="007900F6">
      <w:pPr>
        <w:spacing w:line="360" w:lineRule="auto"/>
        <w:rPr>
          <w:rFonts w:ascii="宋体" w:hAnsi="宋体"/>
        </w:rPr>
      </w:pPr>
      <w:r>
        <w:rPr>
          <w:rFonts w:ascii="宋体" w:hAnsi="宋体"/>
        </w:rPr>
        <w:pict>
          <v:shape id="图片 7" o:spid="_x0000_i1029" type="#_x0000_t75" alt="图形用户界面&#10;&#10;描述已自动生成" style="height:215.27pt;mso-wrap-distance-left:0;mso-wrap-distance-right:0;width:415.52pt" o:preferrelative="t" filled="f" stroked="f">
            <v:fill o:detectmouseclick="t"/>
            <v:imagedata r:id="rId7" o:title="图形用户界面&#10;&#10;描述已自动生成"/>
            <v:path o:extrusionok="f"/>
            <o:lock v:ext="edit" aspectratio="t"/>
          </v:shape>
        </w:pict>
      </w:r>
    </w:p>
    <w:p w:rsidR="007900F6">
      <w:pPr>
        <w:spacing w:line="360" w:lineRule="auto"/>
        <w:rPr>
          <w:sz w:val="24"/>
        </w:rPr>
      </w:pPr>
      <w:r>
        <w:rPr>
          <w:rFonts w:ascii="宋体" w:hAnsi="宋体" w:hint="eastAsia"/>
        </w:rPr>
        <w:t>投标文件制作软件会在投标文件生成过程中，提示用户输入密码，输入密码后对标文件自动进行加密。</w:t>
      </w:r>
    </w:p>
    <w:p w:rsidR="007900F6">
      <w:pPr>
        <w:spacing w:line="360" w:lineRule="auto"/>
        <w:rPr>
          <w:rFonts w:ascii="宋体" w:hAnsi="宋体"/>
          <w:b/>
        </w:rPr>
      </w:pPr>
      <w:r>
        <w:rPr>
          <w:rFonts w:ascii="宋体" w:hAnsi="宋体" w:hint="eastAsia"/>
        </w:rPr>
        <w:t xml:space="preserve">   </w:t>
      </w:r>
      <w:r>
        <w:rPr>
          <w:rFonts w:ascii="宋体" w:hAnsi="宋体" w:hint="eastAsia"/>
          <w:b/>
        </w:rPr>
        <w:t xml:space="preserve"> </w:t>
      </w:r>
    </w:p>
    <w:p w:rsidR="007900F6">
      <w:pPr>
        <w:spacing w:line="360" w:lineRule="auto"/>
        <w:rPr>
          <w:rFonts w:ascii="宋体" w:hAnsi="宋体"/>
          <w:b/>
        </w:rPr>
      </w:pPr>
      <w:r>
        <w:rPr>
          <w:rFonts w:ascii="宋体" w:hAnsi="宋体"/>
          <w:b/>
        </w:rPr>
        <w:br w:type="page"/>
      </w:r>
      <w:r>
        <w:rPr>
          <w:rFonts w:ascii="宋体" w:hAnsi="宋体" w:hint="eastAsia"/>
          <w:b/>
        </w:rPr>
        <w:t>24.2若采购项目出现延期情况：</w:t>
      </w:r>
    </w:p>
    <w:p w:rsidR="007900F6">
      <w:pPr>
        <w:spacing w:line="360" w:lineRule="auto"/>
        <w:rPr>
          <w:rFonts w:ascii="宋体" w:hAnsi="宋体"/>
          <w:b/>
        </w:rPr>
      </w:pPr>
      <w:r>
        <w:rPr>
          <w:rFonts w:ascii="宋体" w:hAnsi="宋体" w:hint="eastAsia"/>
          <w:b/>
        </w:rPr>
        <w:t>如果供下载的招标文件（后缀名为.</w:t>
      </w:r>
      <w:r>
        <w:rPr>
          <w:rFonts w:ascii="宋体" w:hAnsi="宋体"/>
          <w:b/>
        </w:rPr>
        <w:t>szczf</w:t>
      </w:r>
      <w:r>
        <w:rPr>
          <w:rFonts w:ascii="宋体" w:hAnsi="宋体" w:hint="eastAsia"/>
          <w:b/>
        </w:rPr>
        <w:t>）有更新，投标人必须重新下载招标文件、重新制作投标文件、重新加密投标文件、重新上传投标文件；如果供下载的招标文件（后缀名为.</w:t>
      </w:r>
      <w:r>
        <w:rPr>
          <w:rFonts w:ascii="宋体" w:hAnsi="宋体"/>
          <w:b/>
        </w:rPr>
        <w:t>szczf</w:t>
      </w:r>
      <w:r>
        <w:rPr>
          <w:rFonts w:ascii="宋体" w:hAnsi="宋体" w:hint="eastAsia"/>
          <w:b/>
        </w:rPr>
        <w:t>）没有更新，投标人必须重新加密投标文件、重新上传投标文件（是否重新制作投标文件根据项目实际情况定）。否则，投标人自行承担投标文件无法解密导致投标无效的后果。</w:t>
      </w:r>
    </w:p>
    <w:p w:rsidR="007900F6">
      <w:pPr>
        <w:spacing w:line="360" w:lineRule="auto"/>
        <w:rPr>
          <w:rFonts w:ascii="黑体" w:eastAsia="黑体" w:hAnsi="宋体"/>
          <w:sz w:val="24"/>
        </w:rPr>
      </w:pPr>
      <w:r>
        <w:rPr>
          <w:rFonts w:ascii="黑体" w:eastAsia="黑体" w:hAnsi="宋体" w:hint="eastAsia"/>
          <w:sz w:val="24"/>
        </w:rPr>
        <w:t>25．投标截止日期</w:t>
      </w:r>
    </w:p>
    <w:p w:rsidR="007900F6" w:rsidP="007900F6">
      <w:pPr>
        <w:spacing w:line="360" w:lineRule="auto"/>
        <w:ind w:firstLine="470" w:firstLineChars="196"/>
        <w:rPr>
          <w:rFonts w:ascii="宋体" w:hAnsi="宋体"/>
        </w:rPr>
      </w:pPr>
      <w:r>
        <w:rPr>
          <w:rFonts w:ascii="宋体" w:hAnsi="宋体" w:hint="eastAsia"/>
        </w:rPr>
        <w:t>25</w:t>
      </w:r>
      <w:r>
        <w:rPr>
          <w:rFonts w:ascii="宋体" w:hAnsi="宋体"/>
        </w:rPr>
        <w:t>.</w:t>
      </w:r>
      <w:r>
        <w:rPr>
          <w:rFonts w:ascii="宋体" w:hAnsi="宋体" w:hint="eastAsia"/>
        </w:rPr>
        <w:t>1实行网上投标，</w:t>
      </w:r>
      <w:r>
        <w:rPr>
          <w:rFonts w:ascii="宋体" w:hAnsi="宋体"/>
        </w:rPr>
        <w:t>投标人必须</w:t>
      </w:r>
      <w:r>
        <w:rPr>
          <w:rFonts w:ascii="宋体" w:hAnsi="宋体" w:hint="eastAsia"/>
        </w:rPr>
        <w:t>在招标</w:t>
      </w:r>
      <w:r>
        <w:rPr>
          <w:rFonts w:ascii="宋体" w:hAnsi="宋体"/>
        </w:rPr>
        <w:t>文件规定的投标截止时间前</w:t>
      </w:r>
      <w:r>
        <w:rPr>
          <w:rFonts w:ascii="宋体" w:hAnsi="宋体" w:hint="eastAsia"/>
        </w:rPr>
        <w:t>用电子密钥登录“深圳政府采购智慧平台用户网上办事子系统（http://zfcg.szggzy.com/TPBidder/memberLogin）”，用“【我的项目】→【项目流程】→【递交投标(应答)文件】”功能点上传投标文件。如果确有困难，多次上传均告失败，请在投标截止时间之前携带加密后的电子投标文件送达至</w:t>
      </w:r>
      <w:r>
        <w:rPr>
          <w:rFonts w:ascii="宋体" w:hAnsi="宋体" w:hint="eastAsia"/>
          <w:b/>
          <w:bCs/>
        </w:rPr>
        <w:t>深圳公共资源交易中心（深圳交易集团有限公司政府采购业务分公司）3楼304室（地址：深圳市福田区景田路70号雅枫国际酒店北侧交易集团评审区三楼），联系方式：83948100，83938584，83938599。</w:t>
      </w:r>
    </w:p>
    <w:p w:rsidR="007900F6" w:rsidP="007900F6">
      <w:pPr>
        <w:spacing w:line="360" w:lineRule="auto"/>
        <w:ind w:firstLine="470" w:firstLineChars="196"/>
        <w:rPr>
          <w:rFonts w:ascii="宋体" w:hAnsi="宋体"/>
        </w:rPr>
      </w:pPr>
      <w:r>
        <w:rPr>
          <w:rFonts w:ascii="宋体" w:hAnsi="宋体" w:hint="eastAsia"/>
        </w:rPr>
        <w:t>25.2</w:t>
      </w:r>
      <w:r>
        <w:rPr>
          <w:rFonts w:ascii="宋体" w:hAnsi="宋体" w:hint="eastAsia"/>
          <w:szCs w:val="21"/>
        </w:rPr>
        <w:t>采购实施机构</w:t>
      </w:r>
      <w:r>
        <w:rPr>
          <w:rFonts w:ascii="宋体" w:hAnsi="宋体" w:hint="eastAsia"/>
        </w:rPr>
        <w:t>可以按本通用条款第13条规定，通过修改招标文件自行决定酌情延长投标截止期。在此情况下，</w:t>
      </w:r>
      <w:r>
        <w:rPr>
          <w:rFonts w:ascii="宋体" w:hAnsi="宋体" w:hint="eastAsia"/>
          <w:szCs w:val="21"/>
        </w:rPr>
        <w:t>采购实施机构</w:t>
      </w:r>
      <w:r>
        <w:rPr>
          <w:rFonts w:ascii="宋体" w:hAnsi="宋体" w:hint="eastAsia"/>
        </w:rPr>
        <w:t>、采购人和投标人受投标截止期制约的所有权利和义务均应延长至新的截止期。</w:t>
      </w:r>
    </w:p>
    <w:p w:rsidR="007900F6" w:rsidP="007900F6">
      <w:pPr>
        <w:spacing w:line="360" w:lineRule="auto"/>
        <w:ind w:firstLine="470" w:firstLineChars="196"/>
        <w:rPr>
          <w:rFonts w:ascii="宋体" w:hAnsi="宋体"/>
        </w:rPr>
      </w:pPr>
      <w:r>
        <w:rPr>
          <w:rFonts w:ascii="宋体" w:hAnsi="宋体" w:hint="eastAsia"/>
        </w:rPr>
        <w:t>25</w:t>
      </w:r>
      <w:r>
        <w:rPr>
          <w:rFonts w:ascii="宋体" w:hAnsi="宋体"/>
        </w:rPr>
        <w:t>.</w:t>
      </w:r>
      <w:r>
        <w:rPr>
          <w:rFonts w:ascii="宋体" w:hAnsi="宋体" w:hint="eastAsia"/>
        </w:rPr>
        <w:t>3投标截止时间以后不得上传投标文件。</w:t>
      </w:r>
    </w:p>
    <w:p w:rsidR="007900F6">
      <w:pPr>
        <w:spacing w:line="360" w:lineRule="auto"/>
        <w:rPr>
          <w:rFonts w:ascii="黑体" w:eastAsia="黑体" w:hAnsi="宋体"/>
          <w:sz w:val="24"/>
        </w:rPr>
      </w:pPr>
      <w:r>
        <w:rPr>
          <w:rFonts w:ascii="黑体" w:eastAsia="黑体" w:hAnsi="宋体" w:hint="eastAsia"/>
          <w:sz w:val="24"/>
        </w:rPr>
        <w:t>26. 样品的递交</w:t>
      </w:r>
    </w:p>
    <w:p w:rsidR="007900F6">
      <w:pPr>
        <w:spacing w:line="360" w:lineRule="auto"/>
        <w:rPr>
          <w:rFonts w:ascii="宋体" w:hAnsi="宋体"/>
          <w:szCs w:val="21"/>
        </w:rPr>
      </w:pPr>
      <w:r>
        <w:rPr>
          <w:rFonts w:ascii="宋体" w:hAnsi="宋体" w:hint="eastAsia"/>
          <w:szCs w:val="21"/>
        </w:rPr>
        <w:t xml:space="preserve">    26.1 一般不得要求投标人提供样品，仅凭书面方式不能准确描述采购需求或者需要对样品进行主观判断以确认是否满足采购需求等特殊情况除外。如确有必要，采购人可以要求投标人提供能反映货物材质或关键部分的尺寸、价值不大的样品,具体见第一册专用条款相关内容。</w:t>
      </w:r>
    </w:p>
    <w:p w:rsidR="007900F6">
      <w:pPr>
        <w:spacing w:line="360" w:lineRule="auto"/>
        <w:ind w:firstLine="420"/>
        <w:rPr>
          <w:rFonts w:ascii="宋体" w:hAnsi="宋体" w:cs="宋体"/>
          <w:kern w:val="0"/>
          <w:szCs w:val="18"/>
        </w:rPr>
      </w:pPr>
      <w:r>
        <w:rPr>
          <w:rFonts w:ascii="宋体" w:hAnsi="宋体" w:hint="eastAsia"/>
          <w:szCs w:val="21"/>
        </w:rPr>
        <w:t>26.2</w:t>
      </w:r>
      <w:r>
        <w:rPr>
          <w:rFonts w:ascii="宋体" w:hAnsi="宋体" w:cs="宋体" w:hint="eastAsia"/>
          <w:kern w:val="0"/>
          <w:szCs w:val="18"/>
        </w:rPr>
        <w:t>投标样品上必须标注“项目名称及项目编号、样品编号、样品名称”等信息，但</w:t>
      </w:r>
      <w:r>
        <w:rPr>
          <w:rFonts w:ascii="宋体" w:hAnsi="宋体" w:cs="宋体"/>
          <w:kern w:val="0"/>
          <w:szCs w:val="18"/>
        </w:rPr>
        <w:t>不</w:t>
      </w:r>
      <w:r>
        <w:rPr>
          <w:rFonts w:ascii="宋体" w:hAnsi="宋体" w:cs="宋体" w:hint="eastAsia"/>
          <w:kern w:val="0"/>
          <w:szCs w:val="18"/>
        </w:rPr>
        <w:t>得显示指向</w:t>
      </w:r>
      <w:r>
        <w:rPr>
          <w:rFonts w:ascii="宋体" w:hAnsi="宋体" w:cs="宋体"/>
          <w:kern w:val="0"/>
          <w:szCs w:val="18"/>
        </w:rPr>
        <w:t>任何</w:t>
      </w:r>
      <w:r>
        <w:rPr>
          <w:rFonts w:ascii="宋体" w:hAnsi="宋体" w:cs="宋体" w:hint="eastAsia"/>
          <w:kern w:val="0"/>
          <w:szCs w:val="18"/>
        </w:rPr>
        <w:t>投标供应商的信息、</w:t>
      </w:r>
      <w:r>
        <w:rPr>
          <w:rFonts w:ascii="宋体" w:hAnsi="宋体" w:cs="宋体"/>
          <w:kern w:val="0"/>
          <w:szCs w:val="18"/>
        </w:rPr>
        <w:t>生产厂家</w:t>
      </w:r>
      <w:r>
        <w:rPr>
          <w:rFonts w:ascii="宋体" w:hAnsi="宋体" w:cs="宋体" w:hint="eastAsia"/>
          <w:kern w:val="0"/>
          <w:szCs w:val="18"/>
        </w:rPr>
        <w:t>的</w:t>
      </w:r>
      <w:r>
        <w:rPr>
          <w:rFonts w:ascii="宋体" w:hAnsi="宋体" w:cs="宋体"/>
          <w:kern w:val="0"/>
          <w:szCs w:val="18"/>
        </w:rPr>
        <w:t>商标，或者</w:t>
      </w:r>
      <w:r>
        <w:rPr>
          <w:rFonts w:ascii="宋体" w:hAnsi="宋体" w:cs="宋体" w:hint="eastAsia"/>
          <w:kern w:val="0"/>
          <w:szCs w:val="18"/>
        </w:rPr>
        <w:t>其他</w:t>
      </w:r>
      <w:r>
        <w:rPr>
          <w:rFonts w:ascii="宋体" w:hAnsi="宋体" w:cs="宋体"/>
          <w:kern w:val="0"/>
          <w:szCs w:val="18"/>
        </w:rPr>
        <w:t>的标记标识</w:t>
      </w:r>
      <w:r>
        <w:rPr>
          <w:rFonts w:ascii="宋体" w:hAnsi="宋体" w:cs="宋体" w:hint="eastAsia"/>
          <w:kern w:val="0"/>
          <w:szCs w:val="18"/>
        </w:rPr>
        <w:t>。需要安装的投标样品必须为安装完整的成品，由投标供应商自行组织安装。</w:t>
      </w:r>
    </w:p>
    <w:p w:rsidR="007900F6">
      <w:pPr>
        <w:spacing w:line="360" w:lineRule="auto"/>
        <w:ind w:firstLine="480" w:firstLineChars="200"/>
        <w:rPr>
          <w:rFonts w:ascii="宋体" w:hAnsi="宋体" w:cs="宋体"/>
          <w:kern w:val="0"/>
          <w:szCs w:val="18"/>
        </w:rPr>
      </w:pPr>
      <w:r>
        <w:rPr>
          <w:rFonts w:ascii="宋体" w:hAnsi="宋体" w:hint="eastAsia"/>
          <w:szCs w:val="21"/>
        </w:rPr>
        <w:t>26.2.1</w:t>
      </w:r>
      <w:r>
        <w:rPr>
          <w:rFonts w:ascii="宋体" w:hAnsi="宋体" w:cs="宋体" w:hint="eastAsia"/>
          <w:kern w:val="0"/>
          <w:szCs w:val="18"/>
        </w:rPr>
        <w:t>样品递交签到：</w:t>
      </w:r>
    </w:p>
    <w:p w:rsidR="007900F6">
      <w:pPr>
        <w:spacing w:line="360" w:lineRule="auto"/>
        <w:ind w:firstLine="480" w:firstLineChars="200"/>
        <w:rPr>
          <w:bCs/>
          <w:szCs w:val="21"/>
        </w:rPr>
      </w:pPr>
      <w:r>
        <w:rPr>
          <w:rFonts w:hint="eastAsia"/>
          <w:bCs/>
          <w:szCs w:val="21"/>
        </w:rPr>
        <w:t>投标供应商授权人需在本项目投标截止时间前，提供法定代表人证明书（盖公章）、法定代表人授权委托书（盖公章）、授权委托人身份证原件和复印件、样品清单（加盖公章），到</w:t>
      </w:r>
      <w:r>
        <w:rPr>
          <w:rFonts w:ascii="宋体" w:hAnsi="宋体" w:hint="eastAsia"/>
          <w:szCs w:val="21"/>
        </w:rPr>
        <w:t>采购实施机构</w:t>
      </w:r>
      <w:r>
        <w:rPr>
          <w:rFonts w:hint="eastAsia"/>
          <w:bCs/>
          <w:szCs w:val="21"/>
        </w:rPr>
        <w:t>，按工作人员指引进行样品递交签到。</w:t>
      </w:r>
    </w:p>
    <w:p w:rsidR="007900F6">
      <w:pPr>
        <w:spacing w:line="360" w:lineRule="auto"/>
        <w:ind w:firstLine="480" w:firstLineChars="200"/>
        <w:rPr>
          <w:bCs/>
          <w:szCs w:val="21"/>
        </w:rPr>
      </w:pPr>
      <w:r>
        <w:rPr>
          <w:rFonts w:hint="eastAsia"/>
          <w:bCs/>
          <w:szCs w:val="21"/>
        </w:rPr>
        <w:t>特别注意事项：（1）上述资料提供不齐全的，不予签到；（2）本项目投标截止时间后，不再受理签到；（3）未进行签到的，样品不予接收。</w:t>
      </w:r>
    </w:p>
    <w:p w:rsidR="007900F6">
      <w:pPr>
        <w:spacing w:line="360" w:lineRule="auto"/>
        <w:ind w:firstLine="480" w:firstLineChars="200"/>
        <w:rPr>
          <w:rFonts w:ascii="宋体" w:hAnsi="宋体" w:cs="宋体"/>
          <w:kern w:val="0"/>
          <w:szCs w:val="18"/>
        </w:rPr>
      </w:pPr>
      <w:r>
        <w:rPr>
          <w:rFonts w:ascii="宋体" w:hAnsi="宋体" w:hint="eastAsia"/>
          <w:szCs w:val="21"/>
        </w:rPr>
        <w:t>26.2.</w:t>
      </w:r>
      <w:r>
        <w:rPr>
          <w:rFonts w:ascii="宋体" w:hAnsi="宋体" w:cs="宋体" w:hint="eastAsia"/>
          <w:kern w:val="0"/>
          <w:szCs w:val="18"/>
        </w:rPr>
        <w:t>2 样品接收</w:t>
      </w:r>
    </w:p>
    <w:p w:rsidR="007900F6">
      <w:pPr>
        <w:spacing w:line="360" w:lineRule="auto"/>
        <w:ind w:firstLine="480" w:firstLineChars="200"/>
        <w:rPr>
          <w:rFonts w:ascii="宋体" w:hAnsi="宋体" w:cs="宋体"/>
          <w:kern w:val="0"/>
          <w:szCs w:val="18"/>
        </w:rPr>
      </w:pPr>
      <w:r>
        <w:rPr>
          <w:rFonts w:ascii="宋体" w:hAnsi="宋体" w:cs="宋体" w:hint="eastAsia"/>
          <w:kern w:val="0"/>
          <w:szCs w:val="18"/>
        </w:rPr>
        <w:t xml:space="preserve">本项目投标截止时间后进行投标样品接收。投标样品接收必须进行身份核对、样品核对、登记确认、顺序编号。 </w:t>
      </w:r>
    </w:p>
    <w:p w:rsidR="007900F6">
      <w:pPr>
        <w:spacing w:line="360" w:lineRule="auto"/>
        <w:ind w:firstLine="480" w:firstLineChars="200"/>
        <w:rPr>
          <w:rFonts w:ascii="宋体" w:hAnsi="宋体" w:cs="宋体"/>
          <w:kern w:val="0"/>
          <w:szCs w:val="18"/>
        </w:rPr>
      </w:pPr>
      <w:r>
        <w:rPr>
          <w:rFonts w:ascii="宋体" w:hAnsi="宋体" w:cs="宋体" w:hint="eastAsia"/>
          <w:kern w:val="0"/>
          <w:szCs w:val="18"/>
        </w:rPr>
        <w:t>（1）身份核对。</w:t>
      </w:r>
      <w:r>
        <w:rPr>
          <w:rFonts w:ascii="宋体" w:hAnsi="宋体" w:hint="eastAsia"/>
          <w:szCs w:val="21"/>
        </w:rPr>
        <w:t>采购实施机构</w:t>
      </w:r>
      <w:r>
        <w:rPr>
          <w:rFonts w:ascii="宋体" w:hAnsi="宋体" w:cs="宋体" w:hint="eastAsia"/>
          <w:kern w:val="0"/>
          <w:szCs w:val="18"/>
        </w:rPr>
        <w:t>核对投标供应商授权委托人提供的“法定代表人证明书（盖公章）、法定代表人授权委托书（盖公章）、授权委托人身份证原件和复印件”。资料不齐全的，不得接收投标样品。</w:t>
      </w:r>
    </w:p>
    <w:p w:rsidR="007900F6">
      <w:pPr>
        <w:spacing w:line="360" w:lineRule="auto"/>
        <w:ind w:firstLine="480" w:firstLineChars="200"/>
        <w:rPr>
          <w:rFonts w:ascii="宋体" w:hAnsi="宋体" w:cs="宋体"/>
          <w:kern w:val="0"/>
          <w:szCs w:val="18"/>
        </w:rPr>
      </w:pPr>
      <w:r>
        <w:rPr>
          <w:rFonts w:ascii="宋体" w:hAnsi="宋体" w:cs="宋体" w:hint="eastAsia"/>
          <w:kern w:val="0"/>
          <w:szCs w:val="18"/>
        </w:rPr>
        <w:t>（2）样品核对。</w:t>
      </w:r>
      <w:r>
        <w:rPr>
          <w:rFonts w:ascii="宋体" w:hAnsi="宋体" w:hint="eastAsia"/>
          <w:szCs w:val="21"/>
        </w:rPr>
        <w:t>采购实施机构</w:t>
      </w:r>
      <w:r>
        <w:rPr>
          <w:rFonts w:ascii="宋体" w:hAnsi="宋体" w:cs="宋体" w:hint="eastAsia"/>
          <w:kern w:val="0"/>
          <w:szCs w:val="18"/>
        </w:rPr>
        <w:t>工作人员将投标样品与投标供应商提供的《样品清单》（盖公章）进行一一核对。有不一致的或损坏情况的，将要求供应商授权委托人在《样品清单》上注明。</w:t>
      </w:r>
    </w:p>
    <w:p w:rsidR="007900F6">
      <w:pPr>
        <w:spacing w:line="360" w:lineRule="auto"/>
        <w:ind w:firstLine="480" w:firstLineChars="200"/>
        <w:rPr>
          <w:rFonts w:ascii="宋体" w:hAnsi="宋体" w:cs="宋体"/>
          <w:kern w:val="0"/>
          <w:szCs w:val="18"/>
        </w:rPr>
      </w:pPr>
      <w:r>
        <w:rPr>
          <w:rFonts w:ascii="宋体" w:hAnsi="宋体" w:cs="宋体" w:hint="eastAsia"/>
          <w:kern w:val="0"/>
          <w:szCs w:val="18"/>
        </w:rPr>
        <w:t>（3）登记确认。在完成身份核对及样品核对后，投标供应商授权委托人必须在《样品接收登记表》上登记确认。</w:t>
      </w:r>
    </w:p>
    <w:p w:rsidR="007900F6">
      <w:pPr>
        <w:spacing w:line="360" w:lineRule="auto"/>
        <w:ind w:firstLine="480" w:firstLineChars="200"/>
        <w:rPr>
          <w:rFonts w:ascii="宋体" w:hAnsi="宋体" w:cs="宋体"/>
          <w:kern w:val="0"/>
          <w:szCs w:val="18"/>
        </w:rPr>
      </w:pPr>
      <w:r>
        <w:rPr>
          <w:rFonts w:ascii="宋体" w:hAnsi="宋体" w:cs="宋体" w:hint="eastAsia"/>
          <w:kern w:val="0"/>
          <w:szCs w:val="18"/>
        </w:rPr>
        <w:t>（4）顺序编号。</w:t>
      </w:r>
      <w:r>
        <w:rPr>
          <w:rFonts w:ascii="宋体" w:hAnsi="宋体" w:hint="eastAsia"/>
          <w:szCs w:val="21"/>
        </w:rPr>
        <w:t>采购实施机构</w:t>
      </w:r>
      <w:r>
        <w:rPr>
          <w:rFonts w:ascii="宋体" w:hAnsi="宋体" w:cs="宋体" w:hint="eastAsia"/>
          <w:kern w:val="0"/>
          <w:szCs w:val="18"/>
        </w:rPr>
        <w:t>工作人员按投标样品接收的先后顺序进行编号。</w:t>
      </w:r>
    </w:p>
    <w:p w:rsidR="007900F6">
      <w:pPr>
        <w:spacing w:line="360" w:lineRule="auto"/>
        <w:ind w:firstLine="480" w:firstLineChars="200"/>
        <w:rPr>
          <w:rFonts w:ascii="宋体" w:hAnsi="宋体" w:cs="宋体"/>
          <w:kern w:val="0"/>
          <w:szCs w:val="18"/>
        </w:rPr>
      </w:pPr>
      <w:r>
        <w:rPr>
          <w:rFonts w:ascii="宋体" w:hAnsi="宋体" w:hint="eastAsia"/>
          <w:szCs w:val="21"/>
        </w:rPr>
        <w:t>26.3采购实施机构</w:t>
      </w:r>
      <w:r>
        <w:rPr>
          <w:rFonts w:ascii="宋体" w:hAnsi="宋体" w:cs="宋体" w:hint="eastAsia"/>
          <w:kern w:val="0"/>
          <w:szCs w:val="18"/>
        </w:rPr>
        <w:t>负责组织投标样品摆样，指引供应商授权委托人将投标样品搬运到指定地点摆放、拆除包装，按要求摆放整齐。完成样品摆样后，供应商授权委托人应及时立场，不得在摆样现场滞留。</w:t>
      </w:r>
    </w:p>
    <w:p w:rsidR="007900F6">
      <w:pPr>
        <w:spacing w:line="360" w:lineRule="auto"/>
        <w:ind w:firstLine="480" w:firstLineChars="200"/>
        <w:rPr>
          <w:rFonts w:ascii="宋体" w:hAnsi="宋体" w:cs="宋体"/>
          <w:kern w:val="0"/>
          <w:szCs w:val="18"/>
        </w:rPr>
      </w:pPr>
      <w:r>
        <w:rPr>
          <w:rFonts w:ascii="宋体" w:hAnsi="宋体" w:cs="宋体" w:hint="eastAsia"/>
          <w:kern w:val="0"/>
          <w:szCs w:val="18"/>
        </w:rPr>
        <w:t>26.4样品的退回：（1）未中标的供应商投标样品，</w:t>
      </w:r>
      <w:r>
        <w:rPr>
          <w:rFonts w:ascii="宋体" w:hAnsi="宋体" w:hint="eastAsia"/>
          <w:szCs w:val="21"/>
        </w:rPr>
        <w:t>采购实施机构</w:t>
      </w:r>
      <w:r>
        <w:rPr>
          <w:rFonts w:ascii="宋体" w:hAnsi="宋体" w:cs="宋体" w:hint="eastAsia"/>
          <w:kern w:val="0"/>
          <w:szCs w:val="18"/>
        </w:rPr>
        <w:t>工作人员将按规定进行通知，并要求供应商授权委托人在项目完成评审后的三个工作日内凭身份证及样品受理回执原件办理退回手续。（2）中标的供应商投标样品，</w:t>
      </w:r>
      <w:r>
        <w:rPr>
          <w:rFonts w:ascii="宋体" w:hAnsi="宋体" w:hint="eastAsia"/>
          <w:szCs w:val="21"/>
        </w:rPr>
        <w:t>采购实施机构</w:t>
      </w:r>
      <w:r>
        <w:rPr>
          <w:rFonts w:ascii="宋体" w:hAnsi="宋体" w:cs="宋体" w:hint="eastAsia"/>
          <w:kern w:val="0"/>
          <w:szCs w:val="18"/>
        </w:rPr>
        <w:t>工作人员将按规定进行通知，并要求采购人代表在中标通知书发放后三个工作日内凭中标通知书复印件及身份证原件办理领取手续。</w:t>
      </w:r>
    </w:p>
    <w:p w:rsidR="007900F6">
      <w:pPr>
        <w:spacing w:line="360" w:lineRule="auto"/>
        <w:ind w:firstLine="480" w:firstLineChars="200"/>
        <w:rPr>
          <w:rFonts w:ascii="宋体" w:hAnsi="宋体" w:cs="宋体"/>
          <w:kern w:val="0"/>
          <w:szCs w:val="18"/>
        </w:rPr>
      </w:pPr>
      <w:r>
        <w:rPr>
          <w:rFonts w:ascii="宋体" w:hAnsi="宋体" w:cs="宋体" w:hint="eastAsia"/>
          <w:kern w:val="0"/>
          <w:szCs w:val="18"/>
        </w:rPr>
        <w:t>投标样品移交时，</w:t>
      </w:r>
      <w:r>
        <w:rPr>
          <w:rFonts w:ascii="宋体" w:hAnsi="宋体" w:hint="eastAsia"/>
          <w:szCs w:val="21"/>
        </w:rPr>
        <w:t>采购实施机构</w:t>
      </w:r>
      <w:r>
        <w:rPr>
          <w:rFonts w:ascii="宋体" w:hAnsi="宋体" w:cs="宋体" w:hint="eastAsia"/>
          <w:kern w:val="0"/>
          <w:szCs w:val="18"/>
        </w:rPr>
        <w:t>工作人员将再次核对供应商授权委托人或采购人代表身份、核对《样品清单》，签字确认后并取走样品。</w:t>
      </w:r>
    </w:p>
    <w:p w:rsidR="007900F6">
      <w:pPr>
        <w:spacing w:line="360" w:lineRule="auto"/>
        <w:ind w:firstLine="480" w:firstLineChars="200"/>
        <w:rPr>
          <w:rFonts w:ascii="宋体" w:hAnsi="宋体" w:cs="宋体"/>
          <w:kern w:val="0"/>
          <w:szCs w:val="18"/>
        </w:rPr>
      </w:pPr>
      <w:r>
        <w:rPr>
          <w:rFonts w:ascii="宋体" w:hAnsi="宋体" w:cs="宋体" w:hint="eastAsia"/>
          <w:kern w:val="0"/>
          <w:szCs w:val="18"/>
        </w:rPr>
        <w:t>26.5未能及时退回的样品的处理：</w:t>
      </w:r>
    </w:p>
    <w:p w:rsidR="007900F6">
      <w:pPr>
        <w:spacing w:line="360" w:lineRule="auto"/>
        <w:ind w:firstLine="480" w:firstLineChars="200"/>
        <w:rPr>
          <w:rFonts w:ascii="宋体" w:hAnsi="宋体" w:cs="宋体"/>
          <w:kern w:val="0"/>
          <w:szCs w:val="18"/>
        </w:rPr>
      </w:pPr>
      <w:r>
        <w:rPr>
          <w:rFonts w:ascii="宋体" w:hAnsi="宋体" w:cs="宋体" w:hint="eastAsia"/>
          <w:kern w:val="0"/>
          <w:szCs w:val="18"/>
        </w:rPr>
        <w:t>（1）未中标供应商未在规定时间内（项目完成评审后三个工作日）内取回投标样品的，视为放弃取回，</w:t>
      </w:r>
      <w:r>
        <w:rPr>
          <w:rFonts w:ascii="宋体" w:hAnsi="宋体" w:hint="eastAsia"/>
          <w:szCs w:val="21"/>
        </w:rPr>
        <w:t>采购实施机构</w:t>
      </w:r>
      <w:r>
        <w:rPr>
          <w:rFonts w:ascii="宋体" w:hAnsi="宋体" w:cs="宋体" w:hint="eastAsia"/>
          <w:kern w:val="0"/>
          <w:szCs w:val="18"/>
        </w:rPr>
        <w:t>将定期清理。</w:t>
      </w:r>
    </w:p>
    <w:p w:rsidR="007900F6">
      <w:pPr>
        <w:spacing w:line="360" w:lineRule="auto"/>
        <w:ind w:firstLine="420"/>
        <w:rPr>
          <w:rFonts w:ascii="宋体" w:hAnsi="宋体"/>
          <w:szCs w:val="21"/>
        </w:rPr>
      </w:pPr>
      <w:r>
        <w:rPr>
          <w:rFonts w:ascii="宋体" w:hAnsi="宋体" w:cs="宋体" w:hint="eastAsia"/>
          <w:kern w:val="0"/>
          <w:szCs w:val="18"/>
        </w:rPr>
        <w:t>（2）采购人未在规定时间内（中标通知书发放后三个工作日内）内领取中标供应商投标样品的，</w:t>
      </w:r>
      <w:r>
        <w:rPr>
          <w:rFonts w:ascii="宋体" w:hAnsi="宋体" w:hint="eastAsia"/>
          <w:szCs w:val="21"/>
        </w:rPr>
        <w:t>采购实施机构</w:t>
      </w:r>
      <w:r>
        <w:rPr>
          <w:rFonts w:ascii="宋体" w:hAnsi="宋体" w:cs="宋体" w:hint="eastAsia"/>
          <w:kern w:val="0"/>
          <w:szCs w:val="18"/>
        </w:rPr>
        <w:t>工作人员将发函或电话敦促。</w:t>
      </w:r>
    </w:p>
    <w:p w:rsidR="007900F6">
      <w:pPr>
        <w:spacing w:line="360" w:lineRule="auto"/>
        <w:rPr>
          <w:rFonts w:ascii="黑体" w:eastAsia="黑体" w:hAnsi="宋体"/>
          <w:sz w:val="24"/>
        </w:rPr>
      </w:pPr>
      <w:r>
        <w:rPr>
          <w:rFonts w:ascii="黑体" w:eastAsia="黑体" w:hAnsi="宋体"/>
          <w:sz w:val="24"/>
        </w:rPr>
        <w:t>2</w:t>
      </w:r>
      <w:r>
        <w:rPr>
          <w:rFonts w:ascii="黑体" w:eastAsia="黑体" w:hAnsi="宋体" w:hint="eastAsia"/>
          <w:sz w:val="24"/>
        </w:rPr>
        <w:t>7．</w:t>
      </w:r>
      <w:r>
        <w:rPr>
          <w:rFonts w:ascii="黑体" w:eastAsia="黑体" w:hAnsi="宋体"/>
          <w:sz w:val="24"/>
        </w:rPr>
        <w:t>投标文件的修改和撤销</w:t>
      </w:r>
    </w:p>
    <w:p w:rsidR="007900F6" w:rsidP="007900F6">
      <w:pPr>
        <w:spacing w:line="360" w:lineRule="auto"/>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1</w:t>
      </w:r>
      <w:r>
        <w:rPr>
          <w:rFonts w:ascii="宋体" w:hAnsi="宋体"/>
        </w:rPr>
        <w:t>投标方在提交投标文件后可对其投标文件进行修改</w:t>
      </w:r>
      <w:r>
        <w:rPr>
          <w:rFonts w:ascii="宋体" w:hAnsi="宋体" w:hint="eastAsia"/>
        </w:rPr>
        <w:t>并重新上传投标文件</w:t>
      </w:r>
      <w:r>
        <w:rPr>
          <w:rFonts w:ascii="宋体" w:hAnsi="宋体"/>
        </w:rPr>
        <w:t>或</w:t>
      </w:r>
      <w:r>
        <w:rPr>
          <w:rFonts w:ascii="宋体" w:hAnsi="宋体" w:hint="eastAsia"/>
        </w:rPr>
        <w:t>在网上进行</w:t>
      </w:r>
      <w:r>
        <w:rPr>
          <w:rFonts w:ascii="宋体" w:hAnsi="宋体"/>
        </w:rPr>
        <w:t>撤销</w:t>
      </w:r>
      <w:r>
        <w:rPr>
          <w:rFonts w:ascii="宋体" w:hAnsi="宋体" w:hint="eastAsia"/>
        </w:rPr>
        <w:t>投标的操作</w:t>
      </w:r>
      <w:r>
        <w:rPr>
          <w:rFonts w:ascii="宋体" w:hAnsi="宋体"/>
        </w:rPr>
        <w:t>。</w:t>
      </w:r>
    </w:p>
    <w:p w:rsidR="007900F6" w:rsidP="007900F6">
      <w:pPr>
        <w:spacing w:line="360" w:lineRule="auto"/>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2</w:t>
      </w:r>
      <w:r>
        <w:rPr>
          <w:rFonts w:ascii="宋体" w:hAnsi="宋体"/>
        </w:rPr>
        <w:t>投标截止时间以后不得修改投标文件。</w:t>
      </w:r>
    </w:p>
    <w:p w:rsidR="007900F6" w:rsidP="007900F6">
      <w:pPr>
        <w:spacing w:line="360" w:lineRule="auto"/>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3从投标截止期至投标人在投标书中确定的投标有效期之间的这段时间内，投标人不得撤回其投标。</w:t>
      </w:r>
    </w:p>
    <w:p w:rsidR="007900F6" w:rsidP="007900F6">
      <w:pPr>
        <w:spacing w:line="360" w:lineRule="auto"/>
        <w:ind w:firstLine="470" w:firstLineChars="196"/>
        <w:rPr>
          <w:rFonts w:ascii="宋体" w:hAnsi="宋体"/>
          <w:szCs w:val="21"/>
        </w:rPr>
      </w:pPr>
      <w:r>
        <w:rPr>
          <w:rFonts w:ascii="宋体" w:hAnsi="宋体" w:hint="eastAsia"/>
          <w:szCs w:val="21"/>
        </w:rPr>
        <w:t>27.4采购实施机构不退还投标文件，专用条款另有规定的除外。</w:t>
      </w:r>
    </w:p>
    <w:p w:rsidR="007900F6">
      <w:pPr>
        <w:pStyle w:val="Heading2"/>
        <w:numPr>
          <w:ilvl w:val="0"/>
          <w:numId w:val="89"/>
        </w:numPr>
        <w:tabs>
          <w:tab w:val="left" w:pos="720"/>
          <w:tab w:val="clear" w:pos="5965"/>
        </w:tabs>
        <w:spacing w:before="120" w:beforeLines="50" w:after="120" w:afterLines="50" w:line="360" w:lineRule="auto"/>
        <w:ind w:left="720"/>
        <w:rPr>
          <w:sz w:val="28"/>
          <w:szCs w:val="28"/>
        </w:rPr>
      </w:pPr>
      <w:r>
        <w:rPr>
          <w:rFonts w:hint="eastAsia"/>
          <w:sz w:val="28"/>
          <w:szCs w:val="28"/>
        </w:rPr>
        <w:t>开标</w:t>
      </w:r>
    </w:p>
    <w:p w:rsidR="007900F6">
      <w:pPr>
        <w:spacing w:line="360" w:lineRule="auto"/>
        <w:rPr>
          <w:rFonts w:ascii="黑体" w:eastAsia="黑体" w:hAnsi="宋体"/>
          <w:sz w:val="24"/>
        </w:rPr>
      </w:pPr>
      <w:r>
        <w:rPr>
          <w:rFonts w:ascii="黑体" w:eastAsia="黑体" w:hAnsi="宋体" w:hint="eastAsia"/>
          <w:sz w:val="24"/>
        </w:rPr>
        <w:t>28．开标</w:t>
      </w:r>
    </w:p>
    <w:p w:rsidR="007900F6">
      <w:pPr>
        <w:spacing w:line="360" w:lineRule="auto"/>
        <w:ind w:firstLine="360" w:firstLineChars="150"/>
        <w:rPr>
          <w:rFonts w:ascii="宋体" w:hAnsi="宋体"/>
          <w:szCs w:val="21"/>
        </w:rPr>
      </w:pPr>
      <w:r>
        <w:rPr>
          <w:rFonts w:ascii="宋体" w:hAnsi="宋体" w:hint="eastAsia"/>
          <w:szCs w:val="21"/>
        </w:rPr>
        <w:t>28.1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7900F6">
      <w:pPr>
        <w:spacing w:line="360" w:lineRule="auto"/>
        <w:ind w:firstLine="360" w:firstLineChars="150"/>
        <w:rPr>
          <w:rFonts w:ascii="宋体" w:hAnsi="宋体"/>
          <w:szCs w:val="21"/>
        </w:rPr>
      </w:pPr>
      <w:r>
        <w:rPr>
          <w:rFonts w:ascii="宋体" w:hAnsi="宋体" w:hint="eastAsia"/>
          <w:szCs w:val="21"/>
        </w:rPr>
        <w:t>28.2 政府集中采购机构将在满足开标条件（①解密时间结束，解密后的投标供应商数量满足开标要求或②解密时间结束前所有投标供应商均完成投标文件解密）后，对投标文件进行开标，并在网上公布开标结果。</w:t>
      </w:r>
    </w:p>
    <w:p w:rsidR="007900F6">
      <w:pPr>
        <w:spacing w:line="360" w:lineRule="auto"/>
        <w:ind w:firstLine="360" w:firstLineChars="150"/>
        <w:rPr>
          <w:rFonts w:ascii="宋体" w:hAnsi="宋体"/>
          <w:szCs w:val="21"/>
        </w:rPr>
      </w:pPr>
    </w:p>
    <w:p w:rsidR="007900F6">
      <w:pPr>
        <w:pStyle w:val="Heading2"/>
        <w:numPr>
          <w:ilvl w:val="0"/>
          <w:numId w:val="89"/>
        </w:numPr>
        <w:tabs>
          <w:tab w:val="left" w:pos="720"/>
          <w:tab w:val="clear" w:pos="5965"/>
        </w:tabs>
        <w:spacing w:before="120" w:beforeLines="50" w:after="120" w:afterLines="50" w:line="360" w:lineRule="auto"/>
        <w:ind w:left="720"/>
        <w:rPr>
          <w:sz w:val="28"/>
          <w:szCs w:val="28"/>
        </w:rPr>
      </w:pPr>
      <w:r>
        <w:rPr>
          <w:rFonts w:hint="eastAsia"/>
          <w:sz w:val="28"/>
          <w:szCs w:val="28"/>
        </w:rPr>
        <w:t>评标要求</w:t>
      </w:r>
    </w:p>
    <w:p w:rsidR="007900F6">
      <w:pPr>
        <w:spacing w:line="360" w:lineRule="auto"/>
        <w:rPr>
          <w:rFonts w:ascii="黑体" w:eastAsia="黑体" w:hAnsi="宋体"/>
          <w:sz w:val="24"/>
        </w:rPr>
      </w:pPr>
      <w:r>
        <w:rPr>
          <w:rFonts w:ascii="黑体" w:eastAsia="黑体" w:hAnsi="宋体" w:hint="eastAsia"/>
          <w:sz w:val="24"/>
        </w:rPr>
        <w:t>29．评审委员会组成</w:t>
      </w:r>
    </w:p>
    <w:p w:rsidR="007900F6" w:rsidP="007900F6">
      <w:pPr>
        <w:spacing w:line="360" w:lineRule="auto"/>
        <w:ind w:firstLine="470" w:firstLineChars="196"/>
        <w:rPr>
          <w:rFonts w:ascii="宋体" w:hAnsi="宋体"/>
        </w:rPr>
      </w:pPr>
      <w:r>
        <w:rPr>
          <w:rFonts w:ascii="宋体" w:hAnsi="宋体" w:hint="eastAsia"/>
        </w:rPr>
        <w:t>29.1网上开标结束后召开评标会议，</w:t>
      </w:r>
      <w:r>
        <w:rPr>
          <w:rFonts w:ascii="宋体" w:hAnsi="宋体" w:hint="eastAsia"/>
          <w:szCs w:val="21"/>
        </w:rPr>
        <w:t>评审委员会</w:t>
      </w:r>
      <w:r>
        <w:rPr>
          <w:rFonts w:ascii="宋体" w:hAnsi="宋体" w:hint="eastAsia"/>
        </w:rPr>
        <w:t>由</w:t>
      </w:r>
      <w:r>
        <w:rPr>
          <w:rFonts w:ascii="宋体" w:hAnsi="宋体" w:hint="eastAsia"/>
          <w:szCs w:val="21"/>
        </w:rPr>
        <w:t>采购实施机构</w:t>
      </w:r>
      <w:r>
        <w:rPr>
          <w:rFonts w:ascii="宋体" w:hAnsi="宋体" w:hint="eastAsia"/>
        </w:rPr>
        <w:t>依法组建，负责评标活动。</w:t>
      </w:r>
    </w:p>
    <w:p w:rsidR="007900F6">
      <w:pPr>
        <w:widowControl/>
        <w:shd w:val="clear" w:color="auto" w:fill="FFFFFF"/>
        <w:spacing w:before="47" w:after="206" w:line="360" w:lineRule="auto"/>
        <w:jc w:val="left"/>
      </w:pPr>
      <w:r>
        <w:rPr>
          <w:rFonts w:hint="eastAsia"/>
        </w:rPr>
        <w:t xml:space="preserve">    </w:t>
      </w:r>
      <w:r>
        <w:t>评审委员会由</w:t>
      </w:r>
      <w:r>
        <w:rPr>
          <w:rFonts w:hint="eastAsia"/>
        </w:rPr>
        <w:t>采购人代表和</w:t>
      </w:r>
      <w:r>
        <w:t>评审专家组成，</w:t>
      </w:r>
      <w:r>
        <w:rPr>
          <w:rFonts w:hint="eastAsia"/>
        </w:rPr>
        <w:t>成员</w:t>
      </w:r>
      <w:r>
        <w:t>人数为五人以上的单数</w:t>
      </w:r>
      <w:r>
        <w:rPr>
          <w:rFonts w:hint="eastAsia"/>
        </w:rPr>
        <w:t>。评定分离项目</w:t>
      </w:r>
      <w:r>
        <w:t>评审专家</w:t>
      </w:r>
      <w:r>
        <w:rPr>
          <w:rFonts w:hint="eastAsia"/>
        </w:rPr>
        <w:t>均</w:t>
      </w:r>
      <w:r>
        <w:t>由</w:t>
      </w:r>
      <w:r>
        <w:rPr>
          <w:rFonts w:hint="eastAsia"/>
        </w:rPr>
        <w:t>评审专家组成。</w:t>
      </w:r>
    </w:p>
    <w:p w:rsidR="007900F6" w:rsidP="007900F6">
      <w:pPr>
        <w:spacing w:line="360" w:lineRule="auto"/>
        <w:ind w:firstLine="470" w:firstLineChars="196"/>
        <w:rPr>
          <w:rFonts w:ascii="宋体" w:hAnsi="宋体"/>
        </w:rPr>
      </w:pPr>
      <w:r>
        <w:rPr>
          <w:rFonts w:ascii="宋体" w:hAnsi="宋体" w:hint="eastAsia"/>
        </w:rPr>
        <w:t>为保证评委人选的专业性，以及评标中的公平公正性，</w:t>
      </w:r>
      <w:r>
        <w:rPr>
          <w:rFonts w:ascii="宋体" w:hAnsi="宋体" w:hint="eastAsia"/>
          <w:szCs w:val="21"/>
        </w:rPr>
        <w:t>评审专家</w:t>
      </w:r>
      <w:r>
        <w:rPr>
          <w:rFonts w:ascii="宋体" w:hAnsi="宋体" w:hint="eastAsia"/>
        </w:rPr>
        <w:t>从深圳市财政局评标专家库中随机抽取。</w:t>
      </w:r>
    </w:p>
    <w:p w:rsidR="007900F6" w:rsidP="007900F6">
      <w:pPr>
        <w:spacing w:line="360" w:lineRule="auto"/>
        <w:ind w:firstLine="470" w:firstLineChars="196"/>
        <w:rPr>
          <w:rFonts w:ascii="宋体" w:hAnsi="宋体"/>
        </w:rPr>
      </w:pPr>
      <w:r>
        <w:rPr>
          <w:rFonts w:ascii="宋体" w:hAnsi="宋体" w:hint="eastAsia"/>
        </w:rPr>
        <w:t>采购人代表须持本单位签发的《评标授权书》参加评标。</w:t>
      </w:r>
    </w:p>
    <w:p w:rsidR="007900F6" w:rsidP="007900F6">
      <w:pPr>
        <w:spacing w:line="360" w:lineRule="auto"/>
        <w:ind w:firstLine="470" w:firstLineChars="196"/>
        <w:rPr>
          <w:rFonts w:ascii="宋体" w:hAnsi="宋体"/>
        </w:rPr>
      </w:pPr>
      <w:r>
        <w:rPr>
          <w:rFonts w:ascii="宋体" w:hAnsi="宋体" w:hint="eastAsia"/>
        </w:rPr>
        <w:t>29.2评标定标应当遵循公平、公正、科学、择优的原则。</w:t>
      </w:r>
    </w:p>
    <w:p w:rsidR="007900F6" w:rsidP="007900F6">
      <w:pPr>
        <w:spacing w:line="360" w:lineRule="auto"/>
        <w:ind w:firstLine="470" w:firstLineChars="196"/>
        <w:rPr>
          <w:rFonts w:ascii="宋体" w:hAnsi="宋体"/>
        </w:rPr>
      </w:pPr>
      <w:r>
        <w:rPr>
          <w:rFonts w:ascii="宋体" w:hAnsi="宋体" w:hint="eastAsia"/>
        </w:rPr>
        <w:t>29.3评标活动依法进行，任何单位和个人不得非法干预评标过程和结果。</w:t>
      </w:r>
    </w:p>
    <w:p w:rsidR="007900F6" w:rsidP="007900F6">
      <w:pPr>
        <w:spacing w:line="360" w:lineRule="auto"/>
        <w:ind w:firstLine="470" w:firstLineChars="196"/>
        <w:rPr>
          <w:rFonts w:ascii="宋体" w:hAnsi="宋体"/>
        </w:rPr>
      </w:pPr>
      <w:r>
        <w:rPr>
          <w:rFonts w:ascii="宋体" w:hAnsi="宋体" w:hint="eastAsia"/>
        </w:rPr>
        <w:t>29.4评标过程中不允许违背评标程序或采用招标文件未载明的评标方法或评标因素进行评标。</w:t>
      </w:r>
    </w:p>
    <w:p w:rsidR="007900F6" w:rsidP="007900F6">
      <w:pPr>
        <w:spacing w:line="360" w:lineRule="auto"/>
        <w:ind w:firstLine="470" w:firstLineChars="196"/>
        <w:rPr>
          <w:rFonts w:ascii="宋体" w:hAnsi="宋体"/>
          <w:bCs/>
        </w:rPr>
      </w:pPr>
      <w:r>
        <w:rPr>
          <w:rFonts w:ascii="宋体" w:hAnsi="宋体" w:hint="eastAsia"/>
          <w:bCs/>
        </w:rPr>
        <w:t>29.5 开标后，直到签订合同为止，凡属于对投标文件的审查、澄清、评价和比较的有关资料以及中标候选人的推荐情况、与评标有关的其他任何情况均严格保密（</w:t>
      </w:r>
      <w:r>
        <w:rPr>
          <w:rFonts w:hint="eastAsia"/>
        </w:rPr>
        <w:t>信息公开的内容除外</w:t>
      </w:r>
      <w:r>
        <w:rPr>
          <w:rFonts w:ascii="宋体" w:hAnsi="宋体" w:hint="eastAsia"/>
          <w:bCs/>
        </w:rPr>
        <w:t>）。</w:t>
      </w:r>
    </w:p>
    <w:p w:rsidR="007900F6">
      <w:pPr>
        <w:spacing w:line="360" w:lineRule="auto"/>
        <w:rPr>
          <w:rFonts w:ascii="黑体" w:eastAsia="黑体" w:hAnsi="宋体"/>
          <w:sz w:val="24"/>
        </w:rPr>
      </w:pPr>
      <w:r>
        <w:rPr>
          <w:rFonts w:ascii="黑体" w:eastAsia="黑体" w:hAnsi="宋体" w:hint="eastAsia"/>
          <w:sz w:val="24"/>
        </w:rPr>
        <w:t>30．向评审委员会提供的资料</w:t>
      </w:r>
    </w:p>
    <w:p w:rsidR="007900F6" w:rsidP="007900F6">
      <w:pPr>
        <w:spacing w:line="360" w:lineRule="auto"/>
        <w:ind w:firstLine="470" w:firstLineChars="196"/>
        <w:rPr>
          <w:rFonts w:ascii="宋体" w:hAnsi="宋体"/>
        </w:rPr>
      </w:pPr>
      <w:r>
        <w:rPr>
          <w:rFonts w:ascii="宋体" w:hAnsi="宋体" w:hint="eastAsia"/>
        </w:rPr>
        <w:t>30.1公开发布的招标文件，包括图纸、服务清单、答疑文件等；</w:t>
      </w:r>
    </w:p>
    <w:p w:rsidR="007900F6" w:rsidP="007900F6">
      <w:pPr>
        <w:spacing w:line="360" w:lineRule="auto"/>
        <w:ind w:firstLine="470" w:firstLineChars="196"/>
        <w:rPr>
          <w:rFonts w:ascii="宋体" w:hAnsi="宋体"/>
        </w:rPr>
      </w:pPr>
      <w:r>
        <w:rPr>
          <w:rFonts w:ascii="宋体" w:hAnsi="宋体" w:hint="eastAsia"/>
        </w:rPr>
        <w:t>30.2其他评标必须的资料。</w:t>
      </w:r>
    </w:p>
    <w:p w:rsidR="007900F6" w:rsidP="007900F6">
      <w:pPr>
        <w:spacing w:line="360" w:lineRule="auto"/>
        <w:ind w:firstLine="470" w:firstLineChars="196"/>
        <w:rPr>
          <w:rFonts w:ascii="宋体" w:hAnsi="宋体"/>
        </w:rPr>
      </w:pPr>
      <w:r>
        <w:rPr>
          <w:rFonts w:ascii="宋体" w:hAnsi="宋体" w:hint="eastAsia"/>
        </w:rPr>
        <w:t>30.3</w:t>
      </w:r>
      <w:r>
        <w:rPr>
          <w:rFonts w:ascii="宋体" w:hAnsi="宋体" w:hint="eastAsia"/>
          <w:szCs w:val="21"/>
        </w:rPr>
        <w:t>评审委员会</w:t>
      </w:r>
      <w:r>
        <w:rPr>
          <w:rFonts w:ascii="宋体" w:hAnsi="宋体" w:hint="eastAsia"/>
        </w:rPr>
        <w:t>应当认真研究招标文件，至少应了解熟悉以下内容：</w:t>
      </w:r>
    </w:p>
    <w:p w:rsidR="007900F6" w:rsidP="007900F6">
      <w:pPr>
        <w:spacing w:line="360" w:lineRule="auto"/>
        <w:ind w:firstLine="470" w:firstLineChars="196"/>
        <w:rPr>
          <w:rFonts w:ascii="宋体" w:hAnsi="宋体"/>
        </w:rPr>
      </w:pPr>
      <w:r>
        <w:rPr>
          <w:rFonts w:ascii="宋体" w:hAnsi="宋体" w:hint="eastAsia"/>
        </w:rPr>
        <w:t>（1）招标的目的；</w:t>
      </w:r>
    </w:p>
    <w:p w:rsidR="007900F6" w:rsidP="007900F6">
      <w:pPr>
        <w:spacing w:line="360" w:lineRule="auto"/>
        <w:ind w:firstLine="470" w:firstLineChars="196"/>
        <w:rPr>
          <w:rFonts w:ascii="宋体" w:hAnsi="宋体"/>
        </w:rPr>
      </w:pPr>
      <w:r>
        <w:rPr>
          <w:rFonts w:ascii="宋体" w:hAnsi="宋体" w:hint="eastAsia"/>
        </w:rPr>
        <w:t>（2）招标项目需求的范围和性质；</w:t>
      </w:r>
    </w:p>
    <w:p w:rsidR="007900F6" w:rsidP="007900F6">
      <w:pPr>
        <w:spacing w:line="360" w:lineRule="auto"/>
        <w:ind w:firstLine="470" w:firstLineChars="196"/>
        <w:rPr>
          <w:rFonts w:ascii="宋体" w:hAnsi="宋体"/>
        </w:rPr>
      </w:pPr>
      <w:r>
        <w:rPr>
          <w:rFonts w:ascii="宋体" w:hAnsi="宋体" w:hint="eastAsia"/>
        </w:rPr>
        <w:t>（3）招标文件规定的投标人的资格、财政预算限额、商务条款；</w:t>
      </w:r>
    </w:p>
    <w:p w:rsidR="007900F6" w:rsidP="007900F6">
      <w:pPr>
        <w:spacing w:line="360" w:lineRule="auto"/>
        <w:ind w:firstLine="470" w:firstLineChars="196"/>
        <w:rPr>
          <w:rFonts w:ascii="宋体" w:hAnsi="宋体"/>
        </w:rPr>
      </w:pPr>
      <w:r>
        <w:rPr>
          <w:rFonts w:ascii="宋体" w:hAnsi="宋体" w:hint="eastAsia"/>
        </w:rPr>
        <w:t>（4）招标文件规定的评标程序、评标方法和评标因素；</w:t>
      </w:r>
    </w:p>
    <w:p w:rsidR="007900F6" w:rsidP="007900F6">
      <w:pPr>
        <w:spacing w:line="360" w:lineRule="auto"/>
        <w:ind w:firstLine="470" w:firstLineChars="196"/>
        <w:rPr>
          <w:rFonts w:ascii="宋体" w:hAnsi="宋体"/>
        </w:rPr>
      </w:pPr>
      <w:r>
        <w:rPr>
          <w:rFonts w:ascii="宋体" w:hAnsi="宋体" w:hint="eastAsia"/>
        </w:rPr>
        <w:t>（5）招标文件所列示的资格性审查表及符合性审查表。</w:t>
      </w:r>
    </w:p>
    <w:p w:rsidR="007900F6">
      <w:pPr>
        <w:spacing w:line="360" w:lineRule="auto"/>
        <w:rPr>
          <w:rFonts w:ascii="黑体" w:eastAsia="黑体" w:hAnsi="宋体"/>
          <w:sz w:val="24"/>
        </w:rPr>
      </w:pPr>
      <w:r>
        <w:rPr>
          <w:rFonts w:ascii="黑体" w:eastAsia="黑体" w:hAnsi="宋体" w:hint="eastAsia"/>
          <w:sz w:val="24"/>
        </w:rPr>
        <w:t>31．独立评标</w:t>
      </w:r>
    </w:p>
    <w:p w:rsidR="007900F6" w:rsidP="007900F6">
      <w:pPr>
        <w:spacing w:line="360" w:lineRule="auto"/>
        <w:ind w:firstLine="470" w:firstLineChars="196"/>
        <w:rPr>
          <w:rFonts w:ascii="宋体" w:hAnsi="宋体"/>
          <w:bCs/>
        </w:rPr>
      </w:pPr>
      <w:r>
        <w:rPr>
          <w:rFonts w:ascii="宋体" w:hAnsi="宋体" w:hint="eastAsia"/>
          <w:bCs/>
        </w:rPr>
        <w:t>30.1</w:t>
      </w:r>
      <w:r>
        <w:rPr>
          <w:rFonts w:ascii="宋体" w:hAnsi="宋体" w:hint="eastAsia"/>
          <w:szCs w:val="21"/>
        </w:rPr>
        <w:t>评审委员会</w:t>
      </w:r>
      <w:r>
        <w:rPr>
          <w:rFonts w:ascii="宋体" w:hAnsi="宋体" w:hint="eastAsia"/>
          <w:bCs/>
        </w:rPr>
        <w:t>成员的评标活动应当独立进行，并应遵循投标文件初审、澄清有关问题、比较与评价、确定中标供应商、编写评标报告的工作程序。</w:t>
      </w:r>
    </w:p>
    <w:p w:rsidR="007900F6" w:rsidP="007900F6">
      <w:pPr>
        <w:spacing w:line="360" w:lineRule="auto"/>
        <w:ind w:firstLine="470" w:firstLineChars="196"/>
        <w:rPr>
          <w:rFonts w:ascii="宋体" w:hAnsi="宋体"/>
          <w:bCs/>
          <w:szCs w:val="21"/>
        </w:rPr>
      </w:pPr>
    </w:p>
    <w:p w:rsidR="007900F6">
      <w:pPr>
        <w:pStyle w:val="Heading2"/>
        <w:numPr>
          <w:ilvl w:val="0"/>
          <w:numId w:val="89"/>
        </w:numPr>
        <w:tabs>
          <w:tab w:val="left" w:pos="720"/>
          <w:tab w:val="clear" w:pos="5965"/>
        </w:tabs>
        <w:spacing w:before="120" w:beforeLines="50" w:after="120" w:afterLines="50" w:line="360" w:lineRule="auto"/>
        <w:ind w:left="720"/>
        <w:rPr>
          <w:sz w:val="28"/>
          <w:szCs w:val="28"/>
        </w:rPr>
      </w:pPr>
      <w:r>
        <w:rPr>
          <w:rFonts w:hint="eastAsia"/>
          <w:sz w:val="28"/>
          <w:szCs w:val="28"/>
        </w:rPr>
        <w:t>评标程序及评标方法</w:t>
      </w:r>
    </w:p>
    <w:p w:rsidR="007900F6">
      <w:pPr>
        <w:spacing w:line="360" w:lineRule="auto"/>
        <w:rPr>
          <w:rFonts w:ascii="黑体" w:eastAsia="黑体" w:hAnsi="宋体"/>
          <w:sz w:val="24"/>
        </w:rPr>
      </w:pPr>
      <w:r>
        <w:rPr>
          <w:rFonts w:ascii="黑体" w:eastAsia="黑体" w:hAnsi="宋体" w:hint="eastAsia"/>
          <w:sz w:val="24"/>
        </w:rPr>
        <w:t>32．投标文件初审</w:t>
      </w:r>
    </w:p>
    <w:p w:rsidR="007900F6" w:rsidP="007900F6">
      <w:pPr>
        <w:spacing w:line="360" w:lineRule="auto"/>
        <w:ind w:firstLine="470" w:firstLineChars="196"/>
        <w:rPr>
          <w:rFonts w:ascii="宋体" w:hAnsi="宋体"/>
        </w:rPr>
      </w:pPr>
      <w:r>
        <w:rPr>
          <w:rFonts w:ascii="宋体" w:hAnsi="宋体" w:hint="eastAsia"/>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7900F6">
      <w:pPr>
        <w:autoSpaceDE w:val="0"/>
        <w:autoSpaceDN w:val="0"/>
        <w:adjustRightInd w:val="0"/>
        <w:spacing w:line="360" w:lineRule="auto"/>
        <w:jc w:val="left"/>
        <w:rPr>
          <w:rFonts w:ascii="宋体" w:hAnsi="宋体"/>
          <w:b/>
        </w:rPr>
      </w:pPr>
      <w:r>
        <w:rPr>
          <w:rFonts w:ascii="宋体" w:hAnsi="宋体" w:hint="eastAsia"/>
        </w:rPr>
        <w:t xml:space="preserve">    32.2 </w:t>
      </w:r>
      <w:r>
        <w:rPr>
          <w:rFonts w:ascii="宋体" w:hAnsi="宋体" w:hint="eastAsia"/>
          <w:b/>
        </w:rPr>
        <w:t>投标文件初审内容请详见《资格性审查表》和《符合性审查表》部分。投标人若有一条审查不通过则按投标无效处理。评审委员会对投标单位打√为通过审查，打×为未通过审查。</w:t>
      </w:r>
    </w:p>
    <w:p w:rsidR="007900F6">
      <w:pPr>
        <w:spacing w:line="360" w:lineRule="auto"/>
        <w:ind w:firstLine="470" w:firstLineChars="196"/>
        <w:rPr>
          <w:rFonts w:ascii="宋体" w:hAnsi="宋体"/>
          <w:b/>
        </w:rPr>
      </w:pPr>
      <w:r>
        <w:rPr>
          <w:rFonts w:ascii="宋体" w:hAnsi="宋体" w:hint="eastAsia"/>
          <w:b/>
        </w:rPr>
        <w:t>32.3 投标文件初审中关于供应商家数的计算:</w:t>
      </w:r>
    </w:p>
    <w:p w:rsidR="007900F6">
      <w:pPr>
        <w:spacing w:line="360" w:lineRule="auto"/>
        <w:ind w:firstLine="470" w:firstLineChars="196"/>
        <w:rPr>
          <w:rFonts w:ascii="宋体" w:hAnsi="宋体"/>
          <w:b/>
        </w:rPr>
      </w:pPr>
      <w:r>
        <w:rPr>
          <w:rFonts w:ascii="宋体" w:hAnsi="宋体" w:hint="eastAsia"/>
          <w:b/>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7900F6">
      <w:pPr>
        <w:spacing w:line="360" w:lineRule="auto"/>
        <w:ind w:firstLine="470" w:firstLineChars="196"/>
        <w:rPr>
          <w:rFonts w:ascii="宋体" w:hAnsi="宋体"/>
          <w:b/>
        </w:rPr>
      </w:pPr>
      <w:r>
        <w:rPr>
          <w:rFonts w:ascii="宋体" w:hAnsi="宋体" w:hint="eastAsia"/>
          <w:b/>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
          <w:szCs w:val="21"/>
        </w:rPr>
        <w:t>评审委员会</w:t>
      </w:r>
      <w:r>
        <w:rPr>
          <w:rFonts w:ascii="宋体" w:hAnsi="宋体" w:hint="eastAsia"/>
          <w:b/>
        </w:rPr>
        <w:t>按照招标文件规定的方式确定一个投标人获得中标人推荐资格，招标文件未规定的采取随机抽取方式确定，其他同品牌投标人不作为中标候选人。</w:t>
      </w:r>
    </w:p>
    <w:p w:rsidR="007900F6">
      <w:pPr>
        <w:spacing w:line="360" w:lineRule="auto"/>
        <w:ind w:firstLine="470" w:firstLineChars="196"/>
        <w:rPr>
          <w:rFonts w:ascii="宋体" w:hAnsi="宋体"/>
          <w:b/>
        </w:rPr>
      </w:pPr>
      <w:r>
        <w:rPr>
          <w:rFonts w:ascii="宋体" w:hAnsi="宋体" w:hint="eastAsia"/>
          <w:b/>
        </w:rPr>
        <w:t>32.3.3非单一产品采购项目，采购人应当根据采购项目技术构成、产品价格比重等合理确定核心产品，并在招标文件中载明。多家投标人提供的核心产品品牌相同的，按前两款规定处理。</w:t>
      </w:r>
    </w:p>
    <w:p w:rsidR="007900F6" w:rsidP="007900F6">
      <w:pPr>
        <w:spacing w:line="360" w:lineRule="auto"/>
        <w:ind w:firstLine="470" w:firstLineChars="196"/>
        <w:rPr>
          <w:rFonts w:ascii="宋体" w:hAnsi="宋体"/>
        </w:rPr>
      </w:pPr>
      <w:r>
        <w:rPr>
          <w:rFonts w:ascii="宋体" w:hAnsi="宋体" w:hint="eastAsia"/>
        </w:rPr>
        <w:t>32.4投标人投标文件作无效处理的情形，具体包括但不限于以下：</w:t>
      </w:r>
    </w:p>
    <w:p w:rsidR="007900F6" w:rsidP="007900F6">
      <w:pPr>
        <w:spacing w:line="360" w:lineRule="auto"/>
        <w:ind w:firstLine="470" w:firstLineChars="196"/>
      </w:pPr>
      <w:r>
        <w:rPr>
          <w:rFonts w:ascii="宋体" w:hAnsi="宋体" w:hint="eastAsia"/>
        </w:rPr>
        <w:t>32.4.1</w:t>
      </w:r>
      <w:r>
        <w:rPr>
          <w:rFonts w:hint="eastAsia"/>
        </w:rPr>
        <w:t>不同投标人的投标文件由同一单位或者同一个人编制，或者由同一个人分阶段参与编制；</w:t>
      </w:r>
    </w:p>
    <w:p w:rsidR="007900F6" w:rsidP="007900F6">
      <w:pPr>
        <w:spacing w:line="360" w:lineRule="auto"/>
        <w:ind w:firstLine="470" w:firstLineChars="196"/>
      </w:pPr>
      <w:r>
        <w:rPr>
          <w:rFonts w:ascii="宋体" w:hAnsi="宋体"/>
        </w:rPr>
        <w:t>32.4.</w:t>
      </w:r>
      <w:r>
        <w:rPr>
          <w:rFonts w:ascii="宋体" w:hAnsi="宋体" w:hint="eastAsia"/>
        </w:rPr>
        <w:t>2</w:t>
      </w:r>
      <w:r>
        <w:rPr>
          <w:rFonts w:hint="eastAsia"/>
        </w:rPr>
        <w:t>不同投标人委托同一单位或者个人办理投标事宜；</w:t>
      </w:r>
    </w:p>
    <w:p w:rsidR="007900F6" w:rsidP="007900F6">
      <w:pPr>
        <w:spacing w:line="360" w:lineRule="auto"/>
        <w:ind w:firstLine="470" w:firstLineChars="196"/>
      </w:pPr>
      <w:r>
        <w:rPr>
          <w:rFonts w:hint="eastAsia"/>
        </w:rPr>
        <w:t>32.4.3不同投标人的投标文件载明的项目管理成员或者联系人员为同一人；</w:t>
      </w:r>
    </w:p>
    <w:p w:rsidR="007900F6" w:rsidP="007900F6">
      <w:pPr>
        <w:spacing w:line="360" w:lineRule="auto"/>
        <w:ind w:firstLine="470" w:firstLineChars="196"/>
      </w:pPr>
      <w:r>
        <w:rPr>
          <w:rFonts w:hint="eastAsia"/>
        </w:rPr>
        <w:t>32.4.4不同投标人的投标文件异常一致或者投标报价呈规律性差异；</w:t>
      </w:r>
    </w:p>
    <w:p w:rsidR="007900F6" w:rsidP="007900F6">
      <w:pPr>
        <w:spacing w:line="360" w:lineRule="auto"/>
        <w:ind w:firstLine="470" w:firstLineChars="196"/>
      </w:pPr>
      <w:r>
        <w:rPr>
          <w:rFonts w:hint="eastAsia"/>
        </w:rPr>
        <w:t>32.4.5</w:t>
      </w:r>
      <w:r>
        <w:rPr>
          <w:rFonts w:ascii="宋体" w:hAnsi="宋体" w:cs="宋体"/>
          <w:b/>
          <w:kern w:val="0"/>
          <w:szCs w:val="21"/>
        </w:rPr>
        <w:t>不同投标供应商的投标文件或部分投标文件相互混装</w:t>
      </w:r>
      <w:r>
        <w:rPr>
          <w:rFonts w:hint="eastAsia"/>
        </w:rPr>
        <w:t>；</w:t>
      </w:r>
    </w:p>
    <w:p w:rsidR="007900F6" w:rsidP="007900F6">
      <w:pPr>
        <w:spacing w:line="360" w:lineRule="auto"/>
        <w:ind w:firstLine="470" w:firstLineChars="196"/>
        <w:rPr>
          <w:rFonts w:ascii="宋体" w:hAnsi="宋体"/>
        </w:rPr>
      </w:pPr>
      <w:r>
        <w:rPr>
          <w:rFonts w:ascii="宋体" w:hAnsi="宋体" w:hint="eastAsia"/>
        </w:rPr>
        <w:t>32.4.6投标供应商之间相互约定给予未中标的供应商利益补偿；</w:t>
      </w:r>
    </w:p>
    <w:p w:rsidR="007900F6" w:rsidP="007900F6">
      <w:pPr>
        <w:spacing w:line="360" w:lineRule="auto"/>
        <w:ind w:firstLine="470" w:firstLineChars="196"/>
        <w:rPr>
          <w:rFonts w:ascii="宋体" w:hAnsi="宋体"/>
        </w:rPr>
      </w:pPr>
      <w:r>
        <w:rPr>
          <w:rFonts w:ascii="宋体" w:hAnsi="宋体" w:hint="eastAsia"/>
        </w:rPr>
        <w:t>32.4.7不同投标供应商的法定代表人、主要经营负责人、项目投标授权代表人、项目负责人、主要技术人员为同一人、属同一单位或者同一单位缴纳社会保险；</w:t>
      </w:r>
    </w:p>
    <w:p w:rsidR="007900F6" w:rsidP="007900F6">
      <w:pPr>
        <w:spacing w:line="360" w:lineRule="auto"/>
        <w:ind w:firstLine="470" w:firstLineChars="196"/>
        <w:rPr>
          <w:rFonts w:ascii="宋体" w:hAnsi="宋体"/>
        </w:rPr>
      </w:pPr>
      <w:r>
        <w:rPr>
          <w:rFonts w:ascii="宋体" w:hAnsi="宋体" w:hint="eastAsia"/>
        </w:rPr>
        <w:t>32.4.8不同投标供应商的投标文件内容存在非正常一致；</w:t>
      </w:r>
    </w:p>
    <w:p w:rsidR="007900F6" w:rsidP="007900F6">
      <w:pPr>
        <w:spacing w:line="360" w:lineRule="auto"/>
        <w:ind w:firstLine="470" w:firstLineChars="196"/>
        <w:rPr>
          <w:rFonts w:ascii="宋体" w:hAnsi="宋体"/>
        </w:rPr>
      </w:pPr>
      <w:r>
        <w:rPr>
          <w:rFonts w:ascii="宋体" w:hAnsi="宋体" w:hint="eastAsia"/>
        </w:rPr>
        <w:t>32.4.9在同一单位工作人员为两家以上（含两家）供应商进行同一项投标活动；</w:t>
      </w:r>
    </w:p>
    <w:p w:rsidR="007900F6" w:rsidP="007900F6">
      <w:pPr>
        <w:spacing w:line="360" w:lineRule="auto"/>
        <w:ind w:firstLine="470" w:firstLineChars="196"/>
        <w:rPr>
          <w:rFonts w:ascii="宋体" w:hAnsi="宋体"/>
        </w:rPr>
      </w:pPr>
      <w:r>
        <w:rPr>
          <w:rFonts w:ascii="宋体" w:hAnsi="宋体" w:hint="eastAsia"/>
        </w:rPr>
        <w:t>32.4.10主管部门依照法律、法规认定的其他情形。</w:t>
      </w:r>
    </w:p>
    <w:p w:rsidR="007900F6">
      <w:pPr>
        <w:spacing w:line="360" w:lineRule="auto"/>
        <w:ind w:firstLine="480" w:firstLineChars="200"/>
        <w:rPr>
          <w:rFonts w:ascii="宋体" w:hAnsi="宋体"/>
        </w:rPr>
      </w:pPr>
      <w:r>
        <w:rPr>
          <w:rFonts w:ascii="宋体" w:hAnsi="宋体" w:hint="eastAsia"/>
        </w:rPr>
        <w:t>32.5对不属于《资格性审查表》和《符合性审查表》所列的其他情形，除专用条款另有规定和32.4条款所列情形外，不得作为投标无效的理由。</w:t>
      </w:r>
    </w:p>
    <w:p w:rsidR="007900F6">
      <w:pPr>
        <w:spacing w:line="360" w:lineRule="auto"/>
        <w:rPr>
          <w:rFonts w:ascii="黑体" w:eastAsia="黑体" w:hAnsi="宋体"/>
          <w:sz w:val="24"/>
        </w:rPr>
      </w:pPr>
      <w:r>
        <w:rPr>
          <w:rFonts w:ascii="黑体" w:eastAsia="黑体" w:hAnsi="宋体" w:hint="eastAsia"/>
          <w:sz w:val="24"/>
        </w:rPr>
        <w:t>33．澄清有关问题</w:t>
      </w:r>
    </w:p>
    <w:p w:rsidR="007900F6" w:rsidP="007900F6">
      <w:pPr>
        <w:spacing w:line="360" w:lineRule="auto"/>
        <w:ind w:firstLine="470" w:firstLineChars="196"/>
        <w:rPr>
          <w:rFonts w:ascii="宋体" w:hAnsi="宋体"/>
        </w:rPr>
      </w:pPr>
      <w:r>
        <w:rPr>
          <w:rFonts w:ascii="宋体" w:hAnsi="宋体" w:hint="eastAsia"/>
        </w:rPr>
        <w:t>对于投标文件中含义不明确、同类问题表述不一致或者有明显文字和计算错误的内容，评审委员会应当以书面形式要求投标人作出必要的澄清、说明或者补正。</w:t>
      </w:r>
    </w:p>
    <w:p w:rsidR="007900F6">
      <w:pPr>
        <w:widowControl/>
        <w:spacing w:line="360" w:lineRule="auto"/>
        <w:jc w:val="left"/>
        <w:textAlignment w:val="baseline"/>
        <w:rPr>
          <w:rFonts w:ascii="宋体" w:hAnsi="宋体"/>
        </w:rPr>
      </w:pPr>
      <w:r>
        <w:rPr>
          <w:rFonts w:ascii="宋体" w:hAnsi="宋体" w:hint="eastAsia"/>
        </w:rPr>
        <w:t>　　投标人的澄清、说明或者补正应当采用书面形式，并加盖公章，或者由法定代表人或其授权的代表签字。投标人的澄清、说明或者补正不得超出投标文件的范围或者改变投标文件的实质性内容。</w:t>
      </w:r>
    </w:p>
    <w:p w:rsidR="007900F6" w:rsidP="007900F6">
      <w:pPr>
        <w:spacing w:line="360" w:lineRule="auto"/>
        <w:ind w:firstLine="470" w:firstLineChars="196"/>
        <w:rPr>
          <w:rFonts w:ascii="宋体" w:hAnsi="宋体"/>
          <w:szCs w:val="21"/>
        </w:rPr>
      </w:pPr>
      <w:r>
        <w:rPr>
          <w:rFonts w:ascii="宋体" w:hAnsi="宋体" w:hint="eastAsia"/>
          <w:szCs w:val="21"/>
        </w:rPr>
        <w:t>根据本通用条款第34条，凡属于评审委员会在评审中发现的算术错误进行核实的修改不在此列。</w:t>
      </w:r>
    </w:p>
    <w:p w:rsidR="007900F6">
      <w:pPr>
        <w:spacing w:line="360" w:lineRule="auto"/>
        <w:rPr>
          <w:rFonts w:ascii="黑体" w:eastAsia="黑体" w:hAnsi="宋体"/>
          <w:sz w:val="24"/>
        </w:rPr>
      </w:pPr>
      <w:bookmarkStart w:id="9" w:name="_Toc73517673"/>
      <w:bookmarkStart w:id="10" w:name="_Toc73521669"/>
      <w:bookmarkStart w:id="11" w:name="_Toc100052400"/>
      <w:bookmarkStart w:id="12" w:name="_Toc73518151"/>
      <w:bookmarkStart w:id="13" w:name="_Toc73521581"/>
      <w:r>
        <w:rPr>
          <w:rFonts w:ascii="黑体" w:eastAsia="黑体" w:hAnsi="宋体" w:hint="eastAsia"/>
          <w:sz w:val="24"/>
        </w:rPr>
        <w:t>34．错误的修正</w:t>
      </w:r>
      <w:bookmarkEnd w:id="9"/>
      <w:bookmarkEnd w:id="10"/>
      <w:bookmarkEnd w:id="11"/>
      <w:bookmarkEnd w:id="12"/>
      <w:bookmarkEnd w:id="13"/>
    </w:p>
    <w:p w:rsidR="007900F6" w:rsidP="007900F6">
      <w:pPr>
        <w:spacing w:line="360" w:lineRule="auto"/>
        <w:ind w:firstLine="470" w:firstLineChars="196"/>
        <w:rPr>
          <w:rFonts w:ascii="宋体" w:hAnsi="宋体"/>
          <w:szCs w:val="21"/>
        </w:rPr>
      </w:pPr>
      <w:r>
        <w:rPr>
          <w:rFonts w:ascii="宋体" w:hAnsi="宋体" w:hint="eastAsia"/>
          <w:szCs w:val="21"/>
        </w:rPr>
        <w:t>投标文件报价出现前后不一致的，除专用条款另有规定外，按照下列规定修正：</w:t>
      </w:r>
    </w:p>
    <w:p w:rsidR="007900F6" w:rsidP="007900F6">
      <w:pPr>
        <w:spacing w:line="360" w:lineRule="auto"/>
        <w:ind w:firstLine="470" w:firstLineChars="196"/>
        <w:rPr>
          <w:rFonts w:ascii="宋体" w:hAnsi="宋体"/>
          <w:szCs w:val="21"/>
        </w:rPr>
      </w:pPr>
      <w:r>
        <w:rPr>
          <w:rFonts w:ascii="宋体" w:hAnsi="宋体" w:hint="eastAsia"/>
          <w:szCs w:val="21"/>
        </w:rPr>
        <w:t>34.1投标文件中开标一览表投标报价内容与投标文件中投标报价相应内容不一致的，以开标一览表为准；</w:t>
      </w:r>
    </w:p>
    <w:p w:rsidR="007900F6" w:rsidP="007900F6">
      <w:pPr>
        <w:spacing w:line="360" w:lineRule="auto"/>
        <w:ind w:firstLine="470" w:firstLineChars="196"/>
        <w:rPr>
          <w:rFonts w:ascii="宋体" w:hAnsi="宋体"/>
          <w:szCs w:val="21"/>
        </w:rPr>
      </w:pPr>
      <w:r>
        <w:rPr>
          <w:rFonts w:ascii="宋体" w:hAnsi="宋体" w:hint="eastAsia"/>
          <w:szCs w:val="21"/>
        </w:rPr>
        <w:t>34.2大写金额和小写金额不一致的，以大写金额为准；</w:t>
      </w:r>
    </w:p>
    <w:p w:rsidR="007900F6" w:rsidP="007900F6">
      <w:pPr>
        <w:spacing w:line="360" w:lineRule="auto"/>
        <w:ind w:firstLine="470" w:firstLineChars="196"/>
        <w:rPr>
          <w:rFonts w:ascii="宋体" w:hAnsi="宋体"/>
          <w:szCs w:val="21"/>
        </w:rPr>
      </w:pPr>
      <w:r>
        <w:rPr>
          <w:rFonts w:ascii="宋体" w:hAnsi="宋体" w:hint="eastAsia"/>
          <w:szCs w:val="21"/>
        </w:rPr>
        <w:t>34.3单价金额小数点或者百分比有明显错位，以开标一览表的总价为准，并修改单价；</w:t>
      </w:r>
    </w:p>
    <w:p w:rsidR="007900F6" w:rsidP="007900F6">
      <w:pPr>
        <w:spacing w:line="360" w:lineRule="auto"/>
        <w:ind w:firstLine="470" w:firstLineChars="196"/>
        <w:rPr>
          <w:rFonts w:ascii="宋体" w:hAnsi="宋体"/>
          <w:szCs w:val="21"/>
        </w:rPr>
      </w:pPr>
      <w:r>
        <w:rPr>
          <w:rFonts w:ascii="宋体" w:hAnsi="宋体" w:hint="eastAsia"/>
          <w:szCs w:val="21"/>
        </w:rPr>
        <w:t>34.4总价金额与按单价汇总金额不一致的，以单价金额计算结果为准。</w:t>
      </w:r>
    </w:p>
    <w:p w:rsidR="007900F6" w:rsidP="007900F6">
      <w:pPr>
        <w:spacing w:line="360" w:lineRule="auto"/>
        <w:ind w:firstLine="470" w:firstLineChars="196"/>
        <w:rPr>
          <w:rFonts w:ascii="宋体" w:hAnsi="宋体"/>
          <w:szCs w:val="21"/>
        </w:rPr>
      </w:pPr>
      <w:r>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rsidR="007900F6">
      <w:pPr>
        <w:spacing w:line="360" w:lineRule="auto"/>
        <w:rPr>
          <w:rFonts w:ascii="黑体" w:eastAsia="黑体" w:hAnsi="宋体"/>
          <w:sz w:val="24"/>
        </w:rPr>
      </w:pPr>
      <w:r>
        <w:rPr>
          <w:rFonts w:ascii="黑体" w:eastAsia="黑体" w:hAnsi="宋体" w:hint="eastAsia"/>
          <w:sz w:val="24"/>
        </w:rPr>
        <w:t>35．投标文件的比较与评价</w:t>
      </w:r>
    </w:p>
    <w:p w:rsidR="007900F6" w:rsidP="007900F6">
      <w:pPr>
        <w:spacing w:line="360" w:lineRule="auto"/>
        <w:ind w:firstLine="470" w:firstLineChars="196"/>
        <w:rPr>
          <w:rFonts w:ascii="宋体" w:hAnsi="宋体"/>
          <w:szCs w:val="21"/>
        </w:rPr>
      </w:pPr>
      <w:r>
        <w:rPr>
          <w:rFonts w:ascii="宋体" w:hAnsi="宋体" w:hint="eastAsia"/>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rsidR="007900F6" w:rsidP="007900F6">
      <w:pPr>
        <w:spacing w:line="360" w:lineRule="auto"/>
        <w:ind w:firstLine="470" w:firstLineChars="196"/>
        <w:rPr>
          <w:rFonts w:ascii="宋体" w:hAnsi="宋体"/>
          <w:szCs w:val="21"/>
        </w:rPr>
      </w:pPr>
      <w:r>
        <w:rPr>
          <w:rFonts w:ascii="宋体" w:hAnsi="宋体" w:hint="eastAsia"/>
          <w:szCs w:val="21"/>
        </w:rPr>
        <w:t>评审委员会成员对需要共同认定的事项存在争议的，应当按照少数服从多数的原则作出结论。持不同意见的评审委员会成员应当在评标报告上签署不同意见及理由，否则视为同意评标报告。</w:t>
      </w:r>
    </w:p>
    <w:p w:rsidR="007900F6">
      <w:pPr>
        <w:spacing w:line="360" w:lineRule="auto"/>
        <w:rPr>
          <w:rFonts w:ascii="黑体" w:eastAsia="黑体" w:hAnsi="宋体"/>
          <w:sz w:val="24"/>
        </w:rPr>
      </w:pPr>
      <w:r>
        <w:rPr>
          <w:rFonts w:ascii="黑体" w:eastAsia="黑体" w:hAnsi="宋体" w:hint="eastAsia"/>
          <w:sz w:val="24"/>
        </w:rPr>
        <w:t>36. 实地考察、演示或设备测试</w:t>
      </w:r>
    </w:p>
    <w:p w:rsidR="007900F6" w:rsidP="007900F6">
      <w:pPr>
        <w:spacing w:line="360" w:lineRule="auto"/>
        <w:ind w:firstLine="470" w:firstLineChars="196"/>
        <w:rPr>
          <w:rFonts w:ascii="宋体" w:hAnsi="宋体"/>
          <w:szCs w:val="21"/>
        </w:rPr>
      </w:pPr>
      <w:r>
        <w:rPr>
          <w:rFonts w:ascii="宋体" w:hAnsi="宋体" w:hint="eastAsia"/>
          <w:szCs w:val="21"/>
        </w:rPr>
        <w:t>36.1在招标过程中，评审委员会有权决定是否对本项目投标人进行现场勘察或实地考察或检验有关证明材料的原件。投标人应随时做好接受检查的准备。</w:t>
      </w:r>
    </w:p>
    <w:p w:rsidR="007900F6" w:rsidP="007900F6">
      <w:pPr>
        <w:spacing w:line="360" w:lineRule="auto"/>
        <w:ind w:firstLine="470" w:firstLineChars="196"/>
        <w:rPr>
          <w:rFonts w:ascii="宋体" w:hAnsi="宋体"/>
          <w:szCs w:val="21"/>
        </w:rPr>
      </w:pPr>
      <w:r>
        <w:rPr>
          <w:rFonts w:ascii="宋体" w:hAnsi="宋体" w:hint="eastAsia"/>
          <w:szCs w:val="21"/>
        </w:rPr>
        <w:t>36.2若招标文件要求进行现场演示或设备测试的，投标人应做好相应准备。</w:t>
      </w:r>
    </w:p>
    <w:p w:rsidR="007900F6">
      <w:pPr>
        <w:spacing w:line="360" w:lineRule="auto"/>
        <w:rPr>
          <w:rFonts w:ascii="黑体" w:eastAsia="黑体" w:hAnsi="宋体"/>
          <w:sz w:val="24"/>
        </w:rPr>
      </w:pPr>
      <w:r>
        <w:rPr>
          <w:rFonts w:ascii="黑体" w:eastAsia="黑体" w:hAnsi="宋体" w:hint="eastAsia"/>
          <w:sz w:val="24"/>
        </w:rPr>
        <w:t>37．评标方法</w:t>
      </w:r>
    </w:p>
    <w:p w:rsidR="007900F6">
      <w:pPr>
        <w:spacing w:line="360" w:lineRule="auto"/>
        <w:ind w:firstLine="470" w:firstLineChars="196"/>
        <w:rPr>
          <w:rFonts w:ascii="宋体" w:hAnsi="宋体"/>
          <w:b/>
          <w:bCs/>
          <w:szCs w:val="21"/>
        </w:rPr>
      </w:pPr>
      <w:r>
        <w:rPr>
          <w:rFonts w:ascii="宋体" w:hAnsi="宋体" w:hint="eastAsia"/>
          <w:b/>
          <w:bCs/>
          <w:szCs w:val="21"/>
        </w:rPr>
        <w:t>37.1.1最低价法</w:t>
      </w:r>
    </w:p>
    <w:p w:rsidR="007900F6" w:rsidP="007900F6">
      <w:pPr>
        <w:spacing w:line="360" w:lineRule="auto"/>
        <w:ind w:firstLine="470" w:firstLineChars="196"/>
        <w:rPr>
          <w:rFonts w:ascii="ˎ̥" w:hAnsi="ˎ̥"/>
        </w:rPr>
      </w:pPr>
      <w:r>
        <w:rPr>
          <w:rFonts w:ascii="ˎ̥" w:hAnsi="ˎ̥"/>
        </w:rPr>
        <w:t>最低评标价法，是指投标文件满足招标文件全部实质性要求，</w:t>
      </w:r>
      <w:r>
        <w:rPr>
          <w:rFonts w:ascii="ˎ̥" w:hAnsi="ˎ̥" w:hint="eastAsia"/>
        </w:rPr>
        <w:t>按报价进行排序</w:t>
      </w:r>
      <w:r>
        <w:rPr>
          <w:rFonts w:ascii="ˎ̥" w:hAnsi="ˎ̥"/>
        </w:rPr>
        <w:t>且投标报价最低的投标人为中标</w:t>
      </w:r>
      <w:r>
        <w:rPr>
          <w:rFonts w:ascii="ˎ̥" w:hAnsi="ˎ̥" w:hint="eastAsia"/>
        </w:rPr>
        <w:t>候选人</w:t>
      </w:r>
      <w:r>
        <w:rPr>
          <w:rFonts w:ascii="ˎ̥" w:hAnsi="ˎ̥"/>
        </w:rPr>
        <w:t>的评标方法（</w:t>
      </w:r>
      <w:r>
        <w:rPr>
          <w:rFonts w:ascii="ˎ̥" w:hAnsi="ˎ̥" w:hint="eastAsia"/>
        </w:rPr>
        <w:t>排名</w:t>
      </w:r>
      <w:r>
        <w:rPr>
          <w:rFonts w:ascii="ˎ̥" w:hAnsi="ˎ̥"/>
        </w:rPr>
        <w:t>第二</w:t>
      </w:r>
      <w:r>
        <w:rPr>
          <w:rFonts w:ascii="ˎ̥" w:hAnsi="ˎ̥" w:hint="eastAsia"/>
        </w:rPr>
        <w:t>的投标人为第一递补中标候选人、排名</w:t>
      </w:r>
      <w:r>
        <w:rPr>
          <w:rFonts w:ascii="ˎ̥" w:hAnsi="ˎ̥"/>
        </w:rPr>
        <w:t>第</w:t>
      </w:r>
      <w:r>
        <w:rPr>
          <w:rFonts w:ascii="ˎ̥" w:hAnsi="ˎ̥" w:hint="eastAsia"/>
        </w:rPr>
        <w:t>三的投标人为第二递补中标候选人</w:t>
      </w:r>
      <w:r>
        <w:rPr>
          <w:rFonts w:ascii="ˎ̥" w:hAnsi="ˎ̥"/>
        </w:rPr>
        <w:t>）。</w:t>
      </w:r>
    </w:p>
    <w:p w:rsidR="007900F6">
      <w:pPr>
        <w:spacing w:line="360" w:lineRule="auto"/>
        <w:ind w:firstLine="470" w:firstLineChars="196"/>
        <w:rPr>
          <w:rFonts w:ascii="宋体" w:hAnsi="宋体"/>
          <w:b/>
          <w:bCs/>
          <w:szCs w:val="21"/>
        </w:rPr>
      </w:pPr>
      <w:r>
        <w:rPr>
          <w:rFonts w:ascii="宋体" w:hAnsi="宋体" w:hint="eastAsia"/>
          <w:b/>
          <w:bCs/>
          <w:szCs w:val="21"/>
        </w:rPr>
        <w:t>37.1.2综合评分法</w:t>
      </w:r>
    </w:p>
    <w:p w:rsidR="007900F6" w:rsidP="007900F6">
      <w:pPr>
        <w:spacing w:line="360" w:lineRule="auto"/>
        <w:ind w:firstLine="470" w:firstLineChars="196"/>
        <w:rPr>
          <w:rFonts w:ascii="ˎ̥" w:hAnsi="ˎ̥"/>
        </w:rPr>
      </w:pPr>
      <w:r>
        <w:rPr>
          <w:rFonts w:ascii="ˎ̥" w:hAnsi="ˎ̥"/>
        </w:rPr>
        <w:t>综合评分法，是指投标文件满足招标文件全部实质性要求，且按照评审因素的量化指标评审得分最高的投标人为中标</w:t>
      </w:r>
      <w:r>
        <w:rPr>
          <w:rFonts w:ascii="ˎ̥" w:hAnsi="ˎ̥" w:hint="eastAsia"/>
        </w:rPr>
        <w:t>候选人</w:t>
      </w:r>
      <w:r>
        <w:rPr>
          <w:rFonts w:ascii="ˎ̥" w:hAnsi="ˎ̥"/>
        </w:rPr>
        <w:t>的评标方法</w:t>
      </w:r>
      <w:r>
        <w:t>（</w:t>
      </w:r>
      <w:r>
        <w:rPr>
          <w:rFonts w:hint="eastAsia"/>
        </w:rPr>
        <w:t>排名</w:t>
      </w:r>
      <w:r>
        <w:t>第二</w:t>
      </w:r>
      <w:r>
        <w:rPr>
          <w:rFonts w:hint="eastAsia"/>
        </w:rPr>
        <w:t>的投标人为第一递补中标候选人、排名</w:t>
      </w:r>
      <w:r>
        <w:t>第</w:t>
      </w:r>
      <w:r>
        <w:rPr>
          <w:rFonts w:hint="eastAsia"/>
        </w:rPr>
        <w:t>三的投标人为第二递补中标候选人</w:t>
      </w:r>
      <w:r>
        <w:t>）</w:t>
      </w:r>
      <w:r>
        <w:rPr>
          <w:rFonts w:ascii="ˎ̥" w:hAnsi="ˎ̥"/>
        </w:rPr>
        <w:t>。</w:t>
      </w:r>
    </w:p>
    <w:p w:rsidR="007900F6">
      <w:pPr>
        <w:spacing w:line="360" w:lineRule="auto"/>
        <w:ind w:firstLine="470" w:firstLineChars="196"/>
        <w:rPr>
          <w:rFonts w:ascii="宋体" w:hAnsi="宋体"/>
          <w:b/>
          <w:bCs/>
          <w:szCs w:val="21"/>
        </w:rPr>
      </w:pPr>
      <w:r>
        <w:rPr>
          <w:rFonts w:ascii="宋体" w:hAnsi="宋体" w:hint="eastAsia"/>
          <w:b/>
          <w:bCs/>
          <w:szCs w:val="21"/>
        </w:rPr>
        <w:t>37.1.3定性评审法</w:t>
      </w:r>
    </w:p>
    <w:p w:rsidR="007900F6" w:rsidP="007900F6">
      <w:pPr>
        <w:spacing w:line="360" w:lineRule="auto"/>
        <w:ind w:firstLine="470" w:firstLineChars="196"/>
        <w:rPr>
          <w:rFonts w:ascii="ˎ̥" w:hAnsi="ˎ̥"/>
        </w:rPr>
      </w:pPr>
      <w:r>
        <w:rPr>
          <w:rFonts w:ascii="宋体" w:hAnsi="宋体" w:cs="宋体"/>
          <w:kern w:val="0"/>
          <w:szCs w:val="21"/>
        </w:rPr>
        <w:t>定性评审法</w:t>
      </w:r>
      <w:r>
        <w:rPr>
          <w:rFonts w:ascii="宋体" w:hAnsi="宋体" w:cs="宋体" w:hint="eastAsia"/>
          <w:kern w:val="0"/>
          <w:szCs w:val="21"/>
        </w:rPr>
        <w:t>，是指</w:t>
      </w:r>
      <w:r>
        <w:rPr>
          <w:rFonts w:ascii="宋体" w:hAnsi="宋体" w:cs="宋体"/>
          <w:kern w:val="0"/>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Pr>
          <w:rFonts w:ascii="宋体" w:hAnsi="宋体" w:hint="eastAsia"/>
          <w:bCs/>
          <w:szCs w:val="21"/>
        </w:rPr>
        <w:t xml:space="preserve">                                                                                                                                                                                                                                                                                                                                                                                                                                                                                                                                                                                                                                                                                                                                                                                                                                                                                                                                                                                                                                                                                                                                                                                                                                                                                                                                                                                                                                                                                                                                                                                                                                                                                                                                                                                                                                                                                                                                                                                                                                                                                                                                                                                                                                                                                                                                                                                                                                                                                                                                                                                                                                                                                                                                                                                                                                                                                                                                                                                                                                             </w:t>
      </w:r>
    </w:p>
    <w:p w:rsidR="007900F6">
      <w:pPr>
        <w:spacing w:line="360" w:lineRule="auto"/>
        <w:ind w:firstLine="470" w:firstLineChars="196"/>
        <w:rPr>
          <w:rFonts w:ascii="宋体" w:hAnsi="宋体"/>
          <w:b/>
          <w:bCs/>
          <w:szCs w:val="21"/>
        </w:rPr>
      </w:pPr>
      <w:r>
        <w:rPr>
          <w:rFonts w:ascii="宋体" w:hAnsi="宋体" w:hint="eastAsia"/>
          <w:b/>
          <w:bCs/>
          <w:szCs w:val="21"/>
        </w:rPr>
        <w:t>37.2 本项目采用的评标方法见本项目招标文件第一册“专用条款”的相关内容。</w:t>
      </w:r>
    </w:p>
    <w:p w:rsidR="007900F6">
      <w:pPr>
        <w:spacing w:line="360" w:lineRule="auto"/>
        <w:ind w:firstLine="470" w:firstLineChars="196"/>
        <w:rPr>
          <w:rFonts w:ascii="宋体" w:hAnsi="宋体"/>
          <w:b/>
          <w:bCs/>
          <w:szCs w:val="21"/>
        </w:rPr>
      </w:pPr>
      <w:r>
        <w:rPr>
          <w:rFonts w:ascii="宋体" w:hAnsi="宋体" w:hint="eastAsia"/>
          <w:b/>
          <w:bCs/>
          <w:szCs w:val="21"/>
        </w:rPr>
        <w:t>37.3重新评审的情形</w:t>
      </w:r>
    </w:p>
    <w:p w:rsidR="007900F6" w:rsidP="007900F6">
      <w:pPr>
        <w:spacing w:line="360" w:lineRule="auto"/>
        <w:ind w:firstLine="470" w:firstLineChars="196"/>
        <w:rPr>
          <w:rFonts w:ascii="宋体" w:hAnsi="宋体"/>
          <w:b/>
          <w:bCs/>
          <w:szCs w:val="21"/>
        </w:rPr>
      </w:pPr>
      <w:r>
        <w:rPr>
          <w:rFonts w:ascii="宋体" w:hAnsi="宋体" w:cs="宋体" w:hint="eastAsia"/>
          <w:kern w:val="0"/>
          <w:szCs w:val="21"/>
        </w:rPr>
        <w:t>评标结果汇总完成后，除下列情形外，任何人不得修改评标结果：</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37.3.1分值汇总计算错误的；</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37.3.2分项评分超出评分标准范围的；</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37.3.3评审委员会成员对客观评审因素评分不一致的；</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37.3.4经评审委员会认定评分畸高、畸低的。</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投标人对本条第一款情形提出质疑的，采购人或者采购代理机构可以组织原评审委员会进行重新评审，重新评审改变评标结果的，应当书面报告本级财政部门。</w:t>
      </w:r>
    </w:p>
    <w:p w:rsidR="007900F6">
      <w:pPr>
        <w:spacing w:line="360" w:lineRule="auto"/>
        <w:ind w:firstLine="470" w:firstLineChars="196"/>
        <w:rPr>
          <w:rFonts w:ascii="宋体" w:hAnsi="宋体"/>
          <w:b/>
          <w:bCs/>
          <w:szCs w:val="21"/>
        </w:rPr>
      </w:pPr>
      <w:r>
        <w:rPr>
          <w:rFonts w:ascii="宋体" w:hAnsi="宋体" w:hint="eastAsia"/>
          <w:b/>
          <w:bCs/>
          <w:szCs w:val="21"/>
        </w:rPr>
        <w:t xml:space="preserve"> 37.4重新组建评审委员会的情形</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评审委员会或者其成员存在下列情形导致评标结果无效的，重新组建评审委员会进行评标，并书面报告本级财政部门：</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37.4.1评审委员会组成不符合《政府采购货物和服务招标投标管理办法》规定的；</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37.4.2有《政府采购货物和服务招标投标管理办法》第六十二条第一至五项情形的；</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37.4.3评审委员会及其成员独立评标受到非法干预的；</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37.4.4有政府采购法实施条例第七十五条规定的违法行为的。</w:t>
      </w:r>
    </w:p>
    <w:p w:rsidR="007900F6" w:rsidP="007900F6">
      <w:pPr>
        <w:spacing w:line="360" w:lineRule="auto"/>
        <w:ind w:firstLine="470" w:firstLineChars="196"/>
        <w:rPr>
          <w:rFonts w:ascii="宋体" w:hAnsi="宋体" w:cs="宋体"/>
          <w:kern w:val="0"/>
          <w:szCs w:val="21"/>
        </w:rPr>
      </w:pPr>
      <w:r>
        <w:rPr>
          <w:rFonts w:ascii="宋体" w:hAnsi="宋体" w:cs="宋体" w:hint="eastAsia"/>
          <w:kern w:val="0"/>
          <w:szCs w:val="21"/>
        </w:rPr>
        <w:t>有违法违规行为的原评审委员会成员不得参加重新组建的评审委员会。</w:t>
      </w:r>
    </w:p>
    <w:p w:rsidR="007900F6" w:rsidP="007900F6">
      <w:pPr>
        <w:spacing w:line="360" w:lineRule="auto"/>
        <w:ind w:firstLine="470" w:firstLineChars="196"/>
        <w:rPr>
          <w:rFonts w:ascii="宋体" w:hAnsi="宋体"/>
          <w:szCs w:val="21"/>
        </w:rPr>
      </w:pPr>
    </w:p>
    <w:p w:rsidR="007900F6">
      <w:pPr>
        <w:pStyle w:val="Heading2"/>
        <w:numPr>
          <w:ilvl w:val="0"/>
          <w:numId w:val="89"/>
        </w:numPr>
        <w:tabs>
          <w:tab w:val="left" w:pos="720"/>
          <w:tab w:val="clear" w:pos="5965"/>
        </w:tabs>
        <w:spacing w:before="120" w:beforeLines="50" w:after="120" w:afterLines="50" w:line="360" w:lineRule="auto"/>
        <w:ind w:left="720"/>
        <w:rPr>
          <w:sz w:val="28"/>
          <w:szCs w:val="28"/>
        </w:rPr>
      </w:pPr>
      <w:r>
        <w:rPr>
          <w:rFonts w:hint="eastAsia"/>
          <w:sz w:val="28"/>
          <w:szCs w:val="28"/>
        </w:rPr>
        <w:t>定标及公示</w:t>
      </w:r>
    </w:p>
    <w:p w:rsidR="007900F6">
      <w:pPr>
        <w:spacing w:line="360" w:lineRule="auto"/>
        <w:rPr>
          <w:rFonts w:ascii="黑体" w:eastAsia="黑体" w:hAnsi="宋体"/>
          <w:sz w:val="24"/>
        </w:rPr>
      </w:pPr>
      <w:r>
        <w:rPr>
          <w:rFonts w:ascii="黑体" w:eastAsia="黑体" w:hAnsi="宋体" w:hint="eastAsia"/>
          <w:sz w:val="24"/>
        </w:rPr>
        <w:t>38．定标方法</w:t>
      </w:r>
    </w:p>
    <w:p w:rsidR="007900F6" w:rsidP="007900F6">
      <w:pPr>
        <w:spacing w:line="360" w:lineRule="auto"/>
        <w:ind w:firstLine="470" w:firstLineChars="196"/>
        <w:rPr>
          <w:rFonts w:ascii="宋体" w:hAnsi="宋体"/>
          <w:szCs w:val="21"/>
        </w:rPr>
      </w:pPr>
      <w:r>
        <w:rPr>
          <w:rFonts w:ascii="宋体" w:hAnsi="宋体" w:hint="eastAsia"/>
          <w:szCs w:val="21"/>
        </w:rPr>
        <w:t>38.1非评定分离项目定标方法</w:t>
      </w:r>
    </w:p>
    <w:p w:rsidR="007900F6" w:rsidP="007900F6">
      <w:pPr>
        <w:spacing w:line="360" w:lineRule="auto"/>
        <w:ind w:firstLine="470" w:firstLineChars="196"/>
        <w:rPr>
          <w:rFonts w:ascii="宋体" w:hAnsi="宋体"/>
          <w:szCs w:val="21"/>
        </w:rPr>
      </w:pPr>
      <w:r>
        <w:rPr>
          <w:rFonts w:ascii="宋体" w:hAnsi="宋体" w:hint="eastAsia"/>
          <w:szCs w:val="21"/>
        </w:rPr>
        <w:t>38</w:t>
      </w:r>
      <w:r>
        <w:rPr>
          <w:rFonts w:ascii="宋体" w:hAnsi="宋体"/>
          <w:szCs w:val="21"/>
        </w:rPr>
        <w:t>.</w:t>
      </w:r>
      <w:r>
        <w:rPr>
          <w:rFonts w:ascii="宋体" w:hAnsi="宋体" w:hint="eastAsia"/>
          <w:szCs w:val="21"/>
        </w:rPr>
        <w:t>1.1评审委员会依据本项目招标文件所约定的评标方法进行评审和比较，向采购实施机构提交书面评标报告，并根据评标方法比较评价结果从优到劣进行排序，确定中标供应商及中标候选人。</w:t>
      </w:r>
    </w:p>
    <w:p w:rsidR="007900F6" w:rsidP="007900F6">
      <w:pPr>
        <w:spacing w:line="360" w:lineRule="auto"/>
        <w:ind w:firstLine="470" w:firstLineChars="196"/>
        <w:rPr>
          <w:rFonts w:ascii="ˎ̥" w:hAnsi="ˎ̥"/>
        </w:rPr>
      </w:pPr>
      <w:r>
        <w:rPr>
          <w:rFonts w:ascii="宋体" w:hAnsi="宋体" w:hint="eastAsia"/>
          <w:szCs w:val="21"/>
        </w:rPr>
        <w:t>38</w:t>
      </w:r>
      <w:r>
        <w:rPr>
          <w:rFonts w:ascii="宋体" w:hAnsi="宋体"/>
          <w:szCs w:val="21"/>
        </w:rPr>
        <w:t>.</w:t>
      </w:r>
      <w:r>
        <w:rPr>
          <w:rFonts w:ascii="宋体" w:hAnsi="宋体" w:hint="eastAsia"/>
          <w:szCs w:val="21"/>
        </w:rPr>
        <w:t>1.2</w:t>
      </w:r>
      <w:r>
        <w:rPr>
          <w:rFonts w:ascii="ˎ̥" w:hAnsi="ˎ̥"/>
        </w:rPr>
        <w:t>采用最低评标价法的，评标结果按投标报价由低到高顺序排列。投标报价相同的并列。投标文件满足招标文件全部实质性要求且投标报价最低的</w:t>
      </w:r>
      <w:r>
        <w:rPr>
          <w:rFonts w:ascii="ˎ̥" w:hAnsi="ˎ̥" w:hint="eastAsia"/>
        </w:rPr>
        <w:t>投标人为</w:t>
      </w:r>
      <w:r>
        <w:rPr>
          <w:rFonts w:ascii="ˎ̥" w:hAnsi="ˎ̥"/>
        </w:rPr>
        <w:t>排名第一的中标候选人（</w:t>
      </w:r>
      <w:r>
        <w:rPr>
          <w:rFonts w:ascii="ˎ̥" w:hAnsi="ˎ̥" w:hint="eastAsia"/>
        </w:rPr>
        <w:t>排名</w:t>
      </w:r>
      <w:r>
        <w:rPr>
          <w:rFonts w:ascii="ˎ̥" w:hAnsi="ˎ̥"/>
        </w:rPr>
        <w:t>第二</w:t>
      </w:r>
      <w:r>
        <w:rPr>
          <w:rFonts w:ascii="ˎ̥" w:hAnsi="ˎ̥" w:hint="eastAsia"/>
        </w:rPr>
        <w:t>的投标人为第一递补中标候选人、排名</w:t>
      </w:r>
      <w:r>
        <w:rPr>
          <w:rFonts w:ascii="ˎ̥" w:hAnsi="ˎ̥"/>
        </w:rPr>
        <w:t>第</w:t>
      </w:r>
      <w:r>
        <w:rPr>
          <w:rFonts w:ascii="ˎ̥" w:hAnsi="ˎ̥" w:hint="eastAsia"/>
        </w:rPr>
        <w:t>三的投标人为第二递补中标候选人</w:t>
      </w:r>
      <w:r>
        <w:rPr>
          <w:rFonts w:ascii="ˎ̥" w:hAnsi="ˎ̥"/>
        </w:rPr>
        <w:t>）。</w:t>
      </w:r>
    </w:p>
    <w:p w:rsidR="007900F6" w:rsidP="007900F6">
      <w:pPr>
        <w:spacing w:line="360" w:lineRule="auto"/>
        <w:ind w:firstLine="470" w:firstLineChars="196"/>
        <w:rPr>
          <w:rFonts w:ascii="ˎ̥" w:hAnsi="ˎ̥"/>
        </w:rPr>
      </w:pPr>
      <w:r>
        <w:rPr>
          <w:rFonts w:ascii="宋体" w:hAnsi="宋体" w:hint="eastAsia"/>
          <w:szCs w:val="21"/>
        </w:rPr>
        <w:t>38</w:t>
      </w:r>
      <w:r>
        <w:rPr>
          <w:rFonts w:ascii="宋体" w:hAnsi="宋体"/>
          <w:szCs w:val="21"/>
        </w:rPr>
        <w:t>.</w:t>
      </w:r>
      <w:r>
        <w:rPr>
          <w:rFonts w:ascii="宋体" w:hAnsi="宋体" w:hint="eastAsia"/>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为排名第一的中标候选人（</w:t>
      </w:r>
      <w:r>
        <w:rPr>
          <w:rFonts w:ascii="ˎ̥" w:hAnsi="ˎ̥" w:hint="eastAsia"/>
        </w:rPr>
        <w:t>排名</w:t>
      </w:r>
      <w:r>
        <w:rPr>
          <w:rFonts w:ascii="ˎ̥" w:hAnsi="ˎ̥"/>
        </w:rPr>
        <w:t>第二</w:t>
      </w:r>
      <w:r>
        <w:rPr>
          <w:rFonts w:ascii="ˎ̥" w:hAnsi="ˎ̥" w:hint="eastAsia"/>
        </w:rPr>
        <w:t>的投标人为第一递补中标候选人、排名</w:t>
      </w:r>
      <w:r>
        <w:rPr>
          <w:rFonts w:ascii="ˎ̥" w:hAnsi="ˎ̥"/>
        </w:rPr>
        <w:t>第</w:t>
      </w:r>
      <w:r>
        <w:rPr>
          <w:rFonts w:ascii="ˎ̥" w:hAnsi="ˎ̥" w:hint="eastAsia"/>
        </w:rPr>
        <w:t>三的投标人为第二递补中标候选人</w:t>
      </w:r>
      <w:r>
        <w:rPr>
          <w:rFonts w:ascii="ˎ̥" w:hAnsi="ˎ̥"/>
        </w:rPr>
        <w:t>）。</w:t>
      </w:r>
      <w:r>
        <w:rPr>
          <w:rFonts w:ascii="ˎ̥" w:hAnsi="ˎ̥" w:hint="eastAsia"/>
        </w:rPr>
        <w:t>出现</w:t>
      </w:r>
      <w:r>
        <w:rPr>
          <w:rFonts w:ascii="ˎ̥" w:hAnsi="ˎ̥"/>
        </w:rPr>
        <w:t>得分且投标报价相同的并列</w:t>
      </w:r>
      <w:r>
        <w:rPr>
          <w:rFonts w:ascii="ˎ̥" w:hAnsi="ˎ̥" w:hint="eastAsia"/>
        </w:rPr>
        <w:t>情况时，采取随机抽取的方式确定，具体操作办法及流程由评审委员会确定。</w:t>
      </w:r>
    </w:p>
    <w:p w:rsidR="007900F6" w:rsidP="007900F6">
      <w:pPr>
        <w:spacing w:line="360" w:lineRule="auto"/>
        <w:ind w:firstLine="470" w:firstLineChars="196"/>
        <w:rPr>
          <w:rFonts w:ascii="宋体" w:hAnsi="宋体"/>
          <w:szCs w:val="21"/>
        </w:rPr>
      </w:pPr>
      <w:r>
        <w:rPr>
          <w:rFonts w:ascii="宋体" w:hAnsi="宋体" w:hint="eastAsia"/>
          <w:szCs w:val="21"/>
        </w:rPr>
        <w:t>38.2评定分离项目定标方法</w:t>
      </w:r>
    </w:p>
    <w:p w:rsidR="007900F6" w:rsidP="007900F6">
      <w:pPr>
        <w:spacing w:line="360" w:lineRule="auto"/>
        <w:ind w:firstLine="470" w:firstLineChars="196"/>
        <w:rPr>
          <w:rFonts w:ascii="宋体" w:hAnsi="宋体"/>
          <w:szCs w:val="21"/>
        </w:rPr>
      </w:pPr>
      <w:r>
        <w:rPr>
          <w:rFonts w:ascii="宋体" w:hAnsi="宋体" w:hint="eastAsia"/>
          <w:szCs w:val="21"/>
        </w:rPr>
        <w:t>38.2.1根据《深圳经济特区政府采购条例实施细则》等有关规定，本项目采用评标和定标分离办法，即评审委员会按照本项目规定的评审方法对投标文件进行评审、推荐候选中标供应商并出具书面评审报告，由采购人根据评审委员会出具的评审报告和推荐的候选中标供应商确定中标供应商。具体所采用的评审方法和定标方法（定标规则）详见招标文件第一册关键信息的内容。</w:t>
      </w:r>
    </w:p>
    <w:p w:rsidR="007900F6" w:rsidP="007900F6">
      <w:pPr>
        <w:spacing w:line="360" w:lineRule="auto"/>
        <w:ind w:firstLine="470" w:firstLineChars="196"/>
        <w:rPr>
          <w:rFonts w:ascii="宋体" w:hAnsi="宋体"/>
          <w:szCs w:val="21"/>
        </w:rPr>
      </w:pPr>
      <w:r>
        <w:rPr>
          <w:rFonts w:ascii="宋体" w:hAnsi="宋体" w:hint="eastAsia"/>
          <w:szCs w:val="21"/>
        </w:rPr>
        <w:t>38.2.2采用“综合评分法”评审方法的项目，评审委员会按照评审结果，依照招标文件第一册关键信息的内容推荐相应数量的候选中标供应商。</w:t>
      </w:r>
    </w:p>
    <w:p w:rsidR="007900F6" w:rsidP="007900F6">
      <w:pPr>
        <w:spacing w:line="360" w:lineRule="auto"/>
        <w:ind w:firstLine="470" w:firstLineChars="196"/>
        <w:rPr>
          <w:rFonts w:ascii="宋体" w:hAnsi="宋体"/>
          <w:szCs w:val="21"/>
        </w:rPr>
      </w:pPr>
      <w:r>
        <w:rPr>
          <w:rFonts w:ascii="宋体" w:hAnsi="宋体" w:hint="eastAsia"/>
          <w:szCs w:val="21"/>
        </w:rPr>
        <w:t>38.2.3采购人应当按照自定法确定中标供应商：自定法是指采购人组织定标委员会，由定标委员会在候选中标供应商中确定中标供应商。</w:t>
      </w:r>
    </w:p>
    <w:p w:rsidR="007900F6" w:rsidP="007900F6">
      <w:pPr>
        <w:spacing w:line="360" w:lineRule="auto"/>
        <w:ind w:firstLine="470" w:firstLineChars="196"/>
        <w:rPr>
          <w:rFonts w:ascii="宋体" w:hAnsi="宋体"/>
          <w:szCs w:val="21"/>
        </w:rPr>
      </w:pPr>
      <w:r>
        <w:rPr>
          <w:rFonts w:ascii="宋体" w:hAnsi="宋体"/>
          <w:szCs w:val="21"/>
        </w:rPr>
        <w:t>38.</w:t>
      </w:r>
      <w:r>
        <w:rPr>
          <w:rFonts w:ascii="宋体" w:hAnsi="宋体" w:hint="eastAsia"/>
          <w:szCs w:val="21"/>
        </w:rPr>
        <w:t>2.3.1自定法。</w:t>
      </w:r>
    </w:p>
    <w:p w:rsidR="007900F6" w:rsidP="007900F6">
      <w:pPr>
        <w:spacing w:line="360" w:lineRule="auto"/>
        <w:ind w:firstLine="470" w:firstLineChars="196"/>
        <w:rPr>
          <w:rFonts w:ascii="宋体" w:hAnsi="宋体"/>
          <w:szCs w:val="21"/>
        </w:rPr>
      </w:pPr>
      <w:r>
        <w:rPr>
          <w:rFonts w:ascii="宋体" w:hAnsi="宋体" w:hint="eastAsia"/>
          <w:szCs w:val="21"/>
        </w:rPr>
        <w:t>操作程序：</w:t>
      </w:r>
    </w:p>
    <w:p w:rsidR="007900F6" w:rsidP="007900F6">
      <w:pPr>
        <w:spacing w:line="360" w:lineRule="auto"/>
        <w:ind w:firstLine="470" w:firstLineChars="196"/>
        <w:rPr>
          <w:rFonts w:ascii="宋体" w:hAnsi="宋体"/>
          <w:szCs w:val="21"/>
        </w:rPr>
      </w:pPr>
      <w:r>
        <w:rPr>
          <w:rFonts w:ascii="宋体" w:hAnsi="宋体" w:hint="eastAsia"/>
          <w:szCs w:val="21"/>
        </w:rPr>
        <w:t>①采购实施机构自评审结束之日起2个工作日内通过系统将评审报告送交采购人。</w:t>
      </w:r>
    </w:p>
    <w:p w:rsidR="007900F6" w:rsidP="007900F6">
      <w:pPr>
        <w:spacing w:line="360" w:lineRule="auto"/>
        <w:ind w:firstLine="470" w:firstLineChars="196"/>
        <w:rPr>
          <w:rFonts w:ascii="宋体" w:hAnsi="宋体"/>
          <w:szCs w:val="21"/>
        </w:rPr>
      </w:pPr>
      <w:r>
        <w:rPr>
          <w:rFonts w:ascii="宋体" w:hAnsi="宋体" w:hint="eastAsia"/>
          <w:szCs w:val="21"/>
        </w:rPr>
        <w:t>②采购人应当自收到评审报告之日起3个工作日内，组成定标委员会，召开定标会并确定中标供应商（中标供应商的具体数量由采购人在项目申报时确定并在招标文件中体现）。重大项目的定标委员会应当由采购人领导班子组成；特定品目项目（非重大项目）的定标委员会可以由单位中层以上管理人员、具有与所采购项目专业领域中级以上职称人员、采购责任机构负责人等人员组成。在充分讨论的基础上，定标委员会可采取口头表决、举手表决或者无记名投票等方式进行表决。候选中标供应商的得票数超过成员半数的，方可确定为中标供应商。</w:t>
      </w:r>
    </w:p>
    <w:p w:rsidR="007900F6" w:rsidP="007900F6">
      <w:pPr>
        <w:spacing w:line="360" w:lineRule="auto"/>
        <w:ind w:firstLine="470" w:firstLineChars="196"/>
        <w:rPr>
          <w:rFonts w:ascii="宋体" w:hAnsi="宋体"/>
          <w:szCs w:val="21"/>
        </w:rPr>
      </w:pPr>
      <w:r>
        <w:rPr>
          <w:rFonts w:ascii="宋体" w:hAnsi="宋体" w:hint="eastAsia"/>
          <w:szCs w:val="21"/>
        </w:rPr>
        <w:t>中标供应商的确定流程：网上具体操作时，在结束辅助评标后，政府集中采购机构工作人员上传候选中标供应商的投标文件并录入候选中标供应商的中标信息，完成上述操作后后进入“采购人录入定标结果”的环节；采购人在“采购人录入定标结果”中可以实时的查看候选中标供应商、投标报价、投标文件，同时查看和打印综合得分表、评审报告、候选中标供应商评价表，以单选框的方式，在显示候选中标供应商名称和投标报价的列表中，由采购人根据定标结果选择中标供应商。</w:t>
      </w:r>
    </w:p>
    <w:p w:rsidR="007900F6" w:rsidP="007900F6">
      <w:pPr>
        <w:spacing w:line="360" w:lineRule="auto"/>
        <w:ind w:firstLine="470" w:firstLineChars="196"/>
        <w:rPr>
          <w:rFonts w:ascii="宋体" w:hAnsi="宋体"/>
          <w:szCs w:val="21"/>
        </w:rPr>
      </w:pPr>
      <w:r>
        <w:rPr>
          <w:rFonts w:ascii="宋体" w:hAnsi="宋体" w:hint="eastAsia"/>
          <w:szCs w:val="21"/>
        </w:rPr>
        <w:t>③采购人应当自定标会召开后的3个工作日内，将定标书面记录、定标报告在采购人内部网站或者内部办公区域公示，公示日期不少于3个工作日。公示内容包括定标委员会候选人员名单、正式成员名单、定标程序、定标环节及定标结果等内容。</w:t>
      </w:r>
    </w:p>
    <w:p w:rsidR="007900F6" w:rsidP="007900F6">
      <w:pPr>
        <w:spacing w:line="360" w:lineRule="auto"/>
        <w:ind w:firstLine="470" w:firstLineChars="196"/>
        <w:rPr>
          <w:rFonts w:ascii="宋体" w:hAnsi="宋体"/>
          <w:szCs w:val="21"/>
        </w:rPr>
      </w:pPr>
      <w:r>
        <w:rPr>
          <w:rFonts w:ascii="宋体" w:hAnsi="宋体" w:hint="eastAsia"/>
          <w:szCs w:val="21"/>
        </w:rPr>
        <w:t>④采购人应当在公示结束后3个工作日内，通过系统将定标报告送采购实施机构备案。定标报告包括但不限于定标委员会候选人员名单、正式成员名单、定标委员会的产生过程、定标程序及定标结果等内容。</w:t>
      </w:r>
    </w:p>
    <w:p w:rsidR="007900F6" w:rsidP="007900F6">
      <w:pPr>
        <w:spacing w:line="360" w:lineRule="auto"/>
        <w:ind w:firstLine="470" w:firstLineChars="196"/>
        <w:rPr>
          <w:rFonts w:ascii="宋体" w:hAnsi="宋体"/>
          <w:szCs w:val="21"/>
        </w:rPr>
      </w:pPr>
      <w:r>
        <w:rPr>
          <w:rFonts w:ascii="宋体" w:hAnsi="宋体" w:hint="eastAsia"/>
          <w:szCs w:val="21"/>
        </w:rPr>
        <w:t>⑤采购人逾期不确定的，采购实施机构将报主管部门处理，处理期间不计入采购期间。</w:t>
      </w:r>
    </w:p>
    <w:p w:rsidR="007900F6" w:rsidP="007900F6">
      <w:pPr>
        <w:spacing w:line="360" w:lineRule="auto"/>
        <w:ind w:firstLine="470" w:firstLineChars="196"/>
        <w:rPr>
          <w:rFonts w:ascii="宋体" w:hAnsi="宋体"/>
          <w:szCs w:val="21"/>
        </w:rPr>
      </w:pPr>
      <w:r>
        <w:rPr>
          <w:rFonts w:ascii="宋体" w:hAnsi="宋体" w:hint="eastAsia"/>
          <w:szCs w:val="21"/>
        </w:rPr>
        <w:t>说明：采购人及投标供应商应按照上述方法提前做好相关准备。</w:t>
      </w:r>
    </w:p>
    <w:p w:rsidR="007900F6" w:rsidP="007900F6">
      <w:pPr>
        <w:spacing w:line="360" w:lineRule="auto"/>
        <w:ind w:firstLine="470" w:firstLineChars="196"/>
        <w:rPr>
          <w:rFonts w:ascii="宋体" w:hAnsi="宋体"/>
          <w:szCs w:val="21"/>
        </w:rPr>
      </w:pPr>
      <w:r>
        <w:rPr>
          <w:rFonts w:ascii="宋体" w:hAnsi="宋体" w:hint="eastAsia"/>
          <w:szCs w:val="21"/>
        </w:rPr>
        <w:t>38.3专用条款另有规定的，按专用条款相关要求定标。</w:t>
      </w:r>
    </w:p>
    <w:p w:rsidR="007900F6">
      <w:pPr>
        <w:spacing w:line="360" w:lineRule="auto"/>
        <w:rPr>
          <w:rFonts w:ascii="黑体" w:eastAsia="黑体" w:hAnsi="宋体"/>
          <w:sz w:val="24"/>
        </w:rPr>
      </w:pPr>
      <w:r>
        <w:rPr>
          <w:rFonts w:ascii="黑体" w:eastAsia="黑体" w:hAnsi="宋体" w:hint="eastAsia"/>
          <w:sz w:val="24"/>
        </w:rPr>
        <w:t>39．编写评标报告</w:t>
      </w:r>
    </w:p>
    <w:p w:rsidR="007900F6" w:rsidP="007900F6">
      <w:pPr>
        <w:spacing w:line="360" w:lineRule="auto"/>
        <w:ind w:firstLine="470" w:firstLineChars="196"/>
        <w:rPr>
          <w:rFonts w:ascii="宋体" w:hAnsi="宋体"/>
          <w:szCs w:val="21"/>
        </w:rPr>
      </w:pPr>
      <w:r>
        <w:rPr>
          <w:rFonts w:ascii="宋体" w:hAnsi="宋体" w:hint="eastAsia"/>
          <w:szCs w:val="21"/>
        </w:rPr>
        <w:t>评标报告是评审委员会根据全体评标成员签字的原始评标记录和评标结果编写的报告，评标报告由评审委员会全体成员签字。对评标结论持有异议的评审委员会成员可以书面方式阐述其不同意见和理由。评审委员会成员拒绝在评标报告上签字且不陈述其不同意见和理由的，视为同意评标结论。评审委员会应当对此作出书面说明并记录存档。</w:t>
      </w:r>
    </w:p>
    <w:p w:rsidR="007900F6">
      <w:pPr>
        <w:spacing w:line="360" w:lineRule="auto"/>
        <w:rPr>
          <w:rFonts w:ascii="黑体" w:eastAsia="黑体" w:hAnsi="宋体"/>
          <w:sz w:val="24"/>
        </w:rPr>
      </w:pPr>
      <w:r>
        <w:rPr>
          <w:rFonts w:ascii="黑体" w:eastAsia="黑体" w:hAnsi="宋体" w:hint="eastAsia"/>
          <w:sz w:val="24"/>
        </w:rPr>
        <w:t>40．中标公告</w:t>
      </w:r>
    </w:p>
    <w:p w:rsidR="007900F6" w:rsidP="007900F6">
      <w:pPr>
        <w:wordWrap w:val="0"/>
        <w:spacing w:line="360" w:lineRule="auto"/>
        <w:ind w:firstLine="470" w:firstLineChars="196"/>
        <w:rPr>
          <w:rFonts w:ascii="宋体" w:hAnsi="宋体"/>
          <w:szCs w:val="21"/>
        </w:rPr>
      </w:pPr>
      <w:r>
        <w:rPr>
          <w:rFonts w:ascii="宋体" w:hAnsi="宋体" w:hint="eastAsia"/>
          <w:szCs w:val="21"/>
        </w:rPr>
        <w:t>40.1为体现“公开、公平、公正”的原则，评标结束后，采购实施机构将在“深圳公共资源交易网站”（</w:t>
      </w:r>
      <w:r>
        <w:rPr>
          <w:rFonts w:ascii="宋体" w:hAnsi="宋体"/>
          <w:szCs w:val="21"/>
          <w:u w:val="single"/>
        </w:rPr>
        <w:t>https://www.szggzy.com/</w:t>
      </w:r>
      <w:r>
        <w:rPr>
          <w:rFonts w:ascii="宋体" w:hAnsi="宋体" w:hint="eastAsia"/>
          <w:szCs w:val="21"/>
        </w:rPr>
        <w:t>）及“深圳市国信招标有限公司网站”（</w:t>
      </w:r>
      <w:r>
        <w:rPr>
          <w:rFonts w:ascii="宋体" w:hAnsi="宋体"/>
          <w:szCs w:val="21"/>
          <w:u w:val="single"/>
        </w:rPr>
        <w:t>http://www.szgxzb.com/</w:t>
      </w:r>
      <w:r>
        <w:rPr>
          <w:rFonts w:ascii="宋体" w:hAnsi="宋体" w:hint="eastAsia"/>
          <w:szCs w:val="21"/>
        </w:rPr>
        <w:t>）上发布中标结果公告。供应商如对评标结果有异议，</w:t>
      </w:r>
      <w:r>
        <w:rPr>
          <w:rFonts w:ascii="宋体" w:hAnsi="宋体"/>
          <w:szCs w:val="21"/>
        </w:rPr>
        <w:t>可在发布公示日期起</w:t>
      </w:r>
      <w:r>
        <w:rPr>
          <w:rFonts w:ascii="宋体" w:hAnsi="宋体" w:hint="eastAsia"/>
          <w:szCs w:val="21"/>
        </w:rPr>
        <w:t>七</w:t>
      </w:r>
      <w:r>
        <w:rPr>
          <w:rFonts w:ascii="宋体" w:hAnsi="宋体"/>
          <w:szCs w:val="21"/>
        </w:rPr>
        <w:t>个工作日内向</w:t>
      </w:r>
      <w:r>
        <w:rPr>
          <w:rFonts w:ascii="宋体" w:hAnsi="宋体" w:hint="eastAsia"/>
          <w:szCs w:val="21"/>
        </w:rPr>
        <w:t>采购实施机构</w:t>
      </w:r>
      <w:r>
        <w:rPr>
          <w:rFonts w:ascii="宋体" w:hAnsi="宋体"/>
          <w:szCs w:val="21"/>
        </w:rPr>
        <w:t>提出。 监督电话：0755-</w:t>
      </w:r>
      <w:r>
        <w:rPr>
          <w:rFonts w:ascii="宋体" w:hAnsi="宋体" w:hint="eastAsia"/>
          <w:szCs w:val="21"/>
        </w:rPr>
        <w:t>23906834</w:t>
      </w:r>
      <w:r>
        <w:rPr>
          <w:rFonts w:ascii="宋体" w:hAnsi="宋体"/>
          <w:szCs w:val="21"/>
        </w:rPr>
        <w:t>。</w:t>
      </w:r>
      <w:r>
        <w:rPr>
          <w:rFonts w:ascii="宋体" w:hAnsi="宋体" w:hint="eastAsia"/>
          <w:szCs w:val="21"/>
        </w:rPr>
        <w:t>若在公示期内未提出质疑，则视为认同该评标结果。</w:t>
      </w:r>
    </w:p>
    <w:p w:rsidR="007900F6" w:rsidP="007900F6">
      <w:pPr>
        <w:spacing w:line="360" w:lineRule="auto"/>
        <w:ind w:firstLine="470" w:firstLineChars="196"/>
        <w:rPr>
          <w:rFonts w:ascii="宋体" w:hAnsi="宋体"/>
          <w:szCs w:val="21"/>
        </w:rPr>
      </w:pPr>
      <w:r>
        <w:rPr>
          <w:rFonts w:ascii="宋体" w:hAnsi="宋体" w:hint="eastAsia"/>
          <w:szCs w:val="21"/>
        </w:rPr>
        <w:t>40.2质疑投诉人应保证质疑投诉内容的真实性和可靠性，并承担相应的法律责任。</w:t>
      </w:r>
    </w:p>
    <w:p w:rsidR="007900F6">
      <w:pPr>
        <w:spacing w:line="360" w:lineRule="auto"/>
        <w:rPr>
          <w:rFonts w:ascii="黑体" w:eastAsia="黑体" w:hAnsi="宋体"/>
          <w:sz w:val="24"/>
        </w:rPr>
      </w:pPr>
      <w:r>
        <w:rPr>
          <w:rFonts w:ascii="黑体" w:eastAsia="黑体" w:hAnsi="宋体" w:hint="eastAsia"/>
          <w:sz w:val="24"/>
        </w:rPr>
        <w:t>41．中标通知书</w:t>
      </w:r>
    </w:p>
    <w:p w:rsidR="007900F6" w:rsidP="007900F6">
      <w:pPr>
        <w:spacing w:line="360" w:lineRule="auto"/>
        <w:ind w:firstLine="470" w:firstLineChars="196"/>
        <w:rPr>
          <w:rFonts w:ascii="宋体" w:hAnsi="宋体"/>
          <w:szCs w:val="21"/>
        </w:rPr>
      </w:pPr>
      <w:r>
        <w:rPr>
          <w:rFonts w:ascii="宋体" w:hAnsi="宋体" w:hint="eastAsia"/>
          <w:szCs w:val="21"/>
        </w:rPr>
        <w:t>41</w:t>
      </w:r>
      <w:r>
        <w:rPr>
          <w:rFonts w:ascii="宋体" w:hAnsi="宋体"/>
          <w:szCs w:val="21"/>
        </w:rPr>
        <w:t>.</w:t>
      </w:r>
      <w:r>
        <w:rPr>
          <w:rFonts w:ascii="宋体" w:hAnsi="宋体" w:hint="eastAsia"/>
          <w:szCs w:val="21"/>
        </w:rPr>
        <w:t>1中标公告公布以后,公示期内无有效质疑投诉,采购实施机构将向中标供应商和采购人发布</w:t>
      </w:r>
      <w:r>
        <w:rPr>
          <w:rFonts w:ascii="宋体" w:hAnsi="宋体" w:hint="eastAsia"/>
          <w:b/>
          <w:szCs w:val="21"/>
        </w:rPr>
        <w:t>《中标通知书》（</w:t>
      </w:r>
      <w:r>
        <w:rPr>
          <w:rFonts w:ascii="宋体" w:hAnsi="宋体" w:hint="eastAsia"/>
          <w:szCs w:val="21"/>
        </w:rPr>
        <w:t xml:space="preserve">咨询电话：0755—23908094 </w:t>
      </w:r>
      <w:r>
        <w:rPr>
          <w:rFonts w:ascii="宋体"/>
          <w:bCs/>
          <w:szCs w:val="21"/>
        </w:rPr>
        <w:t xml:space="preserve"> </w:t>
      </w:r>
      <w:r>
        <w:rPr>
          <w:rFonts w:ascii="宋体" w:hint="eastAsia"/>
          <w:bCs/>
          <w:szCs w:val="21"/>
        </w:rPr>
        <w:t>88916924</w:t>
      </w:r>
      <w:r>
        <w:rPr>
          <w:rFonts w:ascii="宋体" w:hAnsi="宋体" w:hint="eastAsia"/>
          <w:szCs w:val="21"/>
        </w:rPr>
        <w:t>）。</w:t>
      </w:r>
    </w:p>
    <w:p w:rsidR="007900F6" w:rsidP="007900F6">
      <w:pPr>
        <w:spacing w:line="360" w:lineRule="auto"/>
        <w:ind w:firstLine="470" w:firstLineChars="196"/>
        <w:rPr>
          <w:rFonts w:ascii="宋体" w:hAnsi="宋体"/>
          <w:szCs w:val="21"/>
        </w:rPr>
      </w:pPr>
      <w:r>
        <w:rPr>
          <w:rFonts w:ascii="宋体" w:hAnsi="宋体" w:hint="eastAsia"/>
          <w:szCs w:val="21"/>
        </w:rPr>
        <w:t>41</w:t>
      </w:r>
      <w:r>
        <w:rPr>
          <w:rFonts w:ascii="宋体" w:hAnsi="宋体"/>
          <w:szCs w:val="21"/>
        </w:rPr>
        <w:t>.2</w:t>
      </w:r>
      <w:r>
        <w:rPr>
          <w:rFonts w:ascii="宋体" w:hAnsi="宋体" w:hint="eastAsia"/>
          <w:szCs w:val="21"/>
        </w:rPr>
        <w:t>中标通知书是合同的重要组成部分。</w:t>
      </w:r>
    </w:p>
    <w:p w:rsidR="007900F6" w:rsidP="007900F6">
      <w:pPr>
        <w:spacing w:line="360" w:lineRule="auto"/>
        <w:ind w:firstLine="470" w:firstLineChars="196"/>
        <w:rPr>
          <w:rFonts w:ascii="宋体" w:hAnsi="宋体"/>
          <w:szCs w:val="21"/>
        </w:rPr>
      </w:pPr>
      <w:r>
        <w:rPr>
          <w:rFonts w:ascii="宋体" w:hAnsi="宋体" w:hint="eastAsia"/>
          <w:szCs w:val="21"/>
        </w:rPr>
        <w:t>41.3因质疑投诉或其它原因导致项目结果变更或采购终止的，采购实施机构有权吊销中标通知书或终止采购合同。</w:t>
      </w:r>
    </w:p>
    <w:p w:rsidR="007900F6" w:rsidP="007900F6">
      <w:pPr>
        <w:spacing w:line="360" w:lineRule="auto"/>
        <w:ind w:firstLine="470" w:firstLineChars="196"/>
        <w:rPr>
          <w:rFonts w:ascii="宋体" w:hAnsi="宋体"/>
          <w:szCs w:val="21"/>
        </w:rPr>
      </w:pPr>
    </w:p>
    <w:p w:rsidR="007900F6">
      <w:pPr>
        <w:pStyle w:val="Heading2"/>
        <w:numPr>
          <w:ilvl w:val="0"/>
          <w:numId w:val="89"/>
        </w:numPr>
        <w:tabs>
          <w:tab w:val="left" w:pos="720"/>
          <w:tab w:val="clear" w:pos="5965"/>
        </w:tabs>
        <w:spacing w:before="120" w:beforeLines="50" w:after="120" w:afterLines="50" w:line="360" w:lineRule="auto"/>
        <w:ind w:left="720"/>
        <w:rPr>
          <w:sz w:val="28"/>
          <w:szCs w:val="28"/>
        </w:rPr>
      </w:pPr>
      <w:r>
        <w:rPr>
          <w:rFonts w:hint="eastAsia"/>
          <w:sz w:val="28"/>
          <w:szCs w:val="28"/>
        </w:rPr>
        <w:t>公开招标失败的后续处理</w:t>
      </w:r>
    </w:p>
    <w:p w:rsidR="007900F6">
      <w:pPr>
        <w:spacing w:line="360" w:lineRule="auto"/>
        <w:rPr>
          <w:rFonts w:ascii="黑体" w:eastAsia="黑体" w:hAnsi="宋体"/>
          <w:sz w:val="24"/>
        </w:rPr>
      </w:pPr>
      <w:r>
        <w:rPr>
          <w:rFonts w:ascii="黑体" w:eastAsia="黑体" w:hAnsi="宋体" w:hint="eastAsia"/>
          <w:sz w:val="24"/>
        </w:rPr>
        <w:t>42．公开招标失败的处理</w:t>
      </w:r>
    </w:p>
    <w:p w:rsidR="007900F6" w:rsidP="007900F6">
      <w:pPr>
        <w:spacing w:line="360" w:lineRule="auto"/>
        <w:ind w:firstLine="470" w:firstLineChars="196"/>
        <w:rPr>
          <w:rFonts w:ascii="宋体" w:hAnsi="宋体"/>
        </w:rPr>
      </w:pPr>
      <w:r>
        <w:rPr>
          <w:rFonts w:ascii="宋体" w:hAnsi="宋体" w:hint="eastAsia"/>
          <w:szCs w:val="21"/>
        </w:rPr>
        <w:t>42.1本项目公开招标过程中若由于投标截止后</w:t>
      </w:r>
      <w:r>
        <w:rPr>
          <w:rFonts w:ascii="宋体" w:hAnsi="宋体" w:hint="eastAsia"/>
        </w:rPr>
        <w:t>实际递交</w:t>
      </w:r>
      <w:r>
        <w:rPr>
          <w:rFonts w:ascii="宋体" w:hAnsi="宋体"/>
        </w:rPr>
        <w:t>投标</w:t>
      </w:r>
      <w:r>
        <w:rPr>
          <w:rFonts w:ascii="宋体" w:hAnsi="宋体" w:hint="eastAsia"/>
        </w:rPr>
        <w:t>文件的供应商数量不足、经</w:t>
      </w:r>
      <w:r>
        <w:rPr>
          <w:rFonts w:ascii="宋体" w:hAnsi="宋体" w:hint="eastAsia"/>
          <w:szCs w:val="21"/>
        </w:rPr>
        <w:t>评审委员会</w:t>
      </w:r>
      <w:r>
        <w:rPr>
          <w:rFonts w:ascii="宋体" w:hAnsi="宋体" w:hint="eastAsia"/>
        </w:rPr>
        <w:t>评审对招标文件作实质响应的供应商不足等原因造成公开招标失败，可由</w:t>
      </w:r>
      <w:r>
        <w:rPr>
          <w:rFonts w:ascii="宋体" w:hAnsi="宋体" w:cs="宋体" w:hint="eastAsia"/>
        </w:rPr>
        <w:t>采购实施机构</w:t>
      </w:r>
      <w:r>
        <w:rPr>
          <w:rFonts w:ascii="宋体" w:hAnsi="宋体" w:hint="eastAsia"/>
        </w:rPr>
        <w:t>重新组织采购。</w:t>
      </w:r>
    </w:p>
    <w:p w:rsidR="007900F6" w:rsidP="007900F6">
      <w:pPr>
        <w:spacing w:line="360" w:lineRule="auto"/>
        <w:ind w:firstLine="470" w:firstLineChars="196"/>
        <w:rPr>
          <w:rFonts w:ascii="宋体" w:hAnsi="宋体"/>
          <w:szCs w:val="21"/>
        </w:rPr>
      </w:pPr>
      <w:r>
        <w:rPr>
          <w:rFonts w:ascii="宋体" w:hAnsi="宋体" w:hint="eastAsia"/>
          <w:szCs w:val="21"/>
        </w:rPr>
        <w:t>42.2对公开招标失败的项目，评审委员会在出具该项目招标失败结论的同时，提出重新采购组织形式的建议，以及进一步完善招标文件的资格、技术、商务要求的修改建议。</w:t>
      </w:r>
    </w:p>
    <w:p w:rsidR="007900F6" w:rsidP="007900F6">
      <w:pPr>
        <w:spacing w:line="360" w:lineRule="auto"/>
        <w:ind w:firstLine="470" w:firstLineChars="196"/>
        <w:rPr>
          <w:rFonts w:ascii="宋体" w:hAnsi="宋体"/>
          <w:szCs w:val="21"/>
        </w:rPr>
      </w:pPr>
      <w:r>
        <w:rPr>
          <w:rFonts w:ascii="宋体" w:hAnsi="宋体" w:hint="eastAsia"/>
          <w:szCs w:val="21"/>
        </w:rPr>
        <w:t>42.3重新组织采购有以下两种组织形式：</w:t>
      </w:r>
    </w:p>
    <w:p w:rsidR="007900F6" w:rsidP="007900F6">
      <w:pPr>
        <w:spacing w:line="360" w:lineRule="auto"/>
        <w:ind w:firstLine="470" w:firstLineChars="196"/>
        <w:rPr>
          <w:rFonts w:ascii="宋体" w:hAnsi="宋体"/>
        </w:rPr>
      </w:pPr>
      <w:r>
        <w:rPr>
          <w:rFonts w:ascii="宋体" w:hAnsi="宋体" w:hint="eastAsia"/>
        </w:rPr>
        <w:t>（1）由</w:t>
      </w:r>
      <w:r>
        <w:rPr>
          <w:rFonts w:ascii="宋体" w:hAnsi="宋体" w:cs="宋体" w:hint="eastAsia"/>
        </w:rPr>
        <w:t>采购实施机构</w:t>
      </w:r>
      <w:r>
        <w:rPr>
          <w:rFonts w:ascii="宋体" w:hAnsi="宋体" w:hint="eastAsia"/>
        </w:rPr>
        <w:t>重新组织公开招标；</w:t>
      </w:r>
    </w:p>
    <w:p w:rsidR="007900F6" w:rsidP="007900F6">
      <w:pPr>
        <w:spacing w:line="360" w:lineRule="auto"/>
        <w:ind w:firstLine="470" w:firstLineChars="196"/>
        <w:rPr>
          <w:rFonts w:ascii="宋体" w:hAnsi="宋体"/>
        </w:rPr>
      </w:pPr>
      <w:r>
        <w:rPr>
          <w:rFonts w:ascii="宋体" w:hAnsi="宋体" w:hint="eastAsia"/>
        </w:rPr>
        <w:t>（2）根据实际情况需要向政府采购监督管理部门提出非公开招标方式申请，经政府采购监督管理部门批准，公开招标失败采购项目可转为竞争性谈判或单一来源谈判方式采购。</w:t>
      </w:r>
    </w:p>
    <w:p w:rsidR="007900F6" w:rsidP="007900F6">
      <w:pPr>
        <w:spacing w:line="360" w:lineRule="auto"/>
        <w:ind w:firstLine="470" w:firstLineChars="196"/>
        <w:rPr>
          <w:rFonts w:ascii="宋体" w:hAnsi="宋体"/>
        </w:rPr>
      </w:pPr>
      <w:r>
        <w:rPr>
          <w:rFonts w:ascii="宋体" w:hAnsi="宋体" w:hint="eastAsia"/>
        </w:rPr>
        <w:t>42.4公开招标失败的采购项目重新组织公开招标，由</w:t>
      </w:r>
      <w:r>
        <w:rPr>
          <w:rFonts w:ascii="宋体" w:hAnsi="宋体" w:cs="宋体" w:hint="eastAsia"/>
        </w:rPr>
        <w:t>采购实施机构</w:t>
      </w:r>
      <w:r>
        <w:rPr>
          <w:rFonts w:ascii="宋体" w:hAnsi="宋体" w:hint="eastAsia"/>
        </w:rPr>
        <w:t>重新按公开招标流程组织采购活动。</w:t>
      </w:r>
    </w:p>
    <w:p w:rsidR="007900F6">
      <w:pPr>
        <w:spacing w:line="360" w:lineRule="auto"/>
        <w:rPr>
          <w:rFonts w:ascii="宋体" w:hAnsi="宋体"/>
        </w:rPr>
      </w:pPr>
      <w:r>
        <w:rPr>
          <w:rFonts w:ascii="黑体" w:eastAsia="黑体" w:hAnsi="宋体" w:hint="eastAsia"/>
          <w:sz w:val="24"/>
        </w:rPr>
        <w:t xml:space="preserve">    </w:t>
      </w:r>
      <w:r>
        <w:rPr>
          <w:rFonts w:ascii="宋体" w:hAnsi="宋体" w:hint="eastAsia"/>
        </w:rPr>
        <w:t>42.5公开招标失败的采购项目经政府采购监督管理部门批准转为竞争性谈判或单一来源谈判方式采购的，按规定要求组织政府采购工作。</w:t>
      </w:r>
    </w:p>
    <w:p w:rsidR="007900F6">
      <w:pPr>
        <w:spacing w:line="360" w:lineRule="auto"/>
        <w:rPr>
          <w:rFonts w:ascii="黑体" w:eastAsia="黑体" w:hAnsi="宋体"/>
          <w:sz w:val="24"/>
        </w:rPr>
      </w:pPr>
    </w:p>
    <w:p w:rsidR="007900F6">
      <w:pPr>
        <w:pStyle w:val="Heading2"/>
        <w:numPr>
          <w:ilvl w:val="0"/>
          <w:numId w:val="89"/>
        </w:numPr>
        <w:tabs>
          <w:tab w:val="left" w:pos="720"/>
          <w:tab w:val="clear" w:pos="5965"/>
        </w:tabs>
        <w:spacing w:before="120" w:beforeLines="50" w:after="120" w:afterLines="50" w:line="360" w:lineRule="auto"/>
        <w:ind w:left="720"/>
        <w:rPr>
          <w:sz w:val="28"/>
          <w:szCs w:val="28"/>
        </w:rPr>
      </w:pPr>
      <w:r>
        <w:rPr>
          <w:rFonts w:hint="eastAsia"/>
        </w:rPr>
        <w:t>合同的授予与备案</w:t>
      </w:r>
    </w:p>
    <w:p w:rsidR="007900F6">
      <w:pPr>
        <w:spacing w:line="360" w:lineRule="auto"/>
        <w:rPr>
          <w:rFonts w:ascii="黑体" w:eastAsia="黑体" w:hAnsi="宋体"/>
          <w:sz w:val="24"/>
        </w:rPr>
      </w:pPr>
      <w:bookmarkStart w:id="14" w:name="_Toc73521674"/>
      <w:bookmarkStart w:id="15" w:name="_Toc73517679"/>
      <w:bookmarkStart w:id="16" w:name="_Toc100052408"/>
      <w:bookmarkStart w:id="17" w:name="_Toc73518157"/>
      <w:bookmarkStart w:id="18" w:name="_Toc73521586"/>
      <w:r>
        <w:rPr>
          <w:rFonts w:ascii="黑体" w:eastAsia="黑体" w:hAnsi="宋体" w:hint="eastAsia"/>
          <w:sz w:val="24"/>
        </w:rPr>
        <w:t>43．合同授予标准</w:t>
      </w:r>
      <w:bookmarkEnd w:id="14"/>
      <w:bookmarkEnd w:id="15"/>
      <w:bookmarkEnd w:id="16"/>
      <w:bookmarkEnd w:id="17"/>
      <w:bookmarkEnd w:id="18"/>
    </w:p>
    <w:p w:rsidR="007900F6" w:rsidP="007900F6">
      <w:pPr>
        <w:spacing w:line="360" w:lineRule="auto"/>
        <w:ind w:firstLine="470" w:firstLineChars="196"/>
        <w:rPr>
          <w:rFonts w:ascii="宋体" w:hAnsi="宋体"/>
          <w:szCs w:val="21"/>
        </w:rPr>
      </w:pPr>
      <w:r>
        <w:rPr>
          <w:rFonts w:ascii="宋体" w:hAnsi="宋体" w:hint="eastAsia"/>
          <w:szCs w:val="21"/>
        </w:rPr>
        <w:t>本项目的合同将授予按本招标文件规定评审确定的中标人。</w:t>
      </w:r>
    </w:p>
    <w:p w:rsidR="007900F6">
      <w:pPr>
        <w:spacing w:line="360" w:lineRule="auto"/>
        <w:rPr>
          <w:rFonts w:ascii="黑体" w:eastAsia="黑体" w:hAnsi="宋体"/>
          <w:sz w:val="24"/>
        </w:rPr>
      </w:pPr>
      <w:bookmarkStart w:id="19" w:name="_Toc73517680"/>
      <w:bookmarkStart w:id="20" w:name="_Toc73518158"/>
      <w:bookmarkStart w:id="21" w:name="_Toc73521587"/>
      <w:bookmarkStart w:id="22" w:name="_Toc73521675"/>
      <w:bookmarkStart w:id="23" w:name="_Toc100052409"/>
      <w:r>
        <w:rPr>
          <w:rFonts w:ascii="黑体" w:eastAsia="黑体" w:hAnsi="宋体" w:hint="eastAsia"/>
          <w:sz w:val="24"/>
        </w:rPr>
        <w:t>44．</w:t>
      </w:r>
      <w:bookmarkEnd w:id="19"/>
      <w:bookmarkEnd w:id="20"/>
      <w:bookmarkEnd w:id="21"/>
      <w:bookmarkEnd w:id="22"/>
      <w:bookmarkEnd w:id="23"/>
      <w:r>
        <w:rPr>
          <w:rFonts w:ascii="黑体" w:eastAsia="黑体" w:hAnsi="宋体" w:hint="eastAsia"/>
          <w:sz w:val="24"/>
        </w:rPr>
        <w:t>接受和拒绝任何或所有投标的权力</w:t>
      </w:r>
    </w:p>
    <w:p w:rsidR="007900F6" w:rsidP="007900F6">
      <w:pPr>
        <w:spacing w:line="360" w:lineRule="auto"/>
        <w:ind w:firstLine="470" w:firstLineChars="196"/>
        <w:rPr>
          <w:rFonts w:ascii="宋体" w:hAnsi="宋体"/>
          <w:szCs w:val="21"/>
        </w:rPr>
      </w:pPr>
      <w:r>
        <w:rPr>
          <w:rFonts w:ascii="宋体" w:hAnsi="宋体" w:cs="宋体" w:hint="eastAsia"/>
        </w:rPr>
        <w:t>采购实施机构</w:t>
      </w:r>
      <w:r>
        <w:rPr>
          <w:rFonts w:ascii="宋体" w:hAnsi="宋体" w:hint="eastAsia"/>
          <w:szCs w:val="21"/>
        </w:rPr>
        <w:t>和采购人保留在投标之前任何时候接受或拒绝任何投标或所有投标，以及宣布招标无效的权力，对受影响的投标人不承担任何责任，也无义务向受影响的投标人解释采取这一行动的理由。</w:t>
      </w:r>
    </w:p>
    <w:p w:rsidR="007900F6">
      <w:pPr>
        <w:spacing w:line="360" w:lineRule="auto"/>
        <w:rPr>
          <w:rFonts w:ascii="黑体" w:eastAsia="黑体" w:hAnsi="宋体"/>
          <w:sz w:val="24"/>
        </w:rPr>
      </w:pPr>
      <w:bookmarkStart w:id="24" w:name="_Toc73517682"/>
      <w:bookmarkStart w:id="25" w:name="_Toc100052410"/>
      <w:bookmarkStart w:id="26" w:name="_Toc73521589"/>
      <w:bookmarkStart w:id="27" w:name="_Toc73518160"/>
      <w:bookmarkStart w:id="28" w:name="_Toc73521677"/>
      <w:r>
        <w:rPr>
          <w:rFonts w:ascii="黑体" w:eastAsia="黑体" w:hAnsi="宋体" w:hint="eastAsia"/>
          <w:sz w:val="24"/>
        </w:rPr>
        <w:t>45．合同协议书的签订</w:t>
      </w:r>
      <w:bookmarkEnd w:id="24"/>
      <w:bookmarkEnd w:id="25"/>
      <w:bookmarkEnd w:id="26"/>
      <w:bookmarkEnd w:id="27"/>
      <w:bookmarkEnd w:id="28"/>
    </w:p>
    <w:p w:rsidR="007900F6" w:rsidP="007900F6">
      <w:pPr>
        <w:spacing w:line="360" w:lineRule="auto"/>
        <w:ind w:firstLine="470" w:firstLineChars="196"/>
        <w:rPr>
          <w:rFonts w:ascii="宋体" w:hAnsi="宋体"/>
          <w:szCs w:val="21"/>
        </w:rPr>
      </w:pPr>
      <w:r>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rsidR="007900F6" w:rsidP="007900F6">
      <w:pPr>
        <w:spacing w:line="360" w:lineRule="auto"/>
        <w:ind w:firstLine="470" w:firstLineChars="196"/>
        <w:rPr>
          <w:rFonts w:ascii="宋体" w:hAnsi="宋体"/>
          <w:szCs w:val="21"/>
        </w:rPr>
      </w:pPr>
      <w:r>
        <w:rPr>
          <w:rFonts w:ascii="宋体" w:hAnsi="宋体" w:hint="eastAsia"/>
          <w:szCs w:val="21"/>
        </w:rPr>
        <w:t>45.2中标人如不按本通用条款第45</w:t>
      </w:r>
      <w:r>
        <w:rPr>
          <w:rFonts w:ascii="宋体" w:hAnsi="宋体"/>
          <w:szCs w:val="21"/>
        </w:rPr>
        <w:t>.1</w:t>
      </w:r>
      <w:r>
        <w:rPr>
          <w:rFonts w:ascii="宋体" w:hAnsi="宋体" w:hint="eastAsia"/>
          <w:szCs w:val="21"/>
        </w:rPr>
        <w:t>款的规定与采购人签订合同，</w:t>
      </w:r>
      <w:r>
        <w:rPr>
          <w:rFonts w:ascii="宋体" w:hAnsi="宋体" w:cs="宋体"/>
          <w:kern w:val="0"/>
          <w:szCs w:val="21"/>
        </w:rPr>
        <w:t>情节严重的，并由主管部门记入供应商诚信档案，予以通报</w:t>
      </w:r>
      <w:r>
        <w:rPr>
          <w:rFonts w:ascii="宋体" w:hAnsi="宋体" w:hint="eastAsia"/>
          <w:szCs w:val="21"/>
        </w:rPr>
        <w:t>；</w:t>
      </w:r>
    </w:p>
    <w:p w:rsidR="007900F6" w:rsidP="007900F6">
      <w:pPr>
        <w:spacing w:line="360" w:lineRule="auto"/>
        <w:ind w:firstLine="470" w:firstLineChars="196"/>
        <w:rPr>
          <w:rFonts w:ascii="宋体" w:hAnsi="宋体"/>
          <w:szCs w:val="21"/>
        </w:rPr>
      </w:pPr>
      <w:r>
        <w:rPr>
          <w:rFonts w:ascii="宋体" w:hAnsi="宋体" w:hint="eastAsia"/>
          <w:szCs w:val="21"/>
        </w:rPr>
        <w:t>45.3中标人应当按照合同约定履行义务，完成中标项目，不得将中标项目转让（转包）给他人。</w:t>
      </w:r>
    </w:p>
    <w:p w:rsidR="007900F6">
      <w:pPr>
        <w:spacing w:line="360" w:lineRule="auto"/>
        <w:rPr>
          <w:rFonts w:ascii="黑体" w:eastAsia="黑体" w:hAnsi="宋体"/>
          <w:sz w:val="24"/>
        </w:rPr>
      </w:pPr>
      <w:bookmarkStart w:id="29" w:name="_Toc73517683"/>
      <w:bookmarkStart w:id="30" w:name="_Toc73521590"/>
      <w:bookmarkStart w:id="31" w:name="_Toc73521678"/>
      <w:bookmarkStart w:id="32" w:name="_Toc73518161"/>
      <w:bookmarkStart w:id="33" w:name="_Toc100052411"/>
      <w:r>
        <w:rPr>
          <w:rFonts w:ascii="黑体" w:eastAsia="黑体" w:hAnsi="宋体" w:hint="eastAsia"/>
          <w:sz w:val="24"/>
        </w:rPr>
        <w:t>46．履约担保</w:t>
      </w:r>
      <w:bookmarkEnd w:id="29"/>
      <w:bookmarkEnd w:id="30"/>
      <w:bookmarkEnd w:id="31"/>
      <w:bookmarkEnd w:id="32"/>
      <w:bookmarkEnd w:id="33"/>
    </w:p>
    <w:p w:rsidR="007900F6" w:rsidP="007900F6">
      <w:pPr>
        <w:spacing w:line="360" w:lineRule="auto"/>
        <w:ind w:firstLine="470" w:firstLineChars="196"/>
        <w:rPr>
          <w:rFonts w:ascii="宋体" w:hAnsi="宋体"/>
          <w:szCs w:val="21"/>
        </w:rPr>
      </w:pPr>
      <w:r>
        <w:rPr>
          <w:rFonts w:ascii="宋体" w:hAnsi="宋体" w:hint="eastAsia"/>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7900F6" w:rsidP="007900F6">
      <w:pPr>
        <w:spacing w:line="360" w:lineRule="auto"/>
        <w:ind w:firstLine="470" w:firstLineChars="196"/>
        <w:rPr>
          <w:rFonts w:ascii="宋体" w:hAnsi="宋体"/>
          <w:szCs w:val="21"/>
        </w:rPr>
      </w:pPr>
      <w:r>
        <w:rPr>
          <w:rFonts w:ascii="宋体" w:hAnsi="宋体" w:hint="eastAsia"/>
          <w:szCs w:val="21"/>
        </w:rPr>
        <w:t>46.2如果中标人不能按“对通用条款的补充内容”中规定的金额向采购人提交履约保证金，采购人将有充分的理由通过政府采购监督管理部门废除中标，给采购人造成的损失应当予以赔偿；</w:t>
      </w:r>
    </w:p>
    <w:p w:rsidR="007900F6" w:rsidP="007900F6">
      <w:pPr>
        <w:spacing w:line="360" w:lineRule="auto"/>
        <w:ind w:firstLine="470" w:firstLineChars="196"/>
        <w:rPr>
          <w:rFonts w:ascii="宋体" w:hAnsi="宋体"/>
          <w:szCs w:val="21"/>
        </w:rPr>
      </w:pPr>
      <w:r>
        <w:rPr>
          <w:rFonts w:ascii="宋体" w:hAnsi="宋体" w:hint="eastAsia"/>
          <w:szCs w:val="21"/>
        </w:rPr>
        <w:t>46</w:t>
      </w:r>
      <w:r>
        <w:rPr>
          <w:rFonts w:ascii="宋体" w:hAnsi="宋体"/>
          <w:szCs w:val="21"/>
        </w:rPr>
        <w:t>.</w:t>
      </w:r>
      <w:r>
        <w:rPr>
          <w:rFonts w:ascii="宋体" w:hAnsi="宋体" w:hint="eastAsia"/>
          <w:szCs w:val="21"/>
        </w:rPr>
        <w:t>3项目服务期满之后,经验收合格后，采购人在七日内办理解除履约担保手续。</w:t>
      </w:r>
    </w:p>
    <w:p w:rsidR="007900F6">
      <w:pPr>
        <w:spacing w:line="360" w:lineRule="auto"/>
        <w:rPr>
          <w:rFonts w:ascii="黑体" w:eastAsia="黑体" w:hAnsi="宋体"/>
          <w:sz w:val="24"/>
        </w:rPr>
      </w:pPr>
      <w:r>
        <w:rPr>
          <w:rFonts w:ascii="黑体" w:eastAsia="黑体" w:hAnsi="宋体" w:hint="eastAsia"/>
          <w:sz w:val="24"/>
        </w:rPr>
        <w:t>47. 合同的备案</w:t>
      </w:r>
    </w:p>
    <w:p w:rsidR="007900F6" w:rsidP="007900F6">
      <w:pPr>
        <w:spacing w:line="360" w:lineRule="auto"/>
        <w:ind w:firstLine="470" w:firstLineChars="196"/>
        <w:rPr>
          <w:rFonts w:ascii="宋体" w:hAnsi="宋体"/>
          <w:szCs w:val="21"/>
        </w:rPr>
      </w:pPr>
      <w:r>
        <w:rPr>
          <w:rFonts w:ascii="宋体" w:hAnsi="宋体" w:hint="eastAsia"/>
          <w:szCs w:val="21"/>
        </w:rPr>
        <w:t>采购人与中标人应于合同签订之日起十日内，由采购人或委托中标人将采购合同副本抄送政府集中采购机构备案。</w:t>
      </w:r>
    </w:p>
    <w:p w:rsidR="007900F6">
      <w:pPr>
        <w:spacing w:line="360" w:lineRule="auto"/>
        <w:rPr>
          <w:rFonts w:ascii="黑体" w:eastAsia="黑体" w:hAnsi="宋体"/>
          <w:sz w:val="24"/>
        </w:rPr>
      </w:pPr>
      <w:r>
        <w:rPr>
          <w:rFonts w:ascii="黑体" w:eastAsia="黑体" w:hAnsi="宋体" w:hint="eastAsia"/>
          <w:sz w:val="24"/>
        </w:rPr>
        <w:t>48. 合同的变更</w:t>
      </w:r>
    </w:p>
    <w:p w:rsidR="007900F6" w:rsidP="007900F6">
      <w:pPr>
        <w:spacing w:line="360" w:lineRule="auto"/>
        <w:ind w:firstLine="470" w:firstLineChars="196"/>
        <w:rPr>
          <w:rFonts w:ascii="宋体" w:hAnsi="宋体"/>
          <w:szCs w:val="21"/>
        </w:rPr>
      </w:pPr>
      <w:r>
        <w:rPr>
          <w:rFonts w:ascii="宋体" w:hAnsi="宋体" w:hint="eastAsia"/>
          <w:szCs w:val="21"/>
        </w:rPr>
        <w:t>合同变更事宜按《深圳市财政局 深圳市政府采购中心关于进一步加强市本级政府采购合同备案管理工作的通知》（深财购〔2019〕43号）相关规定执行。</w:t>
      </w:r>
    </w:p>
    <w:p w:rsidR="007900F6">
      <w:pPr>
        <w:spacing w:line="360" w:lineRule="auto"/>
        <w:rPr>
          <w:rFonts w:ascii="黑体" w:eastAsia="黑体" w:hAnsi="宋体"/>
          <w:sz w:val="24"/>
        </w:rPr>
      </w:pPr>
      <w:r>
        <w:rPr>
          <w:rFonts w:ascii="黑体" w:eastAsia="黑体" w:hAnsi="宋体" w:hint="eastAsia"/>
          <w:sz w:val="24"/>
        </w:rPr>
        <w:t>49. 履约抽检及情况的反馈</w:t>
      </w:r>
    </w:p>
    <w:p w:rsidR="007900F6">
      <w:pPr>
        <w:widowControl/>
        <w:spacing w:line="360" w:lineRule="auto"/>
        <w:ind w:right="176" w:firstLine="420"/>
        <w:jc w:val="left"/>
        <w:rPr>
          <w:rFonts w:ascii="宋体" w:hAnsi="宋体"/>
        </w:rPr>
      </w:pPr>
      <w:r>
        <w:rPr>
          <w:rFonts w:ascii="宋体" w:hAnsi="宋体" w:hint="eastAsia"/>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7900F6">
      <w:pPr>
        <w:widowControl/>
        <w:spacing w:line="360" w:lineRule="auto"/>
        <w:ind w:right="176" w:firstLine="420"/>
        <w:jc w:val="left"/>
        <w:rPr>
          <w:rFonts w:ascii="宋体" w:hAnsi="宋体"/>
        </w:rPr>
      </w:pPr>
      <w:r>
        <w:rPr>
          <w:rFonts w:ascii="宋体" w:hAnsi="宋体" w:hint="eastAsia"/>
        </w:rPr>
        <w:t>49.2</w:t>
      </w:r>
      <w:r>
        <w:rPr>
          <w:rFonts w:ascii="宋体" w:hAnsi="宋体"/>
        </w:rPr>
        <w:t>采购人和供应商应当在采购合同履行完毕三十日之内将政府采购合同履行情况和相关政府采购建议等反馈至政府集中采购机构。</w:t>
      </w:r>
    </w:p>
    <w:p w:rsidR="007900F6">
      <w:pPr>
        <w:spacing w:line="360" w:lineRule="auto"/>
        <w:rPr>
          <w:rFonts w:ascii="黑体" w:eastAsia="黑体" w:hAnsi="宋体"/>
          <w:sz w:val="24"/>
        </w:rPr>
      </w:pPr>
      <w:r>
        <w:rPr>
          <w:rFonts w:ascii="黑体" w:eastAsia="黑体" w:hAnsi="宋体" w:hint="eastAsia"/>
          <w:sz w:val="24"/>
        </w:rPr>
        <w:t>50. 宣传</w:t>
      </w:r>
    </w:p>
    <w:p w:rsidR="007900F6" w:rsidP="007900F6">
      <w:pPr>
        <w:spacing w:line="360" w:lineRule="auto"/>
        <w:ind w:left="240" w:firstLine="470" w:leftChars="100" w:firstLineChars="196"/>
        <w:rPr>
          <w:rFonts w:ascii="宋体" w:hAnsi="宋体"/>
        </w:rPr>
      </w:pPr>
      <w:r>
        <w:rPr>
          <w:rFonts w:ascii="宋体" w:hAnsi="宋体" w:hint="eastAsia"/>
        </w:rPr>
        <w:t>凡与政府采购活动有关的宣传或广告，若当中提及政府采购，</w:t>
      </w:r>
      <w:r>
        <w:rPr>
          <w:rFonts w:ascii="宋体" w:hAnsi="宋体"/>
        </w:rPr>
        <w:t>必须事先将具体对外宣传方案报市财政委和政府集中采购机构，并征得其同意。对外市场宣传包括但不限于以下形式：</w:t>
      </w:r>
    </w:p>
    <w:p w:rsidR="007900F6" w:rsidP="007900F6">
      <w:pPr>
        <w:spacing w:line="360" w:lineRule="auto"/>
        <w:ind w:left="240" w:firstLine="470" w:leftChars="100" w:firstLineChars="196"/>
        <w:rPr>
          <w:rFonts w:ascii="宋体" w:hAnsi="宋体"/>
        </w:rPr>
      </w:pPr>
      <w:r>
        <w:rPr>
          <w:rFonts w:ascii="宋体" w:hAnsi="宋体"/>
        </w:rPr>
        <w:t>a.名片、宣传册、广告标语等；</w:t>
      </w:r>
    </w:p>
    <w:p w:rsidR="007900F6" w:rsidP="007900F6">
      <w:pPr>
        <w:spacing w:line="360" w:lineRule="auto"/>
        <w:ind w:left="240" w:firstLine="470" w:leftChars="100" w:firstLineChars="196"/>
        <w:rPr>
          <w:rFonts w:ascii="宋体" w:hAnsi="宋体"/>
        </w:rPr>
      </w:pPr>
      <w:r>
        <w:rPr>
          <w:rFonts w:ascii="宋体" w:hAnsi="宋体"/>
        </w:rPr>
        <w:t>b.案例介绍、推广等；</w:t>
      </w:r>
    </w:p>
    <w:p w:rsidR="007900F6" w:rsidP="007900F6">
      <w:pPr>
        <w:spacing w:line="360" w:lineRule="auto"/>
        <w:ind w:left="240" w:firstLine="470" w:leftChars="100" w:firstLineChars="196"/>
        <w:rPr>
          <w:rFonts w:ascii="宋体" w:hAnsi="宋体"/>
        </w:rPr>
      </w:pPr>
      <w:r>
        <w:rPr>
          <w:rFonts w:ascii="宋体" w:hAnsi="宋体" w:hint="eastAsia"/>
        </w:rPr>
        <w:t>c.工作</w:t>
      </w:r>
      <w:r>
        <w:rPr>
          <w:rFonts w:ascii="宋体" w:hAnsi="宋体"/>
        </w:rPr>
        <w:t>人员向其他消费群体宣传。</w:t>
      </w:r>
    </w:p>
    <w:p w:rsidR="007900F6">
      <w:pPr>
        <w:spacing w:line="360" w:lineRule="auto"/>
        <w:rPr>
          <w:rFonts w:ascii="黑体" w:eastAsia="黑体" w:hAnsi="宋体"/>
          <w:sz w:val="24"/>
        </w:rPr>
      </w:pPr>
      <w:r>
        <w:rPr>
          <w:rFonts w:ascii="黑体" w:eastAsia="黑体" w:hAnsi="宋体" w:hint="eastAsia"/>
          <w:sz w:val="24"/>
        </w:rPr>
        <w:t>51. 供应商违法责任</w:t>
      </w:r>
    </w:p>
    <w:p w:rsidR="007900F6" w:rsidP="007900F6">
      <w:pPr>
        <w:spacing w:line="360" w:lineRule="auto"/>
        <w:ind w:firstLine="470" w:firstLineChars="196"/>
        <w:rPr>
          <w:rFonts w:ascii="宋体" w:hAnsi="宋体"/>
          <w:szCs w:val="21"/>
        </w:rPr>
      </w:pPr>
      <w:r>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7900F6" w:rsidP="007900F6">
      <w:pPr>
        <w:spacing w:line="360" w:lineRule="auto"/>
        <w:ind w:firstLine="470" w:firstLineChars="196"/>
        <w:rPr>
          <w:rFonts w:ascii="宋体" w:hAnsi="宋体"/>
          <w:szCs w:val="21"/>
        </w:rPr>
      </w:pPr>
      <w:r>
        <w:rPr>
          <w:rFonts w:ascii="宋体" w:hAnsi="宋体" w:hint="eastAsia"/>
          <w:szCs w:val="21"/>
        </w:rPr>
        <w:t>（1）在采购活动中应当回避而未回避的；</w:t>
      </w:r>
    </w:p>
    <w:p w:rsidR="007900F6" w:rsidP="007900F6">
      <w:pPr>
        <w:spacing w:line="360" w:lineRule="auto"/>
        <w:ind w:firstLine="470" w:firstLineChars="196"/>
        <w:rPr>
          <w:rFonts w:ascii="宋体" w:hAnsi="宋体"/>
          <w:szCs w:val="21"/>
        </w:rPr>
      </w:pPr>
      <w:r>
        <w:rPr>
          <w:rFonts w:ascii="宋体" w:hAnsi="宋体" w:hint="eastAsia"/>
          <w:szCs w:val="21"/>
        </w:rPr>
        <w:t>（2）未按本条例规定签订、履行采购合同，造成严重后果的；</w:t>
      </w:r>
    </w:p>
    <w:p w:rsidR="007900F6" w:rsidP="007900F6">
      <w:pPr>
        <w:spacing w:line="360" w:lineRule="auto"/>
        <w:ind w:firstLine="470" w:firstLineChars="196"/>
        <w:rPr>
          <w:rFonts w:ascii="宋体" w:hAnsi="宋体"/>
          <w:szCs w:val="21"/>
        </w:rPr>
      </w:pPr>
      <w:r>
        <w:rPr>
          <w:rFonts w:ascii="宋体" w:hAnsi="宋体" w:hint="eastAsia"/>
          <w:szCs w:val="21"/>
        </w:rPr>
        <w:t>（3）隐瞒真实情况，提供虚假资料的；</w:t>
      </w:r>
    </w:p>
    <w:p w:rsidR="007900F6" w:rsidP="007900F6">
      <w:pPr>
        <w:spacing w:line="360" w:lineRule="auto"/>
        <w:ind w:firstLine="470" w:firstLineChars="196"/>
        <w:rPr>
          <w:rFonts w:ascii="宋体" w:hAnsi="宋体"/>
          <w:szCs w:val="21"/>
        </w:rPr>
      </w:pPr>
      <w:r>
        <w:rPr>
          <w:rFonts w:ascii="宋体" w:hAnsi="宋体" w:hint="eastAsia"/>
          <w:szCs w:val="21"/>
        </w:rPr>
        <w:t>（4）以非法手段排斥其他供应商参与竞争的；</w:t>
      </w:r>
    </w:p>
    <w:p w:rsidR="007900F6" w:rsidP="007900F6">
      <w:pPr>
        <w:spacing w:line="360" w:lineRule="auto"/>
        <w:ind w:firstLine="470" w:firstLineChars="196"/>
        <w:rPr>
          <w:rFonts w:ascii="宋体" w:hAnsi="宋体"/>
          <w:szCs w:val="21"/>
        </w:rPr>
      </w:pPr>
      <w:r>
        <w:rPr>
          <w:rFonts w:ascii="宋体" w:hAnsi="宋体" w:hint="eastAsia"/>
          <w:szCs w:val="21"/>
        </w:rPr>
        <w:t>（5）与其他采购参加人串通投标的；</w:t>
      </w:r>
    </w:p>
    <w:p w:rsidR="007900F6" w:rsidP="007900F6">
      <w:pPr>
        <w:spacing w:line="360" w:lineRule="auto"/>
        <w:ind w:firstLine="470" w:firstLineChars="196"/>
        <w:rPr>
          <w:rFonts w:ascii="宋体" w:hAnsi="宋体"/>
          <w:szCs w:val="21"/>
        </w:rPr>
      </w:pPr>
      <w:r>
        <w:rPr>
          <w:rFonts w:ascii="宋体" w:hAnsi="宋体" w:hint="eastAsia"/>
          <w:szCs w:val="21"/>
        </w:rPr>
        <w:t>（6）恶意投诉的；</w:t>
      </w:r>
    </w:p>
    <w:p w:rsidR="007900F6" w:rsidP="007900F6">
      <w:pPr>
        <w:spacing w:line="360" w:lineRule="auto"/>
        <w:ind w:firstLine="470" w:firstLineChars="196"/>
        <w:rPr>
          <w:rFonts w:ascii="宋体" w:hAnsi="宋体"/>
          <w:szCs w:val="21"/>
        </w:rPr>
      </w:pPr>
      <w:r>
        <w:rPr>
          <w:rFonts w:ascii="宋体" w:hAnsi="宋体" w:hint="eastAsia"/>
          <w:szCs w:val="21"/>
        </w:rPr>
        <w:t>（7）向采购项目相关人行贿或者提供其他不当利益的；</w:t>
      </w:r>
    </w:p>
    <w:p w:rsidR="007900F6" w:rsidP="007900F6">
      <w:pPr>
        <w:spacing w:line="360" w:lineRule="auto"/>
        <w:ind w:firstLine="470" w:firstLineChars="196"/>
        <w:rPr>
          <w:rFonts w:ascii="宋体" w:hAnsi="宋体"/>
          <w:szCs w:val="21"/>
        </w:rPr>
      </w:pPr>
      <w:r>
        <w:rPr>
          <w:rFonts w:ascii="宋体" w:hAnsi="宋体" w:hint="eastAsia"/>
          <w:szCs w:val="21"/>
        </w:rPr>
        <w:t>（8）阻碍、抗拒主管部门监督检查的；</w:t>
      </w:r>
    </w:p>
    <w:p w:rsidR="007900F6" w:rsidP="007900F6">
      <w:pPr>
        <w:spacing w:line="360" w:lineRule="auto"/>
        <w:ind w:firstLine="470" w:firstLineChars="196"/>
        <w:rPr>
          <w:rFonts w:ascii="宋体" w:hAnsi="宋体"/>
          <w:szCs w:val="21"/>
        </w:rPr>
      </w:pPr>
      <w:r>
        <w:rPr>
          <w:rFonts w:ascii="宋体" w:hAnsi="宋体" w:hint="eastAsia"/>
          <w:szCs w:val="21"/>
        </w:rPr>
        <w:t>（9）其他违反本条例规定的行为。</w:t>
      </w:r>
    </w:p>
    <w:p w:rsidR="007900F6" w:rsidP="007900F6">
      <w:pPr>
        <w:spacing w:line="360" w:lineRule="auto"/>
        <w:ind w:firstLine="470" w:firstLineChars="196"/>
        <w:rPr>
          <w:rFonts w:ascii="宋体" w:hAnsi="宋体"/>
          <w:szCs w:val="21"/>
        </w:rPr>
      </w:pPr>
    </w:p>
    <w:p w:rsidR="007900F6">
      <w:pPr>
        <w:pStyle w:val="Heading2"/>
        <w:numPr>
          <w:ilvl w:val="0"/>
          <w:numId w:val="89"/>
        </w:numPr>
        <w:tabs>
          <w:tab w:val="left" w:pos="720"/>
          <w:tab w:val="clear" w:pos="5965"/>
        </w:tabs>
        <w:spacing w:before="120" w:beforeLines="50" w:after="120" w:afterLines="50" w:line="360" w:lineRule="auto"/>
        <w:ind w:left="482" w:hanging="482"/>
      </w:pPr>
      <w:r>
        <w:rPr>
          <w:rFonts w:hint="eastAsia"/>
        </w:rPr>
        <w:t>质疑处理</w:t>
      </w:r>
    </w:p>
    <w:p w:rsidR="007900F6">
      <w:pPr>
        <w:spacing w:line="360" w:lineRule="auto"/>
        <w:rPr>
          <w:rFonts w:ascii="黑体" w:eastAsia="黑体" w:hAnsi="宋体"/>
          <w:sz w:val="24"/>
        </w:rPr>
      </w:pPr>
      <w:r>
        <w:rPr>
          <w:rFonts w:ascii="黑体" w:eastAsia="黑体" w:hAnsi="宋体" w:hint="eastAsia"/>
          <w:sz w:val="24"/>
        </w:rPr>
        <w:t>52.质疑提出与答复</w:t>
      </w:r>
    </w:p>
    <w:p w:rsidR="007900F6">
      <w:pPr>
        <w:spacing w:line="360" w:lineRule="auto"/>
        <w:rPr>
          <w:rFonts w:ascii="宋体" w:hAnsi="宋体"/>
          <w:szCs w:val="21"/>
        </w:rPr>
      </w:pPr>
      <w:r>
        <w:rPr>
          <w:rFonts w:ascii="宋体" w:hAnsi="宋体" w:hint="eastAsia"/>
          <w:szCs w:val="21"/>
        </w:rPr>
        <w:t xml:space="preserve">    52.1提出质疑</w:t>
      </w:r>
    </w:p>
    <w:p w:rsidR="007900F6">
      <w:pPr>
        <w:spacing w:line="360" w:lineRule="auto"/>
        <w:rPr>
          <w:rFonts w:ascii="宋体" w:hAnsi="宋体"/>
          <w:szCs w:val="21"/>
        </w:rPr>
      </w:pPr>
      <w:r>
        <w:rPr>
          <w:rFonts w:ascii="宋体" w:hAnsi="宋体" w:hint="eastAsia"/>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7900F6">
      <w:pPr>
        <w:spacing w:line="360" w:lineRule="auto"/>
        <w:rPr>
          <w:rFonts w:ascii="宋体" w:hAnsi="宋体"/>
          <w:szCs w:val="21"/>
        </w:rPr>
      </w:pPr>
      <w:r>
        <w:rPr>
          <w:rFonts w:ascii="宋体" w:hAnsi="宋体" w:hint="eastAsia"/>
          <w:szCs w:val="21"/>
        </w:rPr>
        <w:t xml:space="preserve">    52.2</w:t>
      </w:r>
      <w:r>
        <w:rPr>
          <w:rFonts w:ascii="宋体" w:hAnsi="宋体"/>
          <w:szCs w:val="21"/>
        </w:rPr>
        <w:t>法律依据</w:t>
      </w:r>
    </w:p>
    <w:p w:rsidR="007900F6">
      <w:pPr>
        <w:spacing w:line="360" w:lineRule="auto"/>
        <w:rPr>
          <w:rFonts w:ascii="宋体" w:hAnsi="宋体"/>
          <w:szCs w:val="21"/>
        </w:rPr>
      </w:pPr>
      <w:r>
        <w:rPr>
          <w:rFonts w:ascii="宋体" w:hAnsi="宋体" w:hint="eastAsia"/>
          <w:szCs w:val="21"/>
        </w:rPr>
        <w:t xml:space="preserve">    《中华人民共和国政府采购法》、《中华人民共和国政府采购法实施条例》、</w:t>
      </w:r>
      <w:r>
        <w:rPr>
          <w:rFonts w:ascii="宋体" w:hAnsi="宋体"/>
          <w:szCs w:val="21"/>
        </w:rPr>
        <w:t>《</w:t>
      </w:r>
      <w:r>
        <w:rPr>
          <w:rFonts w:ascii="宋体" w:hAnsi="宋体" w:hint="eastAsia"/>
          <w:szCs w:val="21"/>
        </w:rPr>
        <w:t>深圳经济特区政府采购</w:t>
      </w:r>
      <w:r>
        <w:rPr>
          <w:rFonts w:ascii="宋体" w:hAnsi="宋体"/>
          <w:szCs w:val="21"/>
        </w:rPr>
        <w:t>条例</w:t>
      </w:r>
      <w:r>
        <w:rPr>
          <w:rFonts w:ascii="宋体" w:hAnsi="宋体" w:hint="eastAsia"/>
          <w:szCs w:val="21"/>
        </w:rPr>
        <w:t>》、《深圳经济特区政府采购条例实施细则》、《政府采购质疑和投诉办法》（财政部令第94号）和其他有关法律法规规定。</w:t>
      </w:r>
    </w:p>
    <w:p w:rsidR="007900F6">
      <w:pPr>
        <w:spacing w:line="360" w:lineRule="auto"/>
        <w:rPr>
          <w:rFonts w:ascii="宋体" w:hAnsi="宋体"/>
          <w:szCs w:val="21"/>
        </w:rPr>
      </w:pPr>
      <w:r>
        <w:rPr>
          <w:rFonts w:ascii="宋体" w:hAnsi="宋体" w:hint="eastAsia"/>
          <w:szCs w:val="21"/>
        </w:rPr>
        <w:t xml:space="preserve">    52.3质疑条件</w:t>
      </w:r>
    </w:p>
    <w:p w:rsidR="007900F6">
      <w:pPr>
        <w:spacing w:line="360" w:lineRule="auto"/>
        <w:rPr>
          <w:rFonts w:ascii="宋体" w:hAnsi="宋体"/>
          <w:szCs w:val="21"/>
        </w:rPr>
      </w:pPr>
      <w:r>
        <w:rPr>
          <w:rFonts w:ascii="宋体" w:hAnsi="宋体" w:hint="eastAsia"/>
          <w:szCs w:val="21"/>
        </w:rPr>
        <w:t xml:space="preserve">    52.3.1提出质疑的供应商应当是参与所质疑项目采购活动的供应商；</w:t>
      </w:r>
    </w:p>
    <w:p w:rsidR="007900F6">
      <w:pPr>
        <w:spacing w:line="360" w:lineRule="auto"/>
        <w:textAlignment w:val="center"/>
        <w:rPr>
          <w:rFonts w:ascii="宋体" w:hAnsi="宋体"/>
          <w:szCs w:val="21"/>
        </w:rPr>
      </w:pPr>
      <w:r>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7900F6">
      <w:pPr>
        <w:spacing w:line="360" w:lineRule="auto"/>
        <w:rPr>
          <w:rFonts w:ascii="宋体" w:hAnsi="宋体"/>
          <w:szCs w:val="21"/>
        </w:rPr>
      </w:pPr>
      <w:r>
        <w:rPr>
          <w:rFonts w:ascii="宋体" w:hAnsi="宋体" w:hint="eastAsia"/>
          <w:szCs w:val="21"/>
        </w:rPr>
        <w:t xml:space="preserve">    52.3.3应提交书面质疑函，质疑函应当包括以下内容：（1）具体、明确的质疑事项和与质疑事项相关的请求；（2）合理的事实和依据；（3）必要的证明材料和法律依据。注：质疑函范本可在政府集中采购机构下载。</w:t>
      </w:r>
    </w:p>
    <w:p w:rsidR="007900F6">
      <w:pPr>
        <w:spacing w:line="360" w:lineRule="auto"/>
        <w:rPr>
          <w:rFonts w:ascii="宋体" w:hAnsi="宋体"/>
          <w:szCs w:val="21"/>
        </w:rPr>
      </w:pPr>
      <w:r>
        <w:rPr>
          <w:rFonts w:ascii="宋体" w:hAnsi="宋体" w:hint="eastAsia"/>
          <w:szCs w:val="21"/>
        </w:rPr>
        <w:t xml:space="preserve">    52.4提交</w:t>
      </w:r>
      <w:r>
        <w:rPr>
          <w:rFonts w:ascii="宋体" w:hAnsi="宋体"/>
          <w:szCs w:val="21"/>
        </w:rPr>
        <w:t>材料</w:t>
      </w:r>
    </w:p>
    <w:p w:rsidR="007900F6">
      <w:pPr>
        <w:spacing w:line="360" w:lineRule="auto"/>
        <w:rPr>
          <w:rFonts w:ascii="宋体" w:hAnsi="宋体"/>
          <w:szCs w:val="21"/>
        </w:rPr>
      </w:pPr>
      <w:r>
        <w:rPr>
          <w:rFonts w:ascii="宋体" w:hAnsi="宋体" w:hint="eastAsia"/>
          <w:szCs w:val="21"/>
        </w:rPr>
        <w:t xml:space="preserve">    质疑函、营业执照复印件、法定代表人证明。如委托代理人提交的，还需提交授权委托书及代理人身份证明。</w:t>
      </w:r>
    </w:p>
    <w:p w:rsidR="007900F6">
      <w:pPr>
        <w:spacing w:line="360" w:lineRule="auto"/>
        <w:rPr>
          <w:rFonts w:ascii="宋体" w:hAnsi="宋体"/>
          <w:szCs w:val="21"/>
        </w:rPr>
      </w:pPr>
      <w:r>
        <w:rPr>
          <w:rFonts w:ascii="宋体" w:hAnsi="宋体" w:hint="eastAsia"/>
          <w:szCs w:val="21"/>
        </w:rPr>
        <w:t xml:space="preserve">    52.5收文部门</w:t>
      </w:r>
    </w:p>
    <w:p w:rsidR="007900F6">
      <w:pPr>
        <w:spacing w:line="360" w:lineRule="auto"/>
        <w:rPr>
          <w:rFonts w:ascii="宋体" w:hAnsi="宋体"/>
          <w:szCs w:val="21"/>
        </w:rPr>
      </w:pPr>
      <w:r>
        <w:rPr>
          <w:rFonts w:ascii="宋体" w:hAnsi="宋体" w:hint="eastAsia"/>
          <w:szCs w:val="21"/>
        </w:rPr>
        <w:t xml:space="preserve">    采购实施机构联系电话：0755- 23908094；0755-88916924，地址：深圳市福田区福田街道福安社区民田路178号华融大厦1007、1008。</w:t>
      </w:r>
    </w:p>
    <w:p w:rsidR="007900F6">
      <w:pPr>
        <w:spacing w:line="360" w:lineRule="auto"/>
        <w:rPr>
          <w:rFonts w:ascii="宋体" w:hAnsi="宋体"/>
          <w:szCs w:val="21"/>
        </w:rPr>
      </w:pPr>
      <w:r>
        <w:rPr>
          <w:rFonts w:ascii="宋体" w:hAnsi="宋体" w:hint="eastAsia"/>
          <w:szCs w:val="21"/>
        </w:rPr>
        <w:t xml:space="preserve">    52.6收文办理</w:t>
      </w:r>
      <w:r>
        <w:rPr>
          <w:rFonts w:ascii="宋体" w:hAnsi="宋体"/>
          <w:szCs w:val="21"/>
        </w:rPr>
        <w:t>程序</w:t>
      </w:r>
    </w:p>
    <w:p w:rsidR="007900F6">
      <w:pPr>
        <w:spacing w:line="360" w:lineRule="auto"/>
        <w:rPr>
          <w:rFonts w:ascii="宋体" w:hAnsi="宋体"/>
          <w:szCs w:val="21"/>
        </w:rPr>
      </w:pPr>
      <w:r>
        <w:rPr>
          <w:rFonts w:ascii="宋体" w:hAnsi="宋体" w:hint="eastAsia"/>
          <w:szCs w:val="21"/>
        </w:rPr>
        <w:t xml:space="preserve">    52.6.1供应商提交的质疑材料符合质疑条件的办理收文，出具收文回执；</w:t>
      </w:r>
    </w:p>
    <w:p w:rsidR="007900F6">
      <w:pPr>
        <w:spacing w:line="360" w:lineRule="auto"/>
        <w:rPr>
          <w:rFonts w:ascii="宋体" w:hAnsi="宋体"/>
          <w:szCs w:val="21"/>
        </w:rPr>
      </w:pPr>
      <w:r>
        <w:rPr>
          <w:rFonts w:ascii="宋体" w:hAnsi="宋体" w:hint="eastAsia"/>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7900F6">
      <w:pPr>
        <w:spacing w:line="360" w:lineRule="auto"/>
        <w:rPr>
          <w:rFonts w:ascii="宋体" w:hAnsi="宋体"/>
          <w:szCs w:val="21"/>
        </w:rPr>
      </w:pPr>
      <w:r>
        <w:rPr>
          <w:rFonts w:ascii="宋体" w:hAnsi="宋体" w:hint="eastAsia"/>
          <w:szCs w:val="21"/>
        </w:rPr>
        <w:t xml:space="preserve">    52.7质疑答复时限</w:t>
      </w:r>
    </w:p>
    <w:p w:rsidR="007900F6">
      <w:pPr>
        <w:spacing w:line="360" w:lineRule="auto"/>
        <w:rPr>
          <w:rFonts w:ascii="宋体" w:hAnsi="宋体"/>
          <w:szCs w:val="21"/>
        </w:rPr>
      </w:pPr>
      <w:r>
        <w:rPr>
          <w:rFonts w:ascii="宋体" w:hAnsi="宋体" w:hint="eastAsia"/>
          <w:szCs w:val="21"/>
        </w:rPr>
        <w:t xml:space="preserve">    自收文之日起七个工作日内。</w:t>
      </w:r>
    </w:p>
    <w:p w:rsidR="007900F6">
      <w:pPr>
        <w:spacing w:line="360" w:lineRule="auto"/>
        <w:rPr>
          <w:rFonts w:ascii="宋体" w:hAnsi="宋体"/>
          <w:szCs w:val="21"/>
        </w:rPr>
      </w:pPr>
      <w:r>
        <w:rPr>
          <w:rFonts w:ascii="宋体" w:hAnsi="宋体" w:hint="eastAsia"/>
          <w:szCs w:val="21"/>
        </w:rPr>
        <w:t xml:space="preserve">    52.8投诉</w:t>
      </w:r>
    </w:p>
    <w:p w:rsidR="007900F6">
      <w:pPr>
        <w:spacing w:line="360" w:lineRule="auto"/>
        <w:rPr>
          <w:rFonts w:ascii="宋体" w:hAnsi="宋体"/>
          <w:szCs w:val="21"/>
        </w:rPr>
      </w:pPr>
      <w:r>
        <w:rPr>
          <w:rFonts w:ascii="宋体" w:hAnsi="宋体" w:hint="eastAsia"/>
          <w:szCs w:val="21"/>
        </w:rPr>
        <w:t xml:space="preserve">    对质疑答复不满意或者未在规定时间内答复的，提出质疑的供应商可以在答复期满后15个工作日内向深圳市财政局投诉。</w:t>
      </w:r>
    </w:p>
    <w:p w:rsidR="007900F6">
      <w:pPr>
        <w:spacing w:line="360" w:lineRule="auto"/>
        <w:rPr>
          <w:rFonts w:ascii="黑体" w:eastAsia="黑体" w:hAnsi="宋体"/>
          <w:sz w:val="24"/>
        </w:rPr>
      </w:pPr>
      <w:r>
        <w:rPr>
          <w:rFonts w:ascii="黑体" w:eastAsia="黑体" w:hAnsi="宋体" w:hint="eastAsia"/>
          <w:sz w:val="24"/>
        </w:rPr>
        <w:t>53. 质疑后续处理</w:t>
      </w:r>
    </w:p>
    <w:p w:rsidR="007900F6">
      <w:pPr>
        <w:spacing w:line="360" w:lineRule="auto"/>
        <w:rPr>
          <w:rFonts w:ascii="宋体" w:hAnsi="宋体"/>
          <w:szCs w:val="21"/>
        </w:rPr>
      </w:pPr>
      <w:r>
        <w:rPr>
          <w:rFonts w:ascii="宋体" w:hAnsi="宋体" w:hint="eastAsia"/>
          <w:szCs w:val="21"/>
        </w:rPr>
        <w:t xml:space="preserve">    53.1供应商质疑不成立，或者成立但未对中标、成交结果构成影响的，继续开展采购活动。</w:t>
      </w:r>
    </w:p>
    <w:p w:rsidR="007900F6">
      <w:pPr>
        <w:spacing w:line="360" w:lineRule="auto"/>
        <w:rPr>
          <w:rFonts w:ascii="宋体" w:hAnsi="宋体"/>
          <w:szCs w:val="21"/>
        </w:rPr>
      </w:pPr>
      <w:r>
        <w:rPr>
          <w:rFonts w:ascii="宋体" w:hAnsi="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7900F6">
      <w:pPr>
        <w:spacing w:line="360" w:lineRule="auto"/>
      </w:pPr>
    </w:p>
    <w:p w:rsidR="007900F6">
      <w:pPr>
        <w:pStyle w:val="Heading2"/>
      </w:pPr>
      <w:r>
        <w:br w:type="page"/>
        <w:t>第十二章</w:t>
      </w:r>
      <w:r>
        <w:rPr>
          <w:rFonts w:hint="eastAsia"/>
        </w:rPr>
        <w:t xml:space="preserve">  附件</w:t>
      </w:r>
    </w:p>
    <w:p w:rsidR="007900F6">
      <w:pPr>
        <w:spacing w:line="360" w:lineRule="auto"/>
        <w:ind w:left="480" w:hanging="480" w:hangingChars="200"/>
        <w:rPr>
          <w:rFonts w:ascii="黑体" w:eastAsia="黑体" w:hAnsi="宋体"/>
          <w:sz w:val="24"/>
        </w:rPr>
      </w:pPr>
      <w:r>
        <w:rPr>
          <w:rFonts w:ascii="黑体" w:eastAsia="黑体" w:hAnsi="宋体" w:hint="eastAsia"/>
          <w:sz w:val="24"/>
        </w:rPr>
        <w:t>53. 财政部、工业和信息化部《关于印发〈政府采购促进中小企业发展管理办法〉的通知》（财库〔2020〕46号）</w:t>
      </w:r>
    </w:p>
    <w:p w:rsidR="007900F6">
      <w:pPr>
        <w:spacing w:line="360" w:lineRule="auto"/>
        <w:rPr>
          <w:rFonts w:ascii="黑体" w:eastAsia="黑体" w:hAnsi="宋体"/>
          <w:sz w:val="24"/>
        </w:rPr>
      </w:pPr>
    </w:p>
    <w:p w:rsidR="007900F6">
      <w:pPr>
        <w:spacing w:line="360" w:lineRule="auto"/>
        <w:jc w:val="center"/>
        <w:rPr>
          <w:rFonts w:ascii="黑体" w:eastAsia="黑体" w:hAnsi="宋体"/>
          <w:sz w:val="24"/>
        </w:rPr>
      </w:pPr>
      <w:r>
        <w:rPr>
          <w:rFonts w:ascii="黑体" w:eastAsia="黑体" w:hAnsi="宋体" w:hint="eastAsia"/>
          <w:sz w:val="24"/>
        </w:rPr>
        <w:t>关于印发《政府采购促进中小企业发展管理办法》的通知</w:t>
      </w:r>
    </w:p>
    <w:p w:rsidR="007900F6">
      <w:pPr>
        <w:spacing w:line="360" w:lineRule="auto"/>
        <w:jc w:val="center"/>
        <w:rPr>
          <w:rFonts w:ascii="黑体" w:eastAsia="黑体" w:hAnsi="宋体"/>
          <w:sz w:val="24"/>
        </w:rPr>
      </w:pPr>
      <w:r>
        <w:rPr>
          <w:rFonts w:ascii="黑体" w:eastAsia="黑体" w:hAnsi="宋体" w:hint="eastAsia"/>
          <w:sz w:val="24"/>
        </w:rPr>
        <w:t>（财库〔2020〕46号）</w:t>
      </w:r>
    </w:p>
    <w:p w:rsidR="007900F6">
      <w:pPr>
        <w:spacing w:line="360" w:lineRule="auto"/>
        <w:ind w:firstLine="480" w:firstLineChars="200"/>
        <w:rPr>
          <w:rFonts w:ascii="宋体" w:hAnsi="宋体"/>
          <w:szCs w:val="21"/>
        </w:rPr>
      </w:pPr>
      <w:r>
        <w:rPr>
          <w:rFonts w:ascii="宋体" w:hAnsi="宋体" w:hint="eastAsia"/>
          <w:szCs w:val="21"/>
        </w:rPr>
        <w:t>各中央预算单位办公厅（室），各省、自治区、直辖市、计划单列市财政厅（局）、工业和信息化主管部门，新疆生产建设兵团财政局、工业和信息化主管部门：</w:t>
      </w:r>
    </w:p>
    <w:p w:rsidR="007900F6">
      <w:pPr>
        <w:spacing w:line="360" w:lineRule="auto"/>
        <w:ind w:firstLine="480" w:firstLineChars="200"/>
        <w:rPr>
          <w:rFonts w:ascii="宋体" w:hAnsi="宋体"/>
          <w:szCs w:val="21"/>
        </w:rPr>
      </w:pPr>
      <w:r>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7900F6">
      <w:pPr>
        <w:spacing w:line="360" w:lineRule="auto"/>
        <w:ind w:firstLine="480" w:firstLineChars="200"/>
        <w:rPr>
          <w:rFonts w:ascii="宋体" w:hAnsi="宋体"/>
          <w:szCs w:val="21"/>
        </w:rPr>
      </w:pPr>
      <w:r>
        <w:rPr>
          <w:rFonts w:ascii="宋体" w:hAnsi="宋体" w:hint="eastAsia"/>
          <w:szCs w:val="21"/>
        </w:rPr>
        <w:t>附件：政府采购促进中小企业发展管理办法</w:t>
      </w:r>
    </w:p>
    <w:p w:rsidR="007900F6">
      <w:pPr>
        <w:spacing w:line="360" w:lineRule="auto"/>
        <w:ind w:firstLine="480" w:firstLineChars="200"/>
        <w:jc w:val="right"/>
        <w:rPr>
          <w:rFonts w:ascii="宋体" w:hAnsi="宋体"/>
          <w:szCs w:val="21"/>
        </w:rPr>
      </w:pPr>
      <w:r>
        <w:rPr>
          <w:rFonts w:ascii="宋体" w:hAnsi="宋体" w:hint="eastAsia"/>
          <w:szCs w:val="21"/>
        </w:rPr>
        <w:t>财政部</w:t>
        <w:br/>
        <w:t>工业和信息化部</w:t>
        <w:br/>
        <w:t>2020年12月18日</w:t>
      </w:r>
    </w:p>
    <w:p w:rsidR="007900F6">
      <w:pPr>
        <w:spacing w:line="360" w:lineRule="auto"/>
        <w:ind w:firstLine="480" w:firstLineChars="200"/>
        <w:jc w:val="right"/>
        <w:rPr>
          <w:rFonts w:ascii="宋体" w:hAnsi="宋体"/>
          <w:szCs w:val="21"/>
        </w:rPr>
      </w:pPr>
    </w:p>
    <w:p w:rsidR="007900F6">
      <w:pPr>
        <w:spacing w:line="360" w:lineRule="auto"/>
        <w:ind w:firstLine="480" w:firstLineChars="200"/>
        <w:jc w:val="right"/>
        <w:rPr>
          <w:rFonts w:ascii="宋体" w:hAnsi="宋体"/>
          <w:szCs w:val="21"/>
        </w:rPr>
      </w:pPr>
    </w:p>
    <w:p w:rsidR="007900F6">
      <w:pPr>
        <w:spacing w:line="360" w:lineRule="auto"/>
        <w:ind w:firstLine="480" w:firstLineChars="200"/>
        <w:jc w:val="right"/>
        <w:rPr>
          <w:rFonts w:ascii="宋体" w:hAnsi="宋体"/>
          <w:szCs w:val="21"/>
        </w:rPr>
      </w:pPr>
    </w:p>
    <w:p w:rsidR="007900F6">
      <w:pPr>
        <w:spacing w:line="360" w:lineRule="auto"/>
        <w:ind w:firstLine="480" w:firstLineChars="200"/>
        <w:jc w:val="right"/>
        <w:rPr>
          <w:rFonts w:ascii="宋体" w:hAnsi="宋体"/>
          <w:szCs w:val="21"/>
        </w:rPr>
      </w:pPr>
    </w:p>
    <w:p w:rsidR="007900F6">
      <w:pPr>
        <w:spacing w:line="360" w:lineRule="auto"/>
        <w:jc w:val="center"/>
        <w:rPr>
          <w:rFonts w:ascii="黑体" w:eastAsia="黑体" w:hAnsi="宋体"/>
          <w:sz w:val="24"/>
          <w:szCs w:val="20"/>
        </w:rPr>
      </w:pPr>
      <w:r>
        <w:rPr>
          <w:rFonts w:ascii="黑体" w:eastAsia="黑体" w:hAnsi="宋体" w:hint="eastAsia"/>
          <w:sz w:val="24"/>
          <w:szCs w:val="20"/>
        </w:rPr>
        <w:t>深圳市财政局关于进一步优化政府采购营商环境的通知</w:t>
      </w:r>
    </w:p>
    <w:p w:rsidR="007900F6">
      <w:pPr>
        <w:spacing w:line="360" w:lineRule="auto"/>
        <w:jc w:val="center"/>
        <w:rPr>
          <w:rFonts w:ascii="黑体" w:eastAsia="黑体" w:hAnsi="宋体"/>
          <w:sz w:val="24"/>
          <w:szCs w:val="20"/>
        </w:rPr>
      </w:pPr>
      <w:r>
        <w:rPr>
          <w:rFonts w:ascii="黑体" w:eastAsia="黑体" w:hAnsi="宋体" w:hint="eastAsia"/>
          <w:sz w:val="24"/>
          <w:szCs w:val="20"/>
        </w:rPr>
        <w:t>（深财购〔2021〕31号）</w:t>
      </w:r>
    </w:p>
    <w:p w:rsidR="007900F6">
      <w:pPr>
        <w:spacing w:line="360" w:lineRule="auto"/>
        <w:ind w:firstLine="480" w:firstLineChars="200"/>
        <w:rPr>
          <w:rFonts w:ascii="宋体" w:hAnsi="宋体"/>
          <w:szCs w:val="21"/>
        </w:rPr>
      </w:pPr>
      <w:r>
        <w:rPr>
          <w:rFonts w:ascii="宋体" w:hAnsi="宋体" w:hint="eastAsia"/>
          <w:szCs w:val="21"/>
        </w:rPr>
        <w:t>采购人要在预算绩效目标中嵌入采购政策目标，将落实采购政策作为绩效评价的重要考量因素；完善预留支出比例、需求标准管理等采购政策落实机制，通过明确对供应商资格、技术、服务、安全、质量、履约条件等的具体要求，体现政府采购对创新、绿色、中小企业等相关领域的支持。严格落实《政府采购促进中小企业发展管理办法》（财库〔2020〕46号，以下简称“《管理办法》”），完善和细化预留份额、价格扣除等政策措施，加大对中小企业的支持力度。对于符合《管理办法》规定的小型、微型企业或者大中小企业联合体（小微企业的合同份额须达到《管理办法》规定的下限）的报价，按照相关规定的顶格标准扣除，用扣除后的价格参加评审。</w:t>
      </w:r>
    </w:p>
    <w:p w:rsidR="007900F6">
      <w:pPr>
        <w:spacing w:after="120"/>
        <w:jc w:val="right"/>
        <w:rPr>
          <w:kern w:val="0"/>
          <w:sz w:val="20"/>
          <w:szCs w:val="20"/>
        </w:rPr>
      </w:pPr>
      <w:r>
        <w:rPr>
          <w:rFonts w:hint="eastAsia"/>
          <w:kern w:val="0"/>
          <w:sz w:val="20"/>
          <w:szCs w:val="20"/>
        </w:rPr>
        <w:t>深圳市财政局</w:t>
        <w:cr/>
        <w:t>2021年7月29日</w:t>
      </w:r>
    </w:p>
    <w:p w:rsidR="007900F6">
      <w:pPr>
        <w:widowControl/>
        <w:shd w:val="clear" w:color="auto" w:fill="FFFFFF"/>
        <w:ind w:firstLine="480"/>
        <w:jc w:val="right"/>
        <w:rPr>
          <w:rFonts w:ascii="宋体" w:hAnsi="宋体" w:cs="宋体"/>
          <w:color w:val="333333"/>
          <w:kern w:val="0"/>
          <w:sz w:val="24"/>
        </w:rPr>
      </w:pPr>
    </w:p>
    <w:p w:rsidR="007900F6">
      <w:pPr>
        <w:spacing w:line="360" w:lineRule="auto"/>
        <w:jc w:val="center"/>
        <w:rPr>
          <w:rFonts w:ascii="黑体" w:eastAsia="黑体" w:hAnsi="宋体"/>
          <w:sz w:val="24"/>
        </w:rPr>
      </w:pPr>
      <w:r>
        <w:rPr>
          <w:rFonts w:ascii="黑体" w:eastAsia="黑体" w:hAnsi="宋体" w:hint="eastAsia"/>
          <w:sz w:val="24"/>
        </w:rPr>
        <w:t>政府采购促进中小企业发展管理办法</w:t>
      </w:r>
    </w:p>
    <w:p w:rsidR="007900F6">
      <w:pPr>
        <w:spacing w:line="360" w:lineRule="auto"/>
        <w:ind w:firstLine="480" w:firstLineChars="200"/>
        <w:rPr>
          <w:rFonts w:ascii="宋体" w:hAnsi="宋体"/>
          <w:szCs w:val="21"/>
        </w:rPr>
      </w:pPr>
      <w:r>
        <w:rPr>
          <w:rFonts w:ascii="宋体" w:hAnsi="宋体"/>
          <w:szCs w:val="21"/>
        </w:rPr>
        <w:t>第一条 为了发挥政府采购的政策功能，促进中小企业健康发展，根据《中华人民共和国政府采购法》、《</w:t>
      </w:r>
      <w:r>
        <w:fldChar w:fldCharType="begin"/>
      </w:r>
      <w:r>
        <w:instrText xml:space="preserve"> HYPERLINK "https://baike.baidu.com/item/%E4%B8%AD%E5%8D%8E%E4%BA%BA%E6%B0%91%E5%85%B1%E5%92%8C%E5%9B%BD%E4%B8%AD%E5%B0%8F%E4%BC%81%E4%B8%9A%E4%BF%83%E8%BF%9B%E6%B3%95/7954532" \t "_blank" </w:instrText>
      </w:r>
      <w:r>
        <w:fldChar w:fldCharType="separate"/>
      </w:r>
      <w:r>
        <w:rPr>
          <w:rFonts w:ascii="宋体" w:hAnsi="宋体"/>
          <w:szCs w:val="21"/>
        </w:rPr>
        <w:t>中华人民共和国中小企业促进法</w:t>
      </w:r>
      <w:r>
        <w:rPr>
          <w:rFonts w:ascii="宋体" w:hAnsi="宋体"/>
          <w:szCs w:val="21"/>
        </w:rPr>
        <w:fldChar w:fldCharType="end"/>
      </w:r>
      <w:r>
        <w:rPr>
          <w:rFonts w:ascii="宋体" w:hAnsi="宋体"/>
          <w:szCs w:val="21"/>
        </w:rPr>
        <w:t>》等有关法律法规，制定本办法。</w:t>
      </w:r>
    </w:p>
    <w:p w:rsidR="007900F6">
      <w:pPr>
        <w:spacing w:line="360" w:lineRule="auto"/>
        <w:ind w:firstLine="480" w:firstLineChars="200"/>
        <w:rPr>
          <w:rFonts w:ascii="宋体" w:hAnsi="宋体"/>
          <w:szCs w:val="21"/>
        </w:rPr>
      </w:pPr>
      <w:r>
        <w:rPr>
          <w:rFonts w:ascii="宋体" w:hAnsi="宋体"/>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7900F6">
      <w:pPr>
        <w:spacing w:line="360" w:lineRule="auto"/>
        <w:ind w:firstLine="480" w:firstLineChars="200"/>
        <w:rPr>
          <w:rFonts w:ascii="宋体" w:hAnsi="宋体"/>
          <w:szCs w:val="21"/>
        </w:rPr>
      </w:pPr>
      <w:r>
        <w:rPr>
          <w:rFonts w:ascii="宋体" w:hAnsi="宋体"/>
          <w:szCs w:val="21"/>
        </w:rPr>
        <w:t>第三条 采购人在政府采购活动中应当通过加强采购需求管理，落实预留采购份额、价格评审优惠、优先采购等措施，提高中小企业在政府采购中的份额，支持中小企业发展。</w:t>
      </w:r>
    </w:p>
    <w:p w:rsidR="007900F6">
      <w:pPr>
        <w:spacing w:line="360" w:lineRule="auto"/>
        <w:ind w:firstLine="480" w:firstLineChars="200"/>
        <w:rPr>
          <w:rFonts w:ascii="宋体" w:hAnsi="宋体"/>
          <w:szCs w:val="21"/>
        </w:rPr>
      </w:pPr>
      <w:r>
        <w:rPr>
          <w:rFonts w:ascii="宋体" w:hAnsi="宋体"/>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w:t>
      </w:r>
    </w:p>
    <w:p w:rsidR="007900F6">
      <w:pPr>
        <w:spacing w:line="360" w:lineRule="auto"/>
        <w:ind w:firstLine="480" w:firstLineChars="200"/>
        <w:rPr>
          <w:rFonts w:ascii="宋体" w:hAnsi="宋体"/>
          <w:szCs w:val="21"/>
        </w:rPr>
      </w:pPr>
      <w:r>
        <w:rPr>
          <w:rFonts w:ascii="宋体" w:hAnsi="宋体"/>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7900F6">
      <w:pPr>
        <w:spacing w:line="360" w:lineRule="auto"/>
        <w:ind w:firstLine="480" w:firstLineChars="200"/>
        <w:rPr>
          <w:rFonts w:ascii="宋体" w:hAnsi="宋体"/>
          <w:szCs w:val="21"/>
        </w:rPr>
      </w:pPr>
      <w:r>
        <w:rPr>
          <w:rFonts w:ascii="宋体" w:hAnsi="宋体"/>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7900F6">
      <w:pPr>
        <w:spacing w:line="360" w:lineRule="auto"/>
        <w:ind w:firstLine="480" w:firstLineChars="200"/>
        <w:rPr>
          <w:rFonts w:ascii="宋体" w:hAnsi="宋体"/>
          <w:szCs w:val="21"/>
        </w:rPr>
      </w:pPr>
      <w:r>
        <w:rPr>
          <w:rFonts w:ascii="宋体" w:hAnsi="宋体"/>
          <w:szCs w:val="21"/>
        </w:rPr>
        <w:t>第七条 采购限额标准以上，200 万元以下的货物和服务采购项目、400 万元以下的工程采购项目，适宜由中小企业提供的，采购人应当专门面向中小企业采购。</w:t>
      </w:r>
    </w:p>
    <w:p w:rsidR="007900F6">
      <w:pPr>
        <w:spacing w:line="360" w:lineRule="auto"/>
        <w:ind w:firstLine="480" w:firstLineChars="200"/>
        <w:rPr>
          <w:rFonts w:ascii="宋体" w:hAnsi="宋体"/>
          <w:szCs w:val="21"/>
        </w:rPr>
      </w:pPr>
      <w:r>
        <w:rPr>
          <w:rFonts w:ascii="宋体" w:hAnsi="宋体"/>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7900F6">
      <w:pPr>
        <w:spacing w:line="360" w:lineRule="auto"/>
        <w:ind w:firstLine="480" w:firstLineChars="200"/>
        <w:rPr>
          <w:rFonts w:ascii="宋体" w:hAnsi="宋体"/>
          <w:szCs w:val="21"/>
        </w:rPr>
      </w:pPr>
      <w:r>
        <w:rPr>
          <w:rFonts w:ascii="宋体" w:hAnsi="宋体"/>
          <w:szCs w:val="21"/>
        </w:rPr>
        <w:t>第九条 对于经主管预算单位统筹后未预留份额专门面向中小企业采购的采购项目，以及预留份额项目中的非预留部分采购包，采购人、采购代理机构应当对符合本办法规定的小微企业报价给予 6%</w:t>
      </w:r>
      <w:r>
        <w:rPr>
          <w:rFonts w:ascii="宋体" w:hAnsi="宋体" w:hint="eastAsia"/>
          <w:szCs w:val="21"/>
        </w:rPr>
        <w:t>～</w:t>
      </w:r>
      <w:r>
        <w:rPr>
          <w:rFonts w:ascii="宋体" w:hAnsi="宋体"/>
          <w:szCs w:val="21"/>
        </w:rPr>
        <w:t>10%（工程项目为 3%</w:t>
      </w:r>
      <w:r>
        <w:rPr>
          <w:rFonts w:ascii="宋体" w:hAnsi="宋体" w:hint="eastAsia"/>
          <w:szCs w:val="21"/>
        </w:rPr>
        <w:t>～</w:t>
      </w:r>
      <w:r>
        <w:rPr>
          <w:rFonts w:ascii="宋体" w:hAnsi="宋体"/>
          <w:szCs w:val="21"/>
        </w:rPr>
        <w:t>5%）的扣除，用扣除后的价格参加评审。适用招标投标法的政府采购工程建设项目，采用综合评估法但未采用低价优先法计算价格分的，评标时应当在采用原报价进行评分的基础上增加其价格得分的 3%</w:t>
      </w:r>
      <w:r>
        <w:rPr>
          <w:rFonts w:ascii="宋体" w:hAnsi="宋体" w:hint="eastAsia"/>
          <w:szCs w:val="21"/>
        </w:rPr>
        <w:t>～</w:t>
      </w:r>
      <w:r>
        <w:rPr>
          <w:rFonts w:ascii="宋体" w:hAnsi="宋体"/>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2%</w:t>
      </w:r>
      <w:r>
        <w:rPr>
          <w:rFonts w:ascii="宋体" w:hAnsi="宋体" w:hint="eastAsia"/>
          <w:szCs w:val="21"/>
        </w:rPr>
        <w:t>～</w:t>
      </w:r>
      <w:r>
        <w:rPr>
          <w:rFonts w:ascii="宋体" w:hAnsi="宋体"/>
          <w:szCs w:val="21"/>
        </w:rPr>
        <w:t>3%（工程项目为 1%</w:t>
      </w:r>
      <w:r>
        <w:rPr>
          <w:rFonts w:ascii="宋体" w:hAnsi="宋体" w:hint="eastAsia"/>
          <w:szCs w:val="21"/>
        </w:rPr>
        <w:t>～</w:t>
      </w:r>
      <w:r>
        <w:rPr>
          <w:rFonts w:ascii="宋体" w:hAnsi="宋体"/>
          <w:szCs w:val="21"/>
        </w:rPr>
        <w:t>2%）的扣除，用扣除后的价格参加评审。适用招标投标法的政府采购工程建设项目，采用综合评估法但未采用低价优先法计算价格分的，评标时应当在采用原报价进行评分的基础上增加其价格得分的 1%</w:t>
      </w:r>
      <w:r>
        <w:rPr>
          <w:rFonts w:ascii="宋体" w:hAnsi="宋体" w:hint="eastAsia"/>
          <w:szCs w:val="21"/>
        </w:rPr>
        <w:t>～</w:t>
      </w:r>
      <w:r>
        <w:rPr>
          <w:rFonts w:ascii="宋体" w:hAnsi="宋体"/>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7900F6">
      <w:pPr>
        <w:spacing w:line="360" w:lineRule="auto"/>
        <w:ind w:firstLine="480" w:firstLineChars="200"/>
        <w:rPr>
          <w:rFonts w:ascii="宋体" w:hAnsi="宋体"/>
          <w:szCs w:val="21"/>
        </w:rPr>
      </w:pPr>
      <w:r>
        <w:rPr>
          <w:rFonts w:ascii="宋体" w:hAnsi="宋体"/>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7900F6">
      <w:pPr>
        <w:spacing w:line="360" w:lineRule="auto"/>
        <w:ind w:firstLine="480" w:firstLineChars="200"/>
        <w:rPr>
          <w:rFonts w:ascii="宋体" w:hAnsi="宋体"/>
          <w:szCs w:val="21"/>
        </w:rPr>
      </w:pPr>
      <w:r>
        <w:rPr>
          <w:rFonts w:ascii="宋体" w:hAnsi="宋体"/>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7900F6">
      <w:pPr>
        <w:spacing w:line="360" w:lineRule="auto"/>
        <w:ind w:firstLine="480" w:firstLineChars="200"/>
        <w:rPr>
          <w:rFonts w:ascii="宋体" w:hAnsi="宋体"/>
          <w:szCs w:val="21"/>
        </w:rPr>
      </w:pPr>
      <w:r>
        <w:rPr>
          <w:rFonts w:ascii="宋体" w:hAnsi="宋体"/>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7900F6">
      <w:pPr>
        <w:spacing w:line="360" w:lineRule="auto"/>
        <w:ind w:firstLine="480" w:firstLineChars="200"/>
        <w:rPr>
          <w:rFonts w:ascii="宋体" w:hAnsi="宋体"/>
          <w:szCs w:val="21"/>
        </w:rPr>
      </w:pPr>
      <w:r>
        <w:rPr>
          <w:rFonts w:ascii="宋体" w:hAnsi="宋体"/>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7900F6">
      <w:pPr>
        <w:spacing w:line="360" w:lineRule="auto"/>
        <w:ind w:firstLine="480" w:firstLineChars="200"/>
        <w:rPr>
          <w:rFonts w:ascii="宋体" w:hAnsi="宋体"/>
          <w:szCs w:val="21"/>
        </w:rPr>
      </w:pPr>
      <w:r>
        <w:rPr>
          <w:rFonts w:ascii="宋体" w:hAnsi="宋体"/>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7900F6">
      <w:pPr>
        <w:spacing w:line="360" w:lineRule="auto"/>
        <w:ind w:firstLine="480" w:firstLineChars="200"/>
        <w:rPr>
          <w:rFonts w:ascii="宋体" w:hAnsi="宋体"/>
          <w:szCs w:val="21"/>
        </w:rPr>
      </w:pPr>
      <w:r>
        <w:rPr>
          <w:rFonts w:ascii="宋体" w:hAnsi="宋体"/>
          <w:szCs w:val="21"/>
        </w:rPr>
        <w:t>第十五条 鼓励各地区、各部门在采购活动中允许中小企业引入信用担保手段，为中小企业在投标（响应）保证、履约保证等方面提供专业化服务。鼓励中小企业依法合规通过政府采购合同融资。</w:t>
      </w:r>
    </w:p>
    <w:p w:rsidR="007900F6">
      <w:pPr>
        <w:spacing w:line="360" w:lineRule="auto"/>
        <w:ind w:firstLine="480" w:firstLineChars="200"/>
        <w:rPr>
          <w:rFonts w:ascii="宋体" w:hAnsi="宋体"/>
          <w:szCs w:val="21"/>
        </w:rPr>
      </w:pPr>
      <w:r>
        <w:rPr>
          <w:rFonts w:ascii="宋体" w:hAnsi="宋体"/>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7900F6">
      <w:pPr>
        <w:spacing w:line="360" w:lineRule="auto"/>
        <w:ind w:firstLine="480" w:firstLineChars="200"/>
        <w:rPr>
          <w:rFonts w:ascii="宋体" w:hAnsi="宋体"/>
          <w:szCs w:val="21"/>
        </w:rPr>
      </w:pPr>
      <w:r>
        <w:rPr>
          <w:rFonts w:ascii="宋体" w:hAnsi="宋体"/>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7900F6">
      <w:pPr>
        <w:spacing w:line="360" w:lineRule="auto"/>
        <w:ind w:firstLine="480" w:firstLineChars="200"/>
        <w:rPr>
          <w:rFonts w:ascii="宋体" w:hAnsi="宋体"/>
          <w:szCs w:val="21"/>
        </w:rPr>
      </w:pPr>
      <w:r>
        <w:rPr>
          <w:rFonts w:ascii="宋体" w:hAnsi="宋体"/>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7900F6">
      <w:pPr>
        <w:spacing w:line="360" w:lineRule="auto"/>
        <w:ind w:firstLine="480" w:firstLineChars="200"/>
        <w:rPr>
          <w:rFonts w:ascii="宋体" w:hAnsi="宋体"/>
          <w:szCs w:val="21"/>
        </w:rPr>
      </w:pPr>
      <w:r>
        <w:rPr>
          <w:rFonts w:ascii="宋体" w:hAnsi="宋体"/>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7900F6">
      <w:pPr>
        <w:spacing w:line="360" w:lineRule="auto"/>
        <w:ind w:firstLine="480" w:firstLineChars="200"/>
        <w:rPr>
          <w:rFonts w:ascii="宋体" w:hAnsi="宋体"/>
          <w:szCs w:val="21"/>
        </w:rPr>
      </w:pPr>
      <w:r>
        <w:rPr>
          <w:rFonts w:ascii="宋体" w:hAnsi="宋体"/>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7900F6">
      <w:pPr>
        <w:spacing w:line="360" w:lineRule="auto"/>
        <w:ind w:firstLine="480" w:firstLineChars="200"/>
        <w:rPr>
          <w:rFonts w:ascii="宋体" w:hAnsi="宋体"/>
          <w:szCs w:val="21"/>
        </w:rPr>
      </w:pPr>
      <w:r>
        <w:rPr>
          <w:rFonts w:ascii="宋体" w:hAnsi="宋体"/>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7900F6">
      <w:pPr>
        <w:spacing w:line="360" w:lineRule="auto"/>
        <w:ind w:firstLine="480" w:firstLineChars="200"/>
        <w:rPr>
          <w:rFonts w:ascii="宋体" w:hAnsi="宋体"/>
          <w:szCs w:val="21"/>
        </w:rPr>
      </w:pPr>
      <w:r>
        <w:rPr>
          <w:rFonts w:ascii="宋体" w:hAnsi="宋体"/>
          <w:szCs w:val="21"/>
        </w:rPr>
        <w:t>第二十二条 对外援助项目、国家相关资格或者资质管理制度另有规定的项目，不适用本办法。</w:t>
      </w:r>
    </w:p>
    <w:p w:rsidR="007900F6">
      <w:pPr>
        <w:spacing w:line="360" w:lineRule="auto"/>
        <w:ind w:firstLine="480" w:firstLineChars="200"/>
        <w:rPr>
          <w:rFonts w:ascii="宋体" w:hAnsi="宋体"/>
          <w:szCs w:val="21"/>
        </w:rPr>
      </w:pPr>
      <w:r>
        <w:rPr>
          <w:rFonts w:ascii="宋体" w:hAnsi="宋体"/>
          <w:szCs w:val="21"/>
        </w:rPr>
        <w:t>第二十三条 关于视同中小企业的其他主体的政府采购扶持政策，由财政部会同有关部门另行规定。</w:t>
      </w:r>
    </w:p>
    <w:p w:rsidR="007900F6">
      <w:pPr>
        <w:spacing w:line="360" w:lineRule="auto"/>
        <w:ind w:firstLine="480" w:firstLineChars="200"/>
        <w:rPr>
          <w:rFonts w:ascii="宋体" w:hAnsi="宋体"/>
          <w:szCs w:val="21"/>
        </w:rPr>
      </w:pPr>
      <w:r>
        <w:rPr>
          <w:rFonts w:ascii="宋体" w:hAnsi="宋体"/>
          <w:szCs w:val="21"/>
        </w:rPr>
        <w:t>第二十四条 省级财政部门可以会同中小企业主管部门根据本办法的规定制定具体实施办法。</w:t>
      </w:r>
    </w:p>
    <w:p w:rsidR="007900F6">
      <w:pPr>
        <w:spacing w:line="360" w:lineRule="auto"/>
        <w:ind w:firstLine="480" w:firstLineChars="200"/>
        <w:rPr>
          <w:rFonts w:ascii="宋体" w:hAnsi="宋体"/>
          <w:szCs w:val="21"/>
        </w:rPr>
      </w:pPr>
      <w:r>
        <w:rPr>
          <w:rFonts w:ascii="宋体" w:hAnsi="宋体"/>
          <w:szCs w:val="21"/>
        </w:rPr>
        <w:t>第二十五条 本办法自 2021 年 1 月 1 日起施行。《财政部 工业和信息化部关于印发〈政府采购促进中小企业发展暂行办法〉的通知》（财库﹝2011﹞181 号）同时废止。</w:t>
      </w:r>
    </w:p>
    <w:p w:rsidR="007900F6">
      <w:pPr>
        <w:spacing w:line="360" w:lineRule="auto"/>
        <w:ind w:left="348" w:hanging="348" w:hangingChars="145"/>
        <w:rPr>
          <w:rFonts w:ascii="黑体" w:eastAsia="黑体" w:hAnsi="宋体"/>
          <w:sz w:val="24"/>
        </w:rPr>
      </w:pPr>
      <w:r>
        <w:rPr>
          <w:rFonts w:ascii="黑体" w:eastAsia="黑体" w:hAnsi="宋体" w:hint="eastAsia"/>
          <w:sz w:val="24"/>
        </w:rPr>
        <w:t>附件1</w:t>
      </w:r>
    </w:p>
    <w:p w:rsidR="007900F6">
      <w:pPr>
        <w:spacing w:line="360" w:lineRule="auto"/>
        <w:ind w:left="348" w:hanging="348" w:hangingChars="145"/>
        <w:jc w:val="center"/>
        <w:rPr>
          <w:rFonts w:ascii="黑体" w:eastAsia="黑体" w:hAnsi="宋体"/>
          <w:sz w:val="24"/>
        </w:rPr>
      </w:pPr>
      <w:r>
        <w:rPr>
          <w:rFonts w:ascii="黑体" w:eastAsia="黑体" w:hAnsi="宋体"/>
          <w:sz w:val="24"/>
        </w:rPr>
        <w:t>中小企业声明函（货物）</w:t>
      </w:r>
    </w:p>
    <w:p w:rsidR="007900F6">
      <w:pPr>
        <w:spacing w:line="360" w:lineRule="auto"/>
        <w:ind w:firstLine="480" w:firstLineChars="20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采购活动，提供的货物全部由符合政策要求的中小企业制造。相关企业（含联合体中的中小企业、签订分包意向协议的中小企业）的具体情况如下：</w:t>
      </w:r>
    </w:p>
    <w:p w:rsidR="007900F6">
      <w:pPr>
        <w:spacing w:line="360" w:lineRule="auto"/>
        <w:ind w:firstLine="480" w:firstLineChars="200"/>
        <w:rPr>
          <w:rFonts w:ascii="宋体" w:hAnsi="宋体"/>
          <w:szCs w:val="21"/>
        </w:rPr>
      </w:pPr>
      <w:r>
        <w:rPr>
          <w:rFonts w:ascii="宋体" w:hAnsi="宋体"/>
          <w:szCs w:val="21"/>
        </w:rPr>
        <w:t>1.</w:t>
      </w:r>
      <w:r>
        <w:rPr>
          <w:rFonts w:ascii="宋体" w:hAnsi="宋体" w:hint="eastAsia"/>
          <w:szCs w:val="21"/>
        </w:rPr>
        <w:t xml:space="preserve"> </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w:t>
      </w:r>
      <w:r>
        <w:rPr>
          <w:rFonts w:ascii="宋体" w:hAnsi="宋体" w:hint="eastAsia"/>
          <w:szCs w:val="21"/>
          <w:u w:val="single"/>
        </w:rPr>
        <w:t xml:space="preserve">    </w:t>
      </w:r>
      <w:r>
        <w:rPr>
          <w:rFonts w:ascii="宋体" w:hAnsi="宋体"/>
          <w:szCs w:val="21"/>
        </w:rPr>
        <w:t>人，营业收入为</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万元，资产总额为</w:t>
      </w:r>
      <w:r>
        <w:rPr>
          <w:rFonts w:ascii="宋体" w:hAnsi="宋体" w:hint="eastAsia"/>
          <w:szCs w:val="21"/>
          <w:u w:val="single"/>
        </w:rPr>
        <w:t xml:space="preserve">    </w:t>
      </w:r>
      <w:r>
        <w:rPr>
          <w:rFonts w:ascii="宋体" w:hAnsi="宋体"/>
          <w:szCs w:val="21"/>
        </w:rPr>
        <w:t>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7900F6">
      <w:pPr>
        <w:spacing w:line="360" w:lineRule="auto"/>
        <w:ind w:firstLine="480" w:firstLineChars="20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 xml:space="preserve"> </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w:t>
      </w:r>
      <w:r>
        <w:rPr>
          <w:rFonts w:ascii="宋体" w:hAnsi="宋体" w:hint="eastAsia"/>
          <w:szCs w:val="21"/>
          <w:u w:val="single"/>
        </w:rPr>
        <w:t xml:space="preserve">    </w:t>
      </w:r>
      <w:r>
        <w:rPr>
          <w:rFonts w:ascii="宋体" w:hAnsi="宋体"/>
          <w:szCs w:val="21"/>
        </w:rPr>
        <w:t>人，营业收入为</w:t>
      </w:r>
      <w:r>
        <w:rPr>
          <w:rFonts w:ascii="宋体" w:hAnsi="宋体" w:hint="eastAsia"/>
          <w:szCs w:val="21"/>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万元，资产总额为</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7900F6">
      <w:pPr>
        <w:spacing w:line="360" w:lineRule="auto"/>
        <w:ind w:firstLine="480" w:firstLineChars="200"/>
        <w:rPr>
          <w:rFonts w:ascii="宋体" w:hAnsi="宋体"/>
          <w:szCs w:val="21"/>
        </w:rPr>
      </w:pPr>
      <w:r>
        <w:rPr>
          <w:rFonts w:ascii="宋体" w:hAnsi="宋体"/>
          <w:szCs w:val="21"/>
        </w:rPr>
        <w:t>……</w:t>
      </w:r>
    </w:p>
    <w:p w:rsidR="007900F6">
      <w:pPr>
        <w:spacing w:line="360" w:lineRule="auto"/>
        <w:ind w:firstLine="480" w:firstLineChars="20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7900F6">
      <w:pPr>
        <w:spacing w:line="360" w:lineRule="auto"/>
        <w:ind w:firstLine="480" w:firstLineChars="200"/>
        <w:rPr>
          <w:rFonts w:ascii="宋体" w:hAnsi="宋体"/>
          <w:szCs w:val="21"/>
        </w:rPr>
      </w:pPr>
      <w:r>
        <w:rPr>
          <w:rFonts w:ascii="宋体" w:hAnsi="宋体"/>
          <w:szCs w:val="21"/>
        </w:rPr>
        <w:t>本企业对上述声明内容的真实性负责。如有虚假，将依法承担相应责任。</w:t>
      </w:r>
    </w:p>
    <w:p w:rsidR="007900F6">
      <w:pPr>
        <w:spacing w:line="360" w:lineRule="auto"/>
        <w:ind w:firstLine="480" w:firstLineChars="200"/>
        <w:rPr>
          <w:rFonts w:ascii="宋体" w:hAnsi="宋体"/>
          <w:szCs w:val="21"/>
        </w:rPr>
      </w:pPr>
    </w:p>
    <w:p w:rsidR="007900F6">
      <w:pPr>
        <w:spacing w:line="360" w:lineRule="auto"/>
        <w:ind w:firstLine="480" w:firstLineChars="200"/>
        <w:rPr>
          <w:rFonts w:ascii="宋体" w:hAnsi="宋体"/>
          <w:szCs w:val="21"/>
        </w:rPr>
      </w:pPr>
      <w:r>
        <w:rPr>
          <w:rFonts w:ascii="宋体" w:hAnsi="宋体"/>
          <w:szCs w:val="21"/>
        </w:rPr>
        <w:t>企业名称</w:t>
      </w:r>
      <w:r>
        <w:rPr>
          <w:rFonts w:ascii="宋体" w:hAnsi="宋体" w:hint="eastAsia"/>
          <w:szCs w:val="21"/>
        </w:rPr>
        <w:t>（盖章）：</w:t>
      </w:r>
    </w:p>
    <w:p w:rsidR="007900F6">
      <w:pPr>
        <w:spacing w:line="360" w:lineRule="auto"/>
        <w:ind w:firstLine="480" w:firstLineChars="200"/>
        <w:rPr>
          <w:rFonts w:ascii="宋体" w:hAnsi="宋体"/>
          <w:szCs w:val="21"/>
        </w:rPr>
      </w:pPr>
      <w:r>
        <w:rPr>
          <w:rFonts w:ascii="宋体" w:hAnsi="宋体" w:hint="eastAsia"/>
          <w:szCs w:val="21"/>
        </w:rPr>
        <w:t>日期：</w:t>
      </w:r>
    </w:p>
    <w:p w:rsidR="007900F6">
      <w:pPr>
        <w:spacing w:line="360" w:lineRule="auto"/>
        <w:ind w:firstLine="480" w:firstLineChars="200"/>
        <w:rPr>
          <w:rFonts w:ascii="宋体" w:hAnsi="宋体" w:cs="宋体"/>
          <w:color w:val="000000"/>
          <w:sz w:val="18"/>
          <w:szCs w:val="22"/>
        </w:rPr>
      </w:pPr>
      <w:r>
        <w:rPr>
          <w:rFonts w:ascii="宋体" w:hAnsi="宋体" w:cs="宋体" w:hint="eastAsia"/>
          <w:color w:val="000000"/>
          <w:sz w:val="18"/>
          <w:szCs w:val="22"/>
        </w:rPr>
        <w:t>1</w:t>
      </w:r>
      <w:r>
        <w:rPr>
          <w:rFonts w:ascii="宋体" w:hAnsi="宋体"/>
          <w:szCs w:val="21"/>
        </w:rPr>
        <w:t>.</w:t>
      </w:r>
      <w:r>
        <w:rPr>
          <w:rFonts w:ascii="宋体" w:hAnsi="宋体" w:cs="宋体"/>
          <w:color w:val="000000"/>
          <w:sz w:val="18"/>
          <w:szCs w:val="22"/>
        </w:rPr>
        <w:t>从业人员、营业收入、资产总额填报上一年度数据，无上一年度数据的新成立企业可不填报。</w:t>
      </w:r>
    </w:p>
    <w:p w:rsidR="007900F6">
      <w:pPr>
        <w:spacing w:line="360" w:lineRule="auto"/>
        <w:ind w:firstLine="480" w:firstLineChars="200"/>
        <w:rPr>
          <w:rFonts w:ascii="宋体" w:hAnsi="宋体" w:cs="宋体"/>
          <w:color w:val="000000"/>
          <w:sz w:val="18"/>
          <w:szCs w:val="22"/>
        </w:rPr>
      </w:pPr>
    </w:p>
    <w:p w:rsidR="007900F6">
      <w:pPr>
        <w:spacing w:line="360" w:lineRule="auto"/>
        <w:ind w:left="348" w:hanging="348" w:hangingChars="145"/>
        <w:jc w:val="center"/>
        <w:rPr>
          <w:rFonts w:ascii="黑体" w:eastAsia="黑体" w:hAnsi="宋体"/>
          <w:sz w:val="24"/>
        </w:rPr>
      </w:pPr>
      <w:r>
        <w:rPr>
          <w:rFonts w:ascii="黑体" w:eastAsia="黑体" w:hAnsi="宋体"/>
          <w:sz w:val="24"/>
        </w:rPr>
        <w:t>中小企业声明函（</w:t>
      </w:r>
      <w:r>
        <w:rPr>
          <w:rFonts w:ascii="黑体" w:eastAsia="黑体" w:hAnsi="宋体" w:hint="eastAsia"/>
          <w:sz w:val="24"/>
        </w:rPr>
        <w:t>工程、</w:t>
      </w:r>
      <w:r>
        <w:rPr>
          <w:rFonts w:ascii="黑体" w:eastAsia="黑体" w:hAnsi="宋体"/>
          <w:sz w:val="24"/>
        </w:rPr>
        <w:t>服务）</w:t>
      </w:r>
    </w:p>
    <w:p w:rsidR="007900F6">
      <w:pPr>
        <w:spacing w:line="360" w:lineRule="auto"/>
        <w:ind w:firstLine="480" w:firstLineChars="20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w:t>
      </w:r>
      <w:r>
        <w:rPr>
          <w:rFonts w:ascii="宋体" w:hAnsi="宋体" w:hint="eastAsia"/>
          <w:szCs w:val="21"/>
        </w:rPr>
        <w:t>工程</w:t>
      </w:r>
      <w:r>
        <w:rPr>
          <w:rFonts w:ascii="宋体" w:hAnsi="宋体"/>
          <w:szCs w:val="21"/>
        </w:rPr>
        <w:t>的施工单位全部为符合政策要求的中小企业</w:t>
      </w:r>
      <w:r>
        <w:rPr>
          <w:rFonts w:ascii="宋体" w:hAnsi="宋体" w:hint="eastAsia"/>
          <w:szCs w:val="21"/>
        </w:rPr>
        <w:t>（或者：服务全部由符合政策要求的中小企业承接）</w:t>
      </w:r>
      <w:r>
        <w:rPr>
          <w:rFonts w:ascii="宋体" w:hAnsi="宋体"/>
          <w:szCs w:val="21"/>
        </w:rPr>
        <w:t>。相关企业（含联合体中的中小企业、签订分包意向协议的中小企业）的具体情况如下：</w:t>
      </w:r>
    </w:p>
    <w:p w:rsidR="007900F6">
      <w:pPr>
        <w:spacing w:line="360" w:lineRule="auto"/>
        <w:ind w:firstLine="480" w:firstLineChars="200"/>
        <w:rPr>
          <w:rFonts w:ascii="宋体" w:hAnsi="宋体"/>
          <w:szCs w:val="21"/>
        </w:rPr>
      </w:pPr>
      <w:r>
        <w:rPr>
          <w:rFonts w:ascii="宋体" w:hAnsi="宋体"/>
          <w:szCs w:val="21"/>
        </w:rPr>
        <w:t>1.</w:t>
      </w:r>
      <w:r>
        <w:rPr>
          <w:rFonts w:ascii="宋体" w:hAnsi="宋体" w:hint="eastAsia"/>
          <w:szCs w:val="21"/>
        </w:rPr>
        <w:t xml:space="preserve"> </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w:t>
      </w:r>
      <w:r>
        <w:rPr>
          <w:rFonts w:ascii="宋体" w:hAnsi="宋体" w:hint="eastAsia"/>
          <w:szCs w:val="21"/>
          <w:u w:val="single"/>
        </w:rPr>
        <w:t xml:space="preserve">    </w:t>
      </w:r>
      <w:r>
        <w:rPr>
          <w:rFonts w:ascii="宋体" w:hAnsi="宋体"/>
          <w:szCs w:val="21"/>
        </w:rPr>
        <w:t>人，营业收入为</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万元，资产总额为</w:t>
      </w:r>
      <w:r>
        <w:rPr>
          <w:rFonts w:ascii="宋体" w:hAnsi="宋体" w:hint="eastAsia"/>
          <w:szCs w:val="21"/>
          <w:u w:val="single"/>
        </w:rPr>
        <w:t xml:space="preserve">    </w:t>
      </w:r>
      <w:r>
        <w:rPr>
          <w:rFonts w:ascii="宋体" w:hAnsi="宋体"/>
          <w:szCs w:val="21"/>
        </w:rPr>
        <w:t>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7900F6">
      <w:pPr>
        <w:spacing w:line="360" w:lineRule="auto"/>
        <w:ind w:firstLine="480" w:firstLineChars="20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 xml:space="preserve"> </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w:t>
      </w:r>
      <w:r>
        <w:rPr>
          <w:rFonts w:ascii="宋体" w:hAnsi="宋体" w:hint="eastAsia"/>
          <w:szCs w:val="21"/>
          <w:u w:val="single"/>
        </w:rPr>
        <w:t xml:space="preserve">    </w:t>
      </w:r>
      <w:r>
        <w:rPr>
          <w:rFonts w:ascii="宋体" w:hAnsi="宋体"/>
          <w:szCs w:val="21"/>
        </w:rPr>
        <w:t>人，营业收入为</w:t>
      </w:r>
      <w:r>
        <w:rPr>
          <w:rFonts w:ascii="宋体" w:hAnsi="宋体" w:hint="eastAsia"/>
          <w:szCs w:val="21"/>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万元，资产总额为</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7900F6">
      <w:pPr>
        <w:spacing w:line="360" w:lineRule="auto"/>
        <w:ind w:firstLine="480" w:firstLineChars="200"/>
        <w:rPr>
          <w:rFonts w:ascii="宋体" w:hAnsi="宋体"/>
          <w:szCs w:val="21"/>
        </w:rPr>
      </w:pPr>
      <w:r>
        <w:rPr>
          <w:rFonts w:ascii="宋体" w:hAnsi="宋体"/>
          <w:szCs w:val="21"/>
        </w:rPr>
        <w:t>……</w:t>
      </w:r>
    </w:p>
    <w:p w:rsidR="007900F6">
      <w:pPr>
        <w:spacing w:line="360" w:lineRule="auto"/>
        <w:ind w:firstLine="480" w:firstLineChars="20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7900F6">
      <w:pPr>
        <w:spacing w:line="360" w:lineRule="auto"/>
        <w:ind w:firstLine="480" w:firstLineChars="200"/>
        <w:rPr>
          <w:rFonts w:ascii="宋体" w:hAnsi="宋体"/>
          <w:szCs w:val="21"/>
        </w:rPr>
      </w:pPr>
      <w:r>
        <w:rPr>
          <w:rFonts w:ascii="宋体" w:hAnsi="宋体"/>
          <w:szCs w:val="21"/>
        </w:rPr>
        <w:t>本企业对上述声明内容的真实性负责。如有虚假，将依法承担相应责任。</w:t>
      </w:r>
    </w:p>
    <w:p w:rsidR="007900F6">
      <w:pPr>
        <w:spacing w:line="360" w:lineRule="auto"/>
        <w:ind w:firstLine="480" w:firstLineChars="200"/>
        <w:rPr>
          <w:rFonts w:ascii="宋体" w:hAnsi="宋体"/>
          <w:szCs w:val="21"/>
        </w:rPr>
      </w:pPr>
    </w:p>
    <w:p w:rsidR="007900F6">
      <w:pPr>
        <w:spacing w:line="360" w:lineRule="auto"/>
        <w:ind w:firstLine="480" w:firstLineChars="200"/>
        <w:rPr>
          <w:rFonts w:ascii="宋体" w:hAnsi="宋体"/>
          <w:szCs w:val="21"/>
        </w:rPr>
      </w:pPr>
      <w:r>
        <w:rPr>
          <w:rFonts w:ascii="宋体" w:hAnsi="宋体"/>
          <w:szCs w:val="21"/>
        </w:rPr>
        <w:t>企业名称</w:t>
      </w:r>
      <w:r>
        <w:rPr>
          <w:rFonts w:ascii="宋体" w:hAnsi="宋体" w:hint="eastAsia"/>
          <w:szCs w:val="21"/>
        </w:rPr>
        <w:t>（盖章）：</w:t>
      </w:r>
    </w:p>
    <w:p w:rsidR="007900F6">
      <w:pPr>
        <w:spacing w:line="360" w:lineRule="auto"/>
        <w:ind w:firstLine="480" w:firstLineChars="200"/>
        <w:rPr>
          <w:rFonts w:ascii="宋体" w:hAnsi="宋体"/>
          <w:szCs w:val="21"/>
        </w:rPr>
      </w:pPr>
      <w:r>
        <w:rPr>
          <w:rFonts w:ascii="宋体" w:hAnsi="宋体" w:hint="eastAsia"/>
          <w:szCs w:val="21"/>
        </w:rPr>
        <w:t>日期：</w:t>
      </w:r>
    </w:p>
    <w:p w:rsidR="007900F6">
      <w:pPr>
        <w:spacing w:line="360" w:lineRule="auto"/>
        <w:ind w:firstLine="480" w:firstLineChars="200"/>
        <w:rPr>
          <w:rFonts w:ascii="宋体" w:hAnsi="宋体" w:cs="宋体"/>
          <w:color w:val="000000"/>
          <w:sz w:val="18"/>
          <w:szCs w:val="22"/>
        </w:rPr>
      </w:pPr>
      <w:r>
        <w:rPr>
          <w:rFonts w:ascii="宋体" w:hAnsi="宋体" w:cs="宋体" w:hint="eastAsia"/>
          <w:color w:val="000000"/>
          <w:sz w:val="18"/>
          <w:szCs w:val="22"/>
        </w:rPr>
        <w:t>1</w:t>
      </w:r>
      <w:r>
        <w:rPr>
          <w:rFonts w:ascii="宋体" w:hAnsi="宋体"/>
          <w:szCs w:val="21"/>
        </w:rPr>
        <w:t>.</w:t>
      </w:r>
      <w:r>
        <w:rPr>
          <w:rFonts w:ascii="宋体" w:hAnsi="宋体" w:cs="宋体"/>
          <w:color w:val="000000"/>
          <w:sz w:val="18"/>
          <w:szCs w:val="22"/>
        </w:rPr>
        <w:t>从业人员、营业收入、资产总额填报上一年度数据，无上一年度数据的新成立企业可不填报。</w:t>
      </w:r>
    </w:p>
    <w:p w:rsidR="007900F6">
      <w:pPr>
        <w:spacing w:line="360" w:lineRule="auto"/>
        <w:ind w:left="348" w:hanging="348" w:hangingChars="145"/>
        <w:rPr>
          <w:rFonts w:ascii="黑体" w:eastAsia="黑体" w:hAnsi="宋体"/>
          <w:sz w:val="24"/>
        </w:rPr>
      </w:pPr>
    </w:p>
    <w:p w:rsidR="007900F6">
      <w:pPr>
        <w:spacing w:line="360" w:lineRule="auto"/>
        <w:ind w:left="348" w:hanging="348" w:hangingChars="145"/>
        <w:rPr>
          <w:rFonts w:ascii="黑体" w:eastAsia="黑体" w:hAnsi="宋体"/>
          <w:sz w:val="24"/>
        </w:rPr>
      </w:pPr>
      <w:r>
        <w:rPr>
          <w:rFonts w:ascii="黑体" w:eastAsia="黑体" w:hAnsi="宋体" w:hint="eastAsia"/>
          <w:sz w:val="24"/>
        </w:rPr>
        <w:t>附件2</w:t>
      </w:r>
    </w:p>
    <w:p w:rsidR="007900F6">
      <w:pPr>
        <w:spacing w:line="360" w:lineRule="auto"/>
        <w:ind w:left="348" w:hanging="348" w:hangingChars="145"/>
        <w:jc w:val="center"/>
        <w:rPr>
          <w:rFonts w:ascii="黑体" w:eastAsia="黑体" w:hAnsi="宋体"/>
          <w:sz w:val="24"/>
        </w:rPr>
      </w:pPr>
      <w:r>
        <w:rPr>
          <w:rFonts w:ascii="黑体" w:eastAsia="黑体" w:hAnsi="宋体" w:hint="eastAsia"/>
          <w:sz w:val="24"/>
          <w:u w:val="single"/>
        </w:rPr>
        <w:t>（单位名称）</w:t>
      </w:r>
      <w:r>
        <w:rPr>
          <w:rFonts w:ascii="黑体" w:eastAsia="黑体" w:hAnsi="宋体" w:hint="eastAsia"/>
          <w:sz w:val="24"/>
        </w:rPr>
        <w:t>XX年面向中小企业预留项目执行情况公告</w:t>
      </w:r>
    </w:p>
    <w:p w:rsidR="007900F6">
      <w:pPr>
        <w:spacing w:line="360" w:lineRule="auto"/>
        <w:ind w:firstLine="480" w:firstLineChars="200"/>
        <w:rPr>
          <w:rFonts w:ascii="宋体" w:hAnsi="宋体"/>
          <w:szCs w:val="21"/>
        </w:rPr>
      </w:pPr>
      <w:r>
        <w:rPr>
          <w:rFonts w:ascii="宋体" w:hAnsi="宋体" w:hint="eastAsia"/>
          <w:szCs w:val="21"/>
        </w:rPr>
        <w:t>根据《政府采购促进中小企业发展管理办法》</w:t>
      </w:r>
      <w:r>
        <w:rPr>
          <w:rFonts w:ascii="宋体" w:hAnsi="宋体"/>
          <w:szCs w:val="21"/>
        </w:rPr>
        <w:t>（财库﹝2020﹞46 号）要求</w:t>
      </w:r>
      <w:r>
        <w:rPr>
          <w:rFonts w:ascii="宋体" w:hAnsi="宋体" w:hint="eastAsia"/>
          <w:szCs w:val="21"/>
        </w:rPr>
        <w:t>，</w:t>
      </w:r>
      <w:r>
        <w:rPr>
          <w:rFonts w:ascii="宋体" w:hAnsi="宋体"/>
          <w:szCs w:val="21"/>
        </w:rPr>
        <w:t>现对本部门</w:t>
      </w:r>
      <w:r>
        <w:rPr>
          <w:rFonts w:ascii="宋体" w:hAnsi="宋体" w:hint="eastAsia"/>
          <w:szCs w:val="21"/>
        </w:rPr>
        <w:t>（单位）XX年面向中小企业预留项目执行情况公告如下：</w:t>
      </w:r>
    </w:p>
    <w:p w:rsidR="007900F6">
      <w:pPr>
        <w:spacing w:line="360" w:lineRule="auto"/>
        <w:ind w:firstLine="480" w:firstLineChars="200"/>
        <w:rPr>
          <w:rFonts w:ascii="宋体" w:hAnsi="宋体"/>
          <w:szCs w:val="21"/>
        </w:rPr>
      </w:pPr>
      <w:r>
        <w:rPr>
          <w:rFonts w:ascii="宋体" w:hAnsi="宋体" w:hint="eastAsia"/>
          <w:szCs w:val="21"/>
        </w:rPr>
        <w:t>本部门（单位）XX年预留项目面向中小企业采购共计XX万元，其中，面向小微企业采购XX万元，占XX%。</w:t>
      </w:r>
    </w:p>
    <w:p w:rsidR="007900F6">
      <w:pPr>
        <w:spacing w:line="360" w:lineRule="auto"/>
        <w:ind w:firstLine="480" w:firstLineChars="200"/>
        <w:jc w:val="center"/>
        <w:rPr>
          <w:rFonts w:ascii="宋体" w:hAnsi="宋体"/>
          <w:szCs w:val="21"/>
        </w:rPr>
      </w:pPr>
      <w:r>
        <w:rPr>
          <w:rFonts w:ascii="宋体" w:hAnsi="宋体" w:hint="eastAsia"/>
          <w:szCs w:val="21"/>
        </w:rPr>
        <w:t>面向中小企业预留项目明细</w:t>
      </w: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8"/>
        <w:gridCol w:w="1680"/>
        <w:gridCol w:w="2918"/>
        <w:gridCol w:w="1984"/>
        <w:gridCol w:w="1698"/>
      </w:tblGrid>
      <w:tr>
        <w:tblPrEx>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648"/>
        </w:trPr>
        <w:tc>
          <w:tcPr>
            <w:tcW w:w="888" w:type="dxa"/>
            <w:vAlign w:val="center"/>
          </w:tcPr>
          <w:p w:rsidR="007900F6">
            <w:pPr>
              <w:spacing w:line="360" w:lineRule="auto"/>
              <w:jc w:val="center"/>
              <w:rPr>
                <w:rFonts w:ascii="宋体" w:hAnsi="宋体"/>
                <w:szCs w:val="21"/>
              </w:rPr>
            </w:pPr>
            <w:r>
              <w:rPr>
                <w:rFonts w:ascii="宋体" w:hAnsi="宋体" w:hint="eastAsia"/>
                <w:szCs w:val="21"/>
              </w:rPr>
              <w:t>序号</w:t>
            </w:r>
          </w:p>
        </w:tc>
        <w:tc>
          <w:tcPr>
            <w:tcW w:w="1680" w:type="dxa"/>
            <w:vAlign w:val="center"/>
          </w:tcPr>
          <w:p w:rsidR="007900F6">
            <w:pPr>
              <w:spacing w:line="360" w:lineRule="auto"/>
              <w:jc w:val="center"/>
              <w:rPr>
                <w:rFonts w:ascii="宋体" w:hAnsi="宋体"/>
                <w:szCs w:val="21"/>
              </w:rPr>
            </w:pPr>
            <w:r>
              <w:rPr>
                <w:rFonts w:ascii="宋体" w:hAnsi="宋体" w:hint="eastAsia"/>
                <w:szCs w:val="21"/>
              </w:rPr>
              <w:t>项目名称</w:t>
            </w:r>
          </w:p>
        </w:tc>
        <w:tc>
          <w:tcPr>
            <w:tcW w:w="2918" w:type="dxa"/>
            <w:vAlign w:val="center"/>
          </w:tcPr>
          <w:p w:rsidR="007900F6">
            <w:pPr>
              <w:spacing w:line="360" w:lineRule="auto"/>
              <w:jc w:val="center"/>
              <w:rPr>
                <w:rFonts w:ascii="宋体" w:hAnsi="宋体"/>
                <w:szCs w:val="21"/>
              </w:rPr>
            </w:pPr>
            <w:r>
              <w:rPr>
                <w:rFonts w:ascii="宋体" w:hAnsi="宋体" w:hint="eastAsia"/>
                <w:szCs w:val="21"/>
              </w:rPr>
              <w:t>预留选项</w:t>
            </w:r>
          </w:p>
        </w:tc>
        <w:tc>
          <w:tcPr>
            <w:tcW w:w="1984" w:type="dxa"/>
            <w:vAlign w:val="center"/>
          </w:tcPr>
          <w:p w:rsidR="007900F6">
            <w:pPr>
              <w:spacing w:line="360" w:lineRule="auto"/>
              <w:jc w:val="center"/>
              <w:rPr>
                <w:rFonts w:ascii="宋体" w:hAnsi="宋体"/>
                <w:szCs w:val="21"/>
              </w:rPr>
            </w:pPr>
            <w:r>
              <w:rPr>
                <w:rFonts w:ascii="宋体" w:hAnsi="宋体" w:hint="eastAsia"/>
                <w:szCs w:val="21"/>
              </w:rPr>
              <w:t>面向中小企业采购金额</w:t>
            </w:r>
          </w:p>
        </w:tc>
        <w:tc>
          <w:tcPr>
            <w:tcW w:w="1698" w:type="dxa"/>
            <w:vAlign w:val="center"/>
          </w:tcPr>
          <w:p w:rsidR="007900F6">
            <w:pPr>
              <w:spacing w:line="360" w:lineRule="auto"/>
              <w:jc w:val="center"/>
              <w:rPr>
                <w:rFonts w:ascii="宋体" w:hAnsi="宋体"/>
                <w:szCs w:val="21"/>
              </w:rPr>
            </w:pPr>
            <w:r>
              <w:rPr>
                <w:rFonts w:ascii="宋体" w:hAnsi="宋体" w:hint="eastAsia"/>
                <w:szCs w:val="21"/>
              </w:rPr>
              <w:t>合同链接</w:t>
            </w:r>
          </w:p>
        </w:tc>
      </w:tr>
      <w:tr>
        <w:tblPrEx>
          <w:tblW w:w="0" w:type="auto"/>
          <w:tblInd w:w="151" w:type="dxa"/>
          <w:tblLayout w:type="fixed"/>
          <w:tblLook w:val="0000"/>
        </w:tblPrEx>
        <w:trPr>
          <w:trHeight w:val="648"/>
        </w:trPr>
        <w:tc>
          <w:tcPr>
            <w:tcW w:w="888" w:type="dxa"/>
            <w:vAlign w:val="center"/>
          </w:tcPr>
          <w:p w:rsidR="007900F6">
            <w:pPr>
              <w:spacing w:line="360" w:lineRule="auto"/>
              <w:jc w:val="center"/>
              <w:rPr>
                <w:rFonts w:ascii="宋体" w:hAnsi="宋体"/>
                <w:szCs w:val="21"/>
              </w:rPr>
            </w:pPr>
          </w:p>
        </w:tc>
        <w:tc>
          <w:tcPr>
            <w:tcW w:w="1680" w:type="dxa"/>
            <w:vAlign w:val="center"/>
          </w:tcPr>
          <w:p w:rsidR="007900F6">
            <w:pPr>
              <w:spacing w:line="360" w:lineRule="auto"/>
              <w:jc w:val="center"/>
              <w:rPr>
                <w:rFonts w:ascii="宋体" w:hAnsi="宋体"/>
                <w:szCs w:val="21"/>
                <w:u w:val="single"/>
              </w:rPr>
            </w:pPr>
            <w:r>
              <w:rPr>
                <w:rFonts w:ascii="宋体" w:hAnsi="宋体" w:hint="eastAsia"/>
                <w:szCs w:val="21"/>
                <w:u w:val="single"/>
              </w:rPr>
              <w:t>（填写集中采购目录以内或者采购限额标准以上的采购项目）</w:t>
            </w:r>
          </w:p>
        </w:tc>
        <w:tc>
          <w:tcPr>
            <w:tcW w:w="2918" w:type="dxa"/>
            <w:vAlign w:val="center"/>
          </w:tcPr>
          <w:p w:rsidR="007900F6">
            <w:pPr>
              <w:spacing w:line="360" w:lineRule="auto"/>
              <w:jc w:val="center"/>
              <w:rPr>
                <w:rFonts w:ascii="宋体" w:hAnsi="宋体"/>
                <w:szCs w:val="21"/>
                <w:u w:val="single"/>
              </w:rPr>
            </w:pPr>
            <w:r>
              <w:rPr>
                <w:rFonts w:ascii="宋体" w:hAnsi="宋体" w:hint="eastAsia"/>
                <w:szCs w:val="21"/>
                <w:u w:val="single"/>
              </w:rPr>
              <w:t>（填写“采购项目整体预留”、“设置专门采购包”、“要求以联合体形式参加”或者“要求合同分包”，除“采购项目全部预留”外，还应当填写预留给中小企业的比例）</w:t>
            </w:r>
          </w:p>
        </w:tc>
        <w:tc>
          <w:tcPr>
            <w:tcW w:w="1984" w:type="dxa"/>
            <w:vAlign w:val="center"/>
          </w:tcPr>
          <w:p w:rsidR="007900F6">
            <w:pPr>
              <w:spacing w:line="360" w:lineRule="auto"/>
              <w:jc w:val="center"/>
              <w:rPr>
                <w:rFonts w:ascii="宋体" w:hAnsi="宋体"/>
                <w:szCs w:val="21"/>
                <w:u w:val="single"/>
              </w:rPr>
            </w:pPr>
            <w:r>
              <w:rPr>
                <w:rFonts w:ascii="宋体" w:hAnsi="宋体" w:hint="eastAsia"/>
                <w:szCs w:val="21"/>
                <w:u w:val="single"/>
              </w:rPr>
              <w:t>（精确到万元）</w:t>
            </w:r>
          </w:p>
        </w:tc>
        <w:tc>
          <w:tcPr>
            <w:tcW w:w="1698" w:type="dxa"/>
            <w:vAlign w:val="center"/>
          </w:tcPr>
          <w:p w:rsidR="007900F6">
            <w:pPr>
              <w:spacing w:line="360" w:lineRule="auto"/>
              <w:jc w:val="center"/>
              <w:rPr>
                <w:rFonts w:ascii="宋体" w:hAnsi="宋体"/>
                <w:szCs w:val="21"/>
                <w:u w:val="single"/>
              </w:rPr>
            </w:pPr>
            <w:r>
              <w:rPr>
                <w:rFonts w:ascii="宋体" w:hAnsi="宋体" w:hint="eastAsia"/>
                <w:szCs w:val="21"/>
                <w:u w:val="single"/>
              </w:rPr>
              <w:t>（填写合同在中国政府采购网公开的网址，合同中应当包含有关联合体协议或者分包意向协议）</w:t>
            </w:r>
          </w:p>
        </w:tc>
      </w:tr>
      <w:tr>
        <w:tblPrEx>
          <w:tblW w:w="0" w:type="auto"/>
          <w:tblInd w:w="151" w:type="dxa"/>
          <w:tblLayout w:type="fixed"/>
          <w:tblLook w:val="0000"/>
        </w:tblPrEx>
        <w:trPr>
          <w:trHeight w:val="58"/>
        </w:trPr>
        <w:tc>
          <w:tcPr>
            <w:tcW w:w="888" w:type="dxa"/>
            <w:vAlign w:val="center"/>
          </w:tcPr>
          <w:p w:rsidR="007900F6">
            <w:pPr>
              <w:spacing w:line="360" w:lineRule="auto"/>
              <w:jc w:val="center"/>
              <w:rPr>
                <w:rFonts w:ascii="宋体" w:hAnsi="宋体"/>
                <w:szCs w:val="21"/>
              </w:rPr>
            </w:pPr>
            <w:r>
              <w:rPr>
                <w:rFonts w:ascii="宋体" w:hAnsi="宋体"/>
                <w:szCs w:val="21"/>
              </w:rPr>
              <w:t>……</w:t>
            </w:r>
          </w:p>
        </w:tc>
        <w:tc>
          <w:tcPr>
            <w:tcW w:w="1680" w:type="dxa"/>
            <w:vAlign w:val="center"/>
          </w:tcPr>
          <w:p w:rsidR="007900F6">
            <w:pPr>
              <w:spacing w:line="360" w:lineRule="auto"/>
              <w:jc w:val="center"/>
              <w:rPr>
                <w:rFonts w:ascii="宋体" w:hAnsi="宋体"/>
                <w:szCs w:val="21"/>
                <w:u w:val="single"/>
              </w:rPr>
            </w:pPr>
            <w:r>
              <w:rPr>
                <w:rFonts w:ascii="宋体" w:hAnsi="宋体"/>
                <w:szCs w:val="21"/>
              </w:rPr>
              <w:t>……</w:t>
            </w:r>
          </w:p>
        </w:tc>
        <w:tc>
          <w:tcPr>
            <w:tcW w:w="2918" w:type="dxa"/>
            <w:vAlign w:val="center"/>
          </w:tcPr>
          <w:p w:rsidR="007900F6">
            <w:pPr>
              <w:spacing w:line="360" w:lineRule="auto"/>
              <w:jc w:val="center"/>
              <w:rPr>
                <w:rFonts w:ascii="宋体" w:hAnsi="宋体"/>
                <w:szCs w:val="21"/>
                <w:u w:val="single"/>
              </w:rPr>
            </w:pPr>
            <w:r>
              <w:rPr>
                <w:rFonts w:ascii="宋体" w:hAnsi="宋体"/>
                <w:szCs w:val="21"/>
              </w:rPr>
              <w:t>……</w:t>
            </w:r>
          </w:p>
        </w:tc>
        <w:tc>
          <w:tcPr>
            <w:tcW w:w="1984" w:type="dxa"/>
            <w:vAlign w:val="center"/>
          </w:tcPr>
          <w:p w:rsidR="007900F6">
            <w:pPr>
              <w:spacing w:line="360" w:lineRule="auto"/>
              <w:jc w:val="center"/>
              <w:rPr>
                <w:rFonts w:ascii="宋体" w:hAnsi="宋体"/>
                <w:szCs w:val="21"/>
                <w:u w:val="single"/>
              </w:rPr>
            </w:pPr>
            <w:r>
              <w:rPr>
                <w:rFonts w:ascii="宋体" w:hAnsi="宋体"/>
                <w:szCs w:val="21"/>
              </w:rPr>
              <w:t>……</w:t>
            </w:r>
          </w:p>
        </w:tc>
        <w:tc>
          <w:tcPr>
            <w:tcW w:w="1698" w:type="dxa"/>
            <w:vAlign w:val="center"/>
          </w:tcPr>
          <w:p w:rsidR="007900F6">
            <w:pPr>
              <w:spacing w:line="360" w:lineRule="auto"/>
              <w:jc w:val="center"/>
              <w:rPr>
                <w:rFonts w:ascii="宋体" w:hAnsi="宋体"/>
                <w:szCs w:val="21"/>
                <w:u w:val="single"/>
              </w:rPr>
            </w:pPr>
            <w:r>
              <w:rPr>
                <w:rFonts w:ascii="宋体" w:hAnsi="宋体"/>
                <w:szCs w:val="21"/>
              </w:rPr>
              <w:t>……</w:t>
            </w:r>
          </w:p>
        </w:tc>
      </w:tr>
    </w:tbl>
    <w:p w:rsidR="007900F6">
      <w:pPr>
        <w:spacing w:line="360" w:lineRule="auto"/>
        <w:ind w:firstLine="480" w:firstLineChars="200"/>
        <w:jc w:val="center"/>
        <w:rPr>
          <w:rFonts w:ascii="宋体" w:hAnsi="宋体"/>
          <w:szCs w:val="21"/>
        </w:rPr>
      </w:pPr>
    </w:p>
    <w:p w:rsidR="007900F6">
      <w:pPr>
        <w:spacing w:line="360" w:lineRule="auto"/>
        <w:ind w:firstLine="480" w:firstLineChars="200"/>
        <w:jc w:val="center"/>
        <w:rPr>
          <w:rFonts w:ascii="宋体" w:hAnsi="宋体"/>
          <w:szCs w:val="21"/>
        </w:rPr>
      </w:pPr>
      <w:r>
        <w:rPr>
          <w:rFonts w:ascii="宋体" w:hAnsi="宋体" w:hint="eastAsia"/>
          <w:szCs w:val="21"/>
        </w:rPr>
        <w:t xml:space="preserve">                               部门（单位）名称：</w:t>
      </w:r>
    </w:p>
    <w:p w:rsidR="007900F6">
      <w:pPr>
        <w:spacing w:line="360" w:lineRule="auto"/>
        <w:ind w:firstLine="480" w:firstLineChars="200"/>
        <w:jc w:val="center"/>
        <w:rPr>
          <w:rFonts w:ascii="宋体" w:hAnsi="宋体"/>
          <w:szCs w:val="21"/>
        </w:rPr>
      </w:pPr>
      <w:r>
        <w:rPr>
          <w:rFonts w:ascii="宋体" w:hAnsi="宋体" w:hint="eastAsia"/>
          <w:szCs w:val="21"/>
        </w:rPr>
        <w:t xml:space="preserve">                   日期：</w:t>
      </w:r>
    </w:p>
    <w:p w:rsidR="007900F6">
      <w:pPr>
        <w:spacing w:line="360" w:lineRule="auto"/>
        <w:rPr>
          <w:rFonts w:ascii="宋体" w:hAnsi="宋体"/>
          <w:szCs w:val="21"/>
        </w:rPr>
      </w:pPr>
    </w:p>
    <w:p w:rsidR="007900F6">
      <w:pPr>
        <w:spacing w:line="360" w:lineRule="auto"/>
        <w:ind w:left="348" w:hanging="348" w:hangingChars="145"/>
        <w:rPr>
          <w:rFonts w:ascii="黑体" w:eastAsia="黑体" w:hAnsi="宋体"/>
          <w:sz w:val="24"/>
        </w:rPr>
      </w:pPr>
      <w:r>
        <w:rPr>
          <w:rFonts w:ascii="黑体" w:eastAsia="黑体" w:hAnsi="宋体" w:hint="eastAsia"/>
          <w:sz w:val="24"/>
        </w:rPr>
        <w:t>54.工业信息化部、国家统计局、国家发展和改革委员会、财政部《关于印发〈中小企业划型标准规定〉的通知》（工信部联企业〔2011〕300号）</w:t>
      </w:r>
    </w:p>
    <w:p w:rsidR="007900F6">
      <w:pPr>
        <w:widowControl/>
        <w:shd w:val="clear" w:color="auto" w:fill="FFFFFF"/>
        <w:spacing w:before="100" w:beforeAutospacing="1" w:after="100" w:afterAutospacing="1"/>
        <w:jc w:val="center"/>
        <w:rPr>
          <w:rFonts w:ascii="宋体" w:hAnsi="宋体" w:cs="宋体"/>
          <w:color w:val="000000"/>
          <w:kern w:val="0"/>
          <w:sz w:val="19"/>
          <w:szCs w:val="19"/>
        </w:rPr>
      </w:pPr>
      <w:r>
        <w:rPr>
          <w:rFonts w:ascii="黑体" w:eastAsia="黑体" w:hAnsi="宋体" w:hint="eastAsia"/>
          <w:sz w:val="24"/>
        </w:rPr>
        <w:t>关于印发中小企业划型标准规定的通知</w:t>
      </w:r>
      <w:r>
        <w:rPr>
          <w:rFonts w:ascii="宋体" w:hAnsi="宋体" w:cs="宋体" w:hint="eastAsia"/>
          <w:color w:val="000000"/>
          <w:kern w:val="0"/>
          <w:sz w:val="19"/>
          <w:szCs w:val="19"/>
        </w:rPr>
        <w:br/>
      </w:r>
      <w:r>
        <w:rPr>
          <w:rFonts w:ascii="黑体" w:eastAsia="黑体" w:hAnsi="宋体" w:hint="eastAsia"/>
          <w:sz w:val="24"/>
        </w:rPr>
        <w:t>（工信部联企业〔2011〕300号）</w:t>
      </w:r>
    </w:p>
    <w:p w:rsidR="007900F6">
      <w:pPr>
        <w:spacing w:line="360" w:lineRule="auto"/>
        <w:rPr>
          <w:rFonts w:ascii="宋体" w:hAnsi="宋体"/>
          <w:szCs w:val="21"/>
        </w:rPr>
      </w:pPr>
      <w:r>
        <w:rPr>
          <w:rFonts w:ascii="宋体" w:hAnsi="宋体" w:hint="eastAsia"/>
          <w:szCs w:val="21"/>
        </w:rPr>
        <w:t>各省、自治区、直辖市人民政府，国务院各部委、各直属机构及有关单位：</w:t>
      </w:r>
    </w:p>
    <w:p w:rsidR="007900F6">
      <w:pPr>
        <w:spacing w:line="360" w:lineRule="auto"/>
        <w:ind w:firstLine="480" w:firstLineChars="200"/>
        <w:rPr>
          <w:rFonts w:ascii="宋体" w:hAnsi="宋体"/>
          <w:szCs w:val="21"/>
        </w:rPr>
      </w:pPr>
      <w:r>
        <w:rPr>
          <w:rFonts w:ascii="宋体" w:hAnsi="宋体" w:hint="eastAsia"/>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7900F6">
      <w:pPr>
        <w:spacing w:line="360" w:lineRule="auto"/>
        <w:jc w:val="right"/>
        <w:rPr>
          <w:rFonts w:ascii="宋体" w:hAnsi="宋体"/>
          <w:szCs w:val="21"/>
        </w:rPr>
      </w:pPr>
      <w:r>
        <w:rPr>
          <w:rFonts w:ascii="宋体" w:hAnsi="宋体" w:hint="eastAsia"/>
          <w:szCs w:val="21"/>
        </w:rPr>
        <w:t>工业和信息化部　国家统计局</w:t>
      </w:r>
    </w:p>
    <w:p w:rsidR="007900F6">
      <w:pPr>
        <w:spacing w:line="360" w:lineRule="auto"/>
        <w:jc w:val="right"/>
        <w:rPr>
          <w:rFonts w:ascii="宋体" w:hAnsi="宋体"/>
          <w:szCs w:val="21"/>
        </w:rPr>
      </w:pPr>
      <w:r>
        <w:rPr>
          <w:rFonts w:ascii="宋体" w:hAnsi="宋体" w:hint="eastAsia"/>
          <w:szCs w:val="21"/>
        </w:rPr>
        <w:t>国家发展和改革委员会　财政部</w:t>
      </w:r>
    </w:p>
    <w:p w:rsidR="007900F6">
      <w:pPr>
        <w:spacing w:line="360" w:lineRule="auto"/>
        <w:jc w:val="right"/>
        <w:rPr>
          <w:rFonts w:ascii="宋体" w:hAnsi="宋体"/>
          <w:szCs w:val="21"/>
        </w:rPr>
      </w:pPr>
      <w:r>
        <w:rPr>
          <w:rFonts w:ascii="宋体" w:hAnsi="宋体" w:hint="eastAsia"/>
          <w:szCs w:val="21"/>
        </w:rPr>
        <w:t>二○一一年六月十八日</w:t>
      </w:r>
    </w:p>
    <w:p w:rsidR="007900F6">
      <w:pPr>
        <w:widowControl/>
        <w:shd w:val="clear" w:color="auto" w:fill="FFFFFF"/>
        <w:spacing w:before="100" w:beforeAutospacing="1" w:after="100" w:afterAutospacing="1"/>
        <w:jc w:val="center"/>
        <w:rPr>
          <w:rFonts w:ascii="黑体" w:eastAsia="黑体" w:hAnsi="宋体"/>
          <w:sz w:val="24"/>
        </w:rPr>
      </w:pPr>
      <w:r>
        <w:rPr>
          <w:rFonts w:ascii="黑体" w:eastAsia="黑体" w:hAnsi="宋体" w:hint="eastAsia"/>
          <w:sz w:val="24"/>
        </w:rPr>
        <w:t>中小企业划型标准规定</w:t>
      </w:r>
    </w:p>
    <w:p w:rsidR="007900F6">
      <w:pPr>
        <w:spacing w:line="360" w:lineRule="auto"/>
        <w:ind w:firstLine="480" w:firstLineChars="200"/>
        <w:rPr>
          <w:rFonts w:ascii="宋体" w:hAnsi="宋体"/>
          <w:szCs w:val="21"/>
        </w:rPr>
      </w:pPr>
      <w:r>
        <w:rPr>
          <w:rFonts w:ascii="宋体" w:hAnsi="宋体" w:hint="eastAsia"/>
          <w:szCs w:val="21"/>
        </w:rPr>
        <w:t>一、根据《中华人民共和国中小企业促进法》和《国务院关于进一步促进中小企业发展的若干意见》(国发〔2009〕36号)，制定本规定。</w:t>
      </w:r>
    </w:p>
    <w:p w:rsidR="007900F6">
      <w:pPr>
        <w:spacing w:line="360" w:lineRule="auto"/>
        <w:ind w:firstLine="480" w:firstLineChars="200"/>
        <w:rPr>
          <w:rFonts w:ascii="宋体" w:hAnsi="宋体"/>
          <w:szCs w:val="21"/>
        </w:rPr>
      </w:pPr>
      <w:r>
        <w:rPr>
          <w:rFonts w:ascii="宋体" w:hAnsi="宋体" w:hint="eastAsia"/>
          <w:szCs w:val="21"/>
        </w:rPr>
        <w:t>二、中小企业划分为中型、小型、微型三种类型，具体标准根据企业从业人员、营业收入、资产总额等指标，结合行业特点制定。</w:t>
      </w:r>
    </w:p>
    <w:p w:rsidR="007900F6">
      <w:pPr>
        <w:spacing w:line="360" w:lineRule="auto"/>
        <w:ind w:firstLine="480" w:firstLineChars="200"/>
        <w:rPr>
          <w:rFonts w:ascii="宋体" w:hAnsi="宋体"/>
          <w:szCs w:val="21"/>
        </w:rPr>
      </w:pPr>
      <w:r>
        <w:rPr>
          <w:rFonts w:ascii="宋体" w:hAnsi="宋体" w:hint="eastAsia"/>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7900F6">
      <w:pPr>
        <w:spacing w:line="360" w:lineRule="auto"/>
        <w:ind w:firstLine="480" w:firstLineChars="200"/>
        <w:rPr>
          <w:rFonts w:ascii="宋体" w:hAnsi="宋体"/>
          <w:szCs w:val="21"/>
        </w:rPr>
      </w:pPr>
      <w:r>
        <w:rPr>
          <w:rFonts w:ascii="宋体" w:hAnsi="宋体" w:hint="eastAsia"/>
          <w:szCs w:val="21"/>
        </w:rPr>
        <w:t>四、各行业划型标准为：</w:t>
      </w:r>
    </w:p>
    <w:p w:rsidR="007900F6">
      <w:pPr>
        <w:spacing w:line="360" w:lineRule="auto"/>
        <w:ind w:firstLine="480" w:firstLineChars="200"/>
        <w:rPr>
          <w:rFonts w:ascii="宋体" w:hAnsi="宋体"/>
          <w:szCs w:val="21"/>
        </w:rPr>
      </w:pPr>
      <w:r>
        <w:rPr>
          <w:rFonts w:ascii="宋体" w:hAnsi="宋体" w:hint="eastAsia"/>
          <w:szCs w:val="21"/>
        </w:rPr>
        <w:t>（一）农、林、牧、渔业。营业收入20000万元以下的为中小微型企业。其中，营业收入500万元及以上的为中型企业，营业收入50万元及以上的为小型企业，营业收入50万元以下的为微型企业。</w:t>
      </w:r>
    </w:p>
    <w:p w:rsidR="007900F6">
      <w:pPr>
        <w:spacing w:line="360" w:lineRule="auto"/>
        <w:ind w:firstLine="480" w:firstLineChars="200"/>
        <w:rPr>
          <w:rFonts w:ascii="宋体" w:hAnsi="宋体"/>
          <w:szCs w:val="21"/>
        </w:rPr>
      </w:pPr>
      <w:r>
        <w:rPr>
          <w:rFonts w:ascii="宋体" w:hAnsi="宋体" w:hint="eastAsia"/>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7900F6">
      <w:pPr>
        <w:spacing w:line="360" w:lineRule="auto"/>
        <w:ind w:firstLine="480" w:firstLineChars="200"/>
        <w:rPr>
          <w:rFonts w:ascii="宋体" w:hAnsi="宋体"/>
          <w:szCs w:val="21"/>
        </w:rPr>
      </w:pPr>
      <w:r>
        <w:rPr>
          <w:rFonts w:ascii="宋体" w:hAnsi="宋体" w:hint="eastAsia"/>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7900F6">
      <w:pPr>
        <w:spacing w:line="360" w:lineRule="auto"/>
        <w:ind w:firstLine="480" w:firstLineChars="200"/>
        <w:rPr>
          <w:rFonts w:ascii="宋体" w:hAnsi="宋体"/>
          <w:szCs w:val="21"/>
        </w:rPr>
      </w:pPr>
      <w:r>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7900F6">
      <w:pPr>
        <w:spacing w:line="360" w:lineRule="auto"/>
        <w:ind w:firstLine="480" w:firstLineChars="200"/>
        <w:rPr>
          <w:rFonts w:ascii="宋体" w:hAnsi="宋体"/>
          <w:szCs w:val="21"/>
        </w:rPr>
      </w:pPr>
      <w:r>
        <w:rPr>
          <w:rFonts w:ascii="宋体" w:hAnsi="宋体" w:hint="eastAsia"/>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7900F6">
      <w:pPr>
        <w:spacing w:line="360" w:lineRule="auto"/>
        <w:ind w:firstLine="480" w:firstLineChars="200"/>
        <w:rPr>
          <w:rFonts w:ascii="宋体" w:hAnsi="宋体"/>
          <w:szCs w:val="21"/>
        </w:rPr>
      </w:pPr>
      <w:r>
        <w:rPr>
          <w:rFonts w:ascii="宋体" w:hAnsi="宋体" w:hint="eastAsia"/>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7900F6">
      <w:pPr>
        <w:spacing w:line="360" w:lineRule="auto"/>
        <w:ind w:firstLine="480" w:firstLineChars="200"/>
        <w:rPr>
          <w:rFonts w:ascii="宋体" w:hAnsi="宋体"/>
          <w:szCs w:val="21"/>
        </w:rPr>
      </w:pPr>
      <w:r>
        <w:rPr>
          <w:rFonts w:ascii="宋体" w:hAnsi="宋体" w:hint="eastAsia"/>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7900F6">
      <w:pPr>
        <w:spacing w:line="360" w:lineRule="auto"/>
        <w:ind w:firstLine="480" w:firstLineChars="200"/>
        <w:rPr>
          <w:rFonts w:ascii="宋体" w:hAnsi="宋体"/>
          <w:szCs w:val="21"/>
        </w:rPr>
      </w:pPr>
      <w:r>
        <w:rPr>
          <w:rFonts w:ascii="宋体" w:hAnsi="宋体" w:hint="eastAsia"/>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7900F6">
      <w:pPr>
        <w:spacing w:line="360" w:lineRule="auto"/>
        <w:ind w:firstLine="480" w:firstLineChars="200"/>
        <w:rPr>
          <w:rFonts w:ascii="宋体" w:hAnsi="宋体"/>
          <w:szCs w:val="21"/>
        </w:rPr>
      </w:pPr>
      <w:r>
        <w:rPr>
          <w:rFonts w:ascii="宋体" w:hAnsi="宋体" w:hint="eastAsia"/>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7900F6">
      <w:pPr>
        <w:spacing w:line="360" w:lineRule="auto"/>
        <w:ind w:firstLine="480" w:firstLineChars="200"/>
        <w:rPr>
          <w:rFonts w:ascii="宋体" w:hAnsi="宋体"/>
          <w:szCs w:val="21"/>
        </w:rPr>
      </w:pPr>
      <w:r>
        <w:rPr>
          <w:rFonts w:ascii="宋体" w:hAnsi="宋体" w:hint="eastAsia"/>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7900F6">
      <w:pPr>
        <w:spacing w:line="360" w:lineRule="auto"/>
        <w:ind w:firstLine="480" w:firstLineChars="200"/>
        <w:rPr>
          <w:rFonts w:ascii="宋体" w:hAnsi="宋体"/>
          <w:szCs w:val="21"/>
        </w:rPr>
      </w:pPr>
      <w:r>
        <w:rPr>
          <w:rFonts w:ascii="宋体" w:hAnsi="宋体" w:hint="eastAsia"/>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7900F6">
      <w:pPr>
        <w:spacing w:line="360" w:lineRule="auto"/>
        <w:ind w:firstLine="480" w:firstLineChars="200"/>
        <w:rPr>
          <w:rFonts w:ascii="宋体" w:hAnsi="宋体"/>
          <w:szCs w:val="21"/>
        </w:rPr>
      </w:pPr>
      <w:r>
        <w:rPr>
          <w:rFonts w:ascii="宋体" w:hAnsi="宋体" w:hint="eastAsia"/>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7900F6">
      <w:pPr>
        <w:spacing w:line="360" w:lineRule="auto"/>
        <w:ind w:firstLine="480" w:firstLineChars="200"/>
        <w:rPr>
          <w:rFonts w:ascii="宋体" w:hAnsi="宋体"/>
          <w:szCs w:val="21"/>
        </w:rPr>
      </w:pPr>
      <w:r>
        <w:rPr>
          <w:rFonts w:ascii="宋体" w:hAnsi="宋体" w:hint="eastAsia"/>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7900F6">
      <w:pPr>
        <w:spacing w:line="360" w:lineRule="auto"/>
        <w:ind w:firstLine="480" w:firstLineChars="200"/>
        <w:rPr>
          <w:rFonts w:ascii="宋体" w:hAnsi="宋体"/>
          <w:szCs w:val="21"/>
        </w:rPr>
      </w:pPr>
      <w:r>
        <w:rPr>
          <w:rFonts w:ascii="宋体" w:hAnsi="宋体" w:hint="eastAsia"/>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7900F6">
      <w:pPr>
        <w:spacing w:line="360" w:lineRule="auto"/>
        <w:ind w:firstLine="480" w:firstLineChars="200"/>
        <w:rPr>
          <w:rFonts w:ascii="宋体" w:hAnsi="宋体"/>
          <w:szCs w:val="21"/>
        </w:rPr>
      </w:pPr>
      <w:r>
        <w:rPr>
          <w:rFonts w:ascii="宋体" w:hAnsi="宋体" w:hint="eastAsia"/>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7900F6">
      <w:pPr>
        <w:spacing w:line="360" w:lineRule="auto"/>
        <w:ind w:firstLine="480" w:firstLineChars="200"/>
        <w:rPr>
          <w:rFonts w:ascii="宋体" w:hAnsi="宋体"/>
          <w:szCs w:val="21"/>
        </w:rPr>
      </w:pPr>
      <w:r>
        <w:rPr>
          <w:rFonts w:ascii="宋体" w:hAnsi="宋体" w:hint="eastAsia"/>
          <w:szCs w:val="21"/>
        </w:rPr>
        <w:t>（十六）其他未列明行业。从业人员300人以下的为中小微型企业。其中，从业人员100人及以上的为中型企业；从业人员10人及以上的为小型企业；从业人员10人以下的为微型企业。</w:t>
      </w:r>
    </w:p>
    <w:p w:rsidR="007900F6">
      <w:pPr>
        <w:spacing w:line="360" w:lineRule="auto"/>
        <w:ind w:firstLine="480" w:firstLineChars="200"/>
        <w:rPr>
          <w:rFonts w:ascii="宋体" w:hAnsi="宋体"/>
          <w:szCs w:val="21"/>
        </w:rPr>
      </w:pPr>
      <w:r>
        <w:rPr>
          <w:rFonts w:ascii="宋体" w:hAnsi="宋体" w:hint="eastAsia"/>
          <w:szCs w:val="21"/>
        </w:rPr>
        <w:t>五、企业类型的划分以统计部门的统计数据为依据。</w:t>
      </w:r>
    </w:p>
    <w:p w:rsidR="007900F6">
      <w:pPr>
        <w:spacing w:line="360" w:lineRule="auto"/>
        <w:ind w:firstLine="480" w:firstLineChars="200"/>
        <w:rPr>
          <w:rFonts w:ascii="宋体" w:hAnsi="宋体"/>
          <w:szCs w:val="21"/>
        </w:rPr>
      </w:pPr>
      <w:r>
        <w:rPr>
          <w:rFonts w:ascii="宋体" w:hAnsi="宋体" w:hint="eastAsia"/>
          <w:szCs w:val="21"/>
        </w:rPr>
        <w:t>六、本规定适用于在中华人民共和国境内依法设立的各类所有制和各种组织形式的企业。个体工商户和本规定以外的行业，参照本规定进行划型。</w:t>
      </w:r>
    </w:p>
    <w:p w:rsidR="007900F6">
      <w:pPr>
        <w:spacing w:line="360" w:lineRule="auto"/>
        <w:ind w:firstLine="480" w:firstLineChars="200"/>
        <w:rPr>
          <w:rFonts w:ascii="宋体" w:hAnsi="宋体"/>
          <w:szCs w:val="21"/>
        </w:rPr>
      </w:pPr>
      <w:r>
        <w:rPr>
          <w:rFonts w:ascii="宋体" w:hAnsi="宋体" w:hint="eastAsia"/>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7900F6">
      <w:pPr>
        <w:spacing w:line="360" w:lineRule="auto"/>
        <w:ind w:firstLine="480" w:firstLineChars="200"/>
        <w:rPr>
          <w:rFonts w:ascii="宋体" w:hAnsi="宋体"/>
          <w:szCs w:val="21"/>
        </w:rPr>
      </w:pPr>
      <w:r>
        <w:rPr>
          <w:rFonts w:ascii="宋体" w:hAnsi="宋体" w:hint="eastAsia"/>
          <w:szCs w:val="21"/>
        </w:rPr>
        <w:t>八、本规定由工业和信息化部、国家统计局会同有关部门根据《国民经济行业分类》修订情况和企业发展变化情况适时修订。</w:t>
      </w:r>
    </w:p>
    <w:p w:rsidR="007900F6">
      <w:pPr>
        <w:spacing w:line="360" w:lineRule="auto"/>
        <w:ind w:firstLine="480" w:firstLineChars="200"/>
        <w:rPr>
          <w:rFonts w:ascii="宋体" w:hAnsi="宋体"/>
          <w:szCs w:val="21"/>
        </w:rPr>
      </w:pPr>
      <w:r>
        <w:rPr>
          <w:rFonts w:ascii="宋体" w:hAnsi="宋体" w:hint="eastAsia"/>
          <w:szCs w:val="21"/>
        </w:rPr>
        <w:t>九、本规定由工业和信息化部、国家统计局会同有关部门负责解释。</w:t>
      </w:r>
    </w:p>
    <w:p w:rsidR="007900F6">
      <w:pPr>
        <w:spacing w:line="360" w:lineRule="auto"/>
        <w:ind w:firstLine="480" w:firstLineChars="200"/>
        <w:rPr>
          <w:rFonts w:ascii="宋体" w:hAnsi="宋体"/>
          <w:szCs w:val="21"/>
        </w:rPr>
      </w:pPr>
      <w:r>
        <w:rPr>
          <w:rFonts w:ascii="宋体" w:hAnsi="宋体" w:hint="eastAsia"/>
          <w:szCs w:val="21"/>
        </w:rPr>
        <w:t>十、本规定自发布之日起执行，原国家经贸委、原国家计委、财政部和国家统计局2003年颁布的《中小企业标准暂行规定》同时废止。</w:t>
      </w:r>
    </w:p>
    <w:p w:rsidR="007900F6">
      <w:pPr>
        <w:spacing w:line="360" w:lineRule="auto"/>
        <w:ind w:left="480" w:hanging="480" w:hangingChars="200"/>
        <w:rPr>
          <w:rFonts w:ascii="黑体" w:eastAsia="黑体" w:hAnsi="宋体"/>
          <w:sz w:val="24"/>
        </w:rPr>
      </w:pPr>
      <w:r>
        <w:rPr>
          <w:rFonts w:ascii="黑体" w:eastAsia="黑体" w:hAnsi="宋体" w:hint="eastAsia"/>
          <w:sz w:val="24"/>
        </w:rPr>
        <w:t>55. 国家统计局关于印发《统计上大中小微型企业划分办法(2017)》的通知</w:t>
      </w:r>
    </w:p>
    <w:p w:rsidR="007900F6">
      <w:pPr>
        <w:spacing w:line="360" w:lineRule="auto"/>
        <w:ind w:left="480" w:hanging="480" w:hangingChars="200"/>
        <w:rPr>
          <w:rFonts w:ascii="黑体" w:eastAsia="黑体" w:hAnsi="宋体"/>
          <w:sz w:val="24"/>
        </w:rPr>
      </w:pPr>
    </w:p>
    <w:p w:rsidR="007900F6">
      <w:pPr>
        <w:spacing w:line="360" w:lineRule="auto"/>
        <w:ind w:left="480" w:hanging="480" w:hangingChars="200"/>
        <w:jc w:val="center"/>
        <w:rPr>
          <w:rFonts w:ascii="黑体" w:eastAsia="黑体" w:hAnsi="宋体"/>
          <w:sz w:val="24"/>
        </w:rPr>
      </w:pPr>
      <w:r>
        <w:rPr>
          <w:rFonts w:ascii="黑体" w:eastAsia="黑体" w:hAnsi="宋体" w:hint="eastAsia"/>
          <w:sz w:val="24"/>
        </w:rPr>
        <w:t>国家统计局关于印发《统计上大中小微型企业划分办法（</w:t>
      </w:r>
      <w:r>
        <w:rPr>
          <w:rFonts w:ascii="黑体" w:eastAsia="黑体" w:hAnsi="宋体"/>
          <w:sz w:val="24"/>
        </w:rPr>
        <w:t>2017</w:t>
      </w:r>
      <w:r>
        <w:rPr>
          <w:rFonts w:ascii="黑体" w:eastAsia="黑体" w:hAnsi="宋体" w:hint="eastAsia"/>
          <w:sz w:val="24"/>
        </w:rPr>
        <w:t>）》的通知</w:t>
      </w:r>
    </w:p>
    <w:p w:rsidR="007900F6">
      <w:pPr>
        <w:spacing w:line="360" w:lineRule="auto"/>
        <w:ind w:left="480" w:hanging="480" w:hangingChars="200"/>
        <w:jc w:val="center"/>
        <w:rPr>
          <w:rFonts w:ascii="黑体" w:eastAsia="黑体" w:hAnsi="宋体"/>
          <w:sz w:val="24"/>
        </w:rPr>
      </w:pPr>
      <w:r>
        <w:rPr>
          <w:rFonts w:ascii="黑体" w:eastAsia="黑体" w:hAnsi="宋体" w:hint="eastAsia"/>
          <w:sz w:val="24"/>
        </w:rPr>
        <w:t>（国统字〔2017〕213号）</w:t>
      </w:r>
    </w:p>
    <w:p w:rsidR="007900F6">
      <w:pPr>
        <w:widowControl/>
        <w:spacing w:line="300" w:lineRule="atLeast"/>
        <w:jc w:val="left"/>
        <w:rPr>
          <w:rFonts w:ascii="宋体" w:hAnsi="宋体" w:cs="宋体"/>
          <w:color w:val="333333"/>
          <w:kern w:val="0"/>
          <w:sz w:val="24"/>
        </w:rPr>
      </w:pPr>
      <w:r>
        <w:rPr>
          <w:color w:val="333333"/>
          <w:kern w:val="0"/>
          <w:sz w:val="24"/>
        </w:rPr>
        <w:t> </w:t>
      </w:r>
    </w:p>
    <w:p w:rsidR="007900F6">
      <w:pPr>
        <w:spacing w:line="360" w:lineRule="auto"/>
        <w:rPr>
          <w:rFonts w:ascii="宋体" w:hAnsi="宋体"/>
          <w:szCs w:val="21"/>
        </w:rPr>
      </w:pPr>
      <w:r>
        <w:rPr>
          <w:rFonts w:ascii="宋体" w:hAnsi="宋体" w:hint="eastAsia"/>
          <w:szCs w:val="21"/>
        </w:rPr>
        <w:t>各省、自治区、直辖市统计局，新疆生产建设兵团统计局，国务院各有关部门，国家统计局各调查总队：</w:t>
      </w:r>
    </w:p>
    <w:p w:rsidR="007900F6">
      <w:pPr>
        <w:spacing w:line="360" w:lineRule="auto"/>
        <w:ind w:firstLine="480" w:firstLineChars="200"/>
        <w:rPr>
          <w:rFonts w:ascii="宋体" w:hAnsi="宋体"/>
          <w:szCs w:val="21"/>
        </w:rPr>
      </w:pPr>
      <w:r>
        <w:rPr>
          <w:rFonts w:ascii="宋体" w:hAnsi="宋体" w:hint="eastAsia"/>
          <w:szCs w:val="21"/>
        </w:rPr>
        <w:t>《国民经济行业分类》（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）已正式实施，现对</w:t>
      </w:r>
      <w:r>
        <w:rPr>
          <w:rFonts w:ascii="宋体" w:hAnsi="宋体"/>
          <w:szCs w:val="21"/>
        </w:rPr>
        <w:t>2011</w:t>
      </w:r>
      <w:r>
        <w:rPr>
          <w:rFonts w:ascii="宋体" w:hAnsi="宋体" w:hint="eastAsia"/>
          <w:szCs w:val="21"/>
        </w:rPr>
        <w:t>年制定的《统计上大中小微型企业划分办法》进行修订。本次修订保持原有的分类原则、方法、结构框架和适用范围，仅将所涉及的行业按照《国民经济行业分类》（</w:t>
      </w:r>
      <w:r>
        <w:rPr>
          <w:rFonts w:ascii="宋体" w:hAnsi="宋体"/>
          <w:szCs w:val="21"/>
        </w:rPr>
        <w:t>GB/T 4754</w:t>
      </w:r>
      <w:r>
        <w:rPr>
          <w:rFonts w:ascii="宋体" w:hAnsi="宋体" w:hint="eastAsia"/>
          <w:szCs w:val="21"/>
        </w:rPr>
        <w:t>—</w:t>
      </w:r>
      <w:r>
        <w:rPr>
          <w:rFonts w:ascii="宋体" w:hAnsi="宋体"/>
          <w:szCs w:val="21"/>
        </w:rPr>
        <w:t>2011</w:t>
      </w:r>
      <w:r>
        <w:rPr>
          <w:rFonts w:ascii="宋体" w:hAnsi="宋体" w:hint="eastAsia"/>
          <w:szCs w:val="21"/>
        </w:rPr>
        <w:t>）和《国民经济行业分类》（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）的对应关系，进行相应调整，形成《统计上大中小微型企业划分办法（</w:t>
      </w:r>
      <w:r>
        <w:rPr>
          <w:rFonts w:ascii="宋体" w:hAnsi="宋体"/>
          <w:szCs w:val="21"/>
        </w:rPr>
        <w:t>2017</w:t>
      </w:r>
      <w:r>
        <w:rPr>
          <w:rFonts w:ascii="宋体" w:hAnsi="宋体" w:hint="eastAsia"/>
          <w:szCs w:val="21"/>
        </w:rPr>
        <w:t>）》。现将《统计上大中小微型企业划分办法（</w:t>
      </w:r>
      <w:r>
        <w:rPr>
          <w:rFonts w:ascii="宋体" w:hAnsi="宋体"/>
          <w:szCs w:val="21"/>
        </w:rPr>
        <w:t>2017</w:t>
      </w:r>
      <w:r>
        <w:rPr>
          <w:rFonts w:ascii="宋体" w:hAnsi="宋体" w:hint="eastAsia"/>
          <w:szCs w:val="21"/>
        </w:rPr>
        <w:t>）》印发给你们，请在统计工作中认真贯彻执行。</w:t>
      </w:r>
    </w:p>
    <w:p w:rsidR="007900F6">
      <w:pPr>
        <w:spacing w:line="360" w:lineRule="auto"/>
        <w:ind w:firstLine="480" w:firstLineChars="200"/>
        <w:rPr>
          <w:rFonts w:ascii="宋体" w:hAnsi="宋体"/>
          <w:szCs w:val="21"/>
        </w:rPr>
      </w:pPr>
      <w:r>
        <w:rPr>
          <w:rFonts w:ascii="宋体" w:hAnsi="宋体" w:hint="eastAsia"/>
          <w:szCs w:val="21"/>
        </w:rPr>
        <w:t>附件：《统计上大中小微型企业划分办法（</w:t>
      </w:r>
      <w:r>
        <w:rPr>
          <w:rFonts w:ascii="宋体" w:hAnsi="宋体"/>
          <w:szCs w:val="21"/>
        </w:rPr>
        <w:t>2017</w:t>
      </w:r>
      <w:r>
        <w:rPr>
          <w:rFonts w:ascii="宋体" w:hAnsi="宋体" w:hint="eastAsia"/>
          <w:szCs w:val="21"/>
        </w:rPr>
        <w:t>）》修订说明</w:t>
      </w:r>
    </w:p>
    <w:p w:rsidR="007900F6">
      <w:pPr>
        <w:spacing w:line="360" w:lineRule="auto"/>
        <w:jc w:val="right"/>
        <w:rPr>
          <w:rFonts w:ascii="宋体" w:hAnsi="宋体"/>
          <w:szCs w:val="21"/>
        </w:rPr>
      </w:pPr>
      <w:r>
        <w:rPr>
          <w:rFonts w:ascii="宋体" w:hAnsi="宋体" w:hint="eastAsia"/>
          <w:szCs w:val="21"/>
        </w:rPr>
        <w:t>国家统计局</w:t>
      </w:r>
    </w:p>
    <w:p w:rsidR="007900F6">
      <w:pPr>
        <w:spacing w:line="360" w:lineRule="auto"/>
        <w:jc w:val="right"/>
        <w:rPr>
          <w:rFonts w:ascii="宋体" w:hAnsi="宋体"/>
          <w:szCs w:val="21"/>
        </w:rPr>
      </w:pPr>
      <w:r>
        <w:rPr>
          <w:rFonts w:ascii="宋体" w:hAnsi="宋体"/>
          <w:szCs w:val="21"/>
        </w:rPr>
        <w:t>2017</w:t>
      </w:r>
      <w:r>
        <w:rPr>
          <w:rFonts w:ascii="宋体" w:hAnsi="宋体" w:hint="eastAsia"/>
          <w:szCs w:val="21"/>
        </w:rPr>
        <w:t>年</w:t>
      </w:r>
      <w:r>
        <w:rPr>
          <w:rFonts w:ascii="宋体" w:hAnsi="宋体"/>
          <w:szCs w:val="21"/>
        </w:rPr>
        <w:t>12</w:t>
      </w:r>
      <w:r>
        <w:rPr>
          <w:rFonts w:ascii="宋体" w:hAnsi="宋体" w:hint="eastAsia"/>
          <w:szCs w:val="21"/>
        </w:rPr>
        <w:t>月</w:t>
      </w:r>
      <w:r>
        <w:rPr>
          <w:rFonts w:ascii="宋体" w:hAnsi="宋体"/>
          <w:szCs w:val="21"/>
        </w:rPr>
        <w:t>28</w:t>
      </w:r>
      <w:r>
        <w:rPr>
          <w:rFonts w:ascii="宋体" w:hAnsi="宋体" w:hint="eastAsia"/>
          <w:szCs w:val="21"/>
        </w:rPr>
        <w:t>日</w:t>
      </w:r>
    </w:p>
    <w:p w:rsidR="007900F6">
      <w:pPr>
        <w:widowControl/>
        <w:spacing w:line="300" w:lineRule="atLeast"/>
        <w:jc w:val="left"/>
        <w:rPr>
          <w:rFonts w:ascii="宋体" w:hAnsi="宋体" w:cs="宋体"/>
          <w:color w:val="333333"/>
          <w:kern w:val="0"/>
          <w:sz w:val="24"/>
        </w:rPr>
      </w:pPr>
      <w:r>
        <w:rPr>
          <w:color w:val="333333"/>
          <w:kern w:val="0"/>
          <w:sz w:val="24"/>
        </w:rPr>
        <w:t> </w:t>
      </w:r>
    </w:p>
    <w:p w:rsidR="007900F6">
      <w:pPr>
        <w:spacing w:line="360" w:lineRule="auto"/>
        <w:ind w:left="480" w:hanging="480" w:hangingChars="200"/>
        <w:jc w:val="center"/>
        <w:rPr>
          <w:rFonts w:ascii="宋体" w:hAnsi="宋体" w:cs="宋体"/>
          <w:color w:val="333333"/>
          <w:kern w:val="0"/>
          <w:sz w:val="24"/>
        </w:rPr>
      </w:pPr>
      <w:r>
        <w:rPr>
          <w:rFonts w:ascii="黑体" w:eastAsia="黑体" w:hAnsi="宋体" w:hint="eastAsia"/>
          <w:sz w:val="24"/>
        </w:rPr>
        <w:t>统计上大中小微型企业划分办法（</w:t>
      </w:r>
      <w:r>
        <w:rPr>
          <w:rFonts w:ascii="黑体" w:eastAsia="黑体" w:hAnsi="宋体"/>
          <w:sz w:val="24"/>
        </w:rPr>
        <w:t>2017</w:t>
      </w:r>
      <w:r>
        <w:rPr>
          <w:rFonts w:ascii="黑体" w:eastAsia="黑体" w:hAnsi="宋体" w:hint="eastAsia"/>
          <w:sz w:val="24"/>
        </w:rPr>
        <w:t>）</w:t>
      </w:r>
    </w:p>
    <w:p w:rsidR="007900F6">
      <w:pPr>
        <w:widowControl/>
        <w:spacing w:line="300" w:lineRule="atLeast"/>
        <w:jc w:val="left"/>
        <w:rPr>
          <w:rFonts w:ascii="宋体" w:hAnsi="宋体" w:cs="宋体"/>
          <w:color w:val="333333"/>
          <w:kern w:val="0"/>
          <w:sz w:val="24"/>
        </w:rPr>
      </w:pPr>
      <w:r>
        <w:rPr>
          <w:color w:val="333333"/>
          <w:kern w:val="0"/>
          <w:sz w:val="24"/>
        </w:rPr>
        <w:t> </w:t>
      </w:r>
    </w:p>
    <w:p w:rsidR="007900F6">
      <w:pPr>
        <w:spacing w:line="360" w:lineRule="auto"/>
        <w:ind w:firstLine="480" w:firstLineChars="200"/>
        <w:rPr>
          <w:rFonts w:ascii="宋体" w:hAnsi="宋体"/>
          <w:szCs w:val="21"/>
        </w:rPr>
      </w:pPr>
      <w:r>
        <w:rPr>
          <w:rFonts w:ascii="宋体" w:hAnsi="宋体" w:hint="eastAsia"/>
          <w:szCs w:val="21"/>
        </w:rPr>
        <w:t>一、根据工业和信息化部、国家统计局、国家发展改革委、财政部《关于印发中小企业划型标准规定的通知》（工信部联企业〔</w:t>
      </w:r>
      <w:r>
        <w:rPr>
          <w:rFonts w:ascii="宋体" w:hAnsi="宋体"/>
          <w:szCs w:val="21"/>
        </w:rPr>
        <w:t>2011</w:t>
      </w:r>
      <w:r>
        <w:rPr>
          <w:rFonts w:ascii="宋体" w:hAnsi="宋体" w:hint="eastAsia"/>
          <w:szCs w:val="21"/>
        </w:rPr>
        <w:t>〕</w:t>
      </w:r>
      <w:r>
        <w:rPr>
          <w:rFonts w:ascii="宋体" w:hAnsi="宋体"/>
          <w:szCs w:val="21"/>
        </w:rPr>
        <w:t>300</w:t>
      </w:r>
      <w:r>
        <w:rPr>
          <w:rFonts w:ascii="宋体" w:hAnsi="宋体" w:hint="eastAsia"/>
          <w:szCs w:val="21"/>
        </w:rPr>
        <w:t>号），以《国民经济行业分类》（</w:t>
      </w:r>
      <w:r>
        <w:rPr>
          <w:rFonts w:ascii="宋体" w:hAnsi="宋体"/>
          <w:szCs w:val="21"/>
        </w:rPr>
        <w:t>GB/T4754-2017</w:t>
      </w:r>
      <w:r>
        <w:rPr>
          <w:rFonts w:ascii="宋体" w:hAnsi="宋体" w:hint="eastAsia"/>
          <w:szCs w:val="21"/>
        </w:rPr>
        <w:t>）为基础，结合统计工作的实际情况，制定本办法。</w:t>
      </w:r>
    </w:p>
    <w:p w:rsidR="007900F6">
      <w:pPr>
        <w:spacing w:line="360" w:lineRule="auto"/>
        <w:ind w:firstLine="480" w:firstLineChars="200"/>
        <w:rPr>
          <w:rFonts w:ascii="宋体" w:hAnsi="宋体"/>
          <w:szCs w:val="21"/>
        </w:rPr>
      </w:pPr>
      <w:r>
        <w:rPr>
          <w:rFonts w:ascii="宋体" w:hAnsi="宋体" w:hint="eastAsia"/>
          <w:szCs w:val="21"/>
        </w:rPr>
        <w:t>二、本办法适用对象为在中华人民共和国境内依法设立的各种组织形式的法人企业或单位。个体工商户参照本办法进行划分。</w:t>
      </w:r>
    </w:p>
    <w:p w:rsidR="007900F6">
      <w:pPr>
        <w:spacing w:line="360" w:lineRule="auto"/>
        <w:ind w:firstLine="480" w:firstLineChars="200"/>
        <w:rPr>
          <w:rFonts w:ascii="宋体" w:hAnsi="宋体"/>
          <w:szCs w:val="21"/>
        </w:rPr>
      </w:pPr>
      <w:r>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Pr>
          <w:rFonts w:ascii="宋体" w:hAnsi="宋体"/>
          <w:szCs w:val="21"/>
        </w:rPr>
        <w:t>15</w:t>
      </w:r>
      <w:r>
        <w:rPr>
          <w:rFonts w:ascii="宋体" w:hAnsi="宋体" w:hint="eastAsia"/>
          <w:szCs w:val="21"/>
        </w:rPr>
        <w:t>个行业门类以及社会工作行业大类。</w:t>
      </w:r>
    </w:p>
    <w:p w:rsidR="007900F6">
      <w:pPr>
        <w:spacing w:line="360" w:lineRule="auto"/>
        <w:ind w:firstLine="480" w:firstLineChars="200"/>
        <w:rPr>
          <w:rFonts w:ascii="宋体" w:hAnsi="宋体"/>
          <w:szCs w:val="21"/>
        </w:rPr>
      </w:pPr>
      <w:r>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7900F6">
      <w:pPr>
        <w:spacing w:line="360" w:lineRule="auto"/>
        <w:ind w:firstLine="480" w:firstLineChars="200"/>
        <w:rPr>
          <w:rFonts w:ascii="宋体" w:hAnsi="宋体"/>
          <w:szCs w:val="21"/>
        </w:rPr>
      </w:pPr>
      <w:r>
        <w:rPr>
          <w:rFonts w:ascii="宋体" w:hAnsi="宋体" w:hint="eastAsia"/>
          <w:szCs w:val="21"/>
        </w:rPr>
        <w:t>五、企业划分由政府综合统计部门根据统计年报每年确定一次，定报统计原则上不进行调整。</w:t>
      </w:r>
    </w:p>
    <w:p w:rsidR="007900F6">
      <w:pPr>
        <w:spacing w:line="360" w:lineRule="auto"/>
        <w:ind w:firstLine="480" w:firstLineChars="200"/>
        <w:rPr>
          <w:rFonts w:ascii="宋体" w:hAnsi="宋体"/>
          <w:szCs w:val="21"/>
        </w:rPr>
      </w:pPr>
      <w:r>
        <w:rPr>
          <w:rFonts w:ascii="宋体" w:hAnsi="宋体" w:hint="eastAsia"/>
          <w:szCs w:val="21"/>
        </w:rPr>
        <w:t>六、本办法自印发之日起执行，国家统计局</w:t>
      </w:r>
      <w:r>
        <w:rPr>
          <w:rFonts w:ascii="宋体" w:hAnsi="宋体"/>
          <w:szCs w:val="21"/>
        </w:rPr>
        <w:t>2011</w:t>
      </w:r>
      <w:r>
        <w:rPr>
          <w:rFonts w:ascii="宋体" w:hAnsi="宋体" w:hint="eastAsia"/>
          <w:szCs w:val="21"/>
        </w:rPr>
        <w:t>年印发的《统计上大中小微型企业划分办法》（国统字〔</w:t>
      </w:r>
      <w:r>
        <w:rPr>
          <w:rFonts w:ascii="宋体" w:hAnsi="宋体"/>
          <w:szCs w:val="21"/>
        </w:rPr>
        <w:t>2011</w:t>
      </w:r>
      <w:r>
        <w:rPr>
          <w:rFonts w:ascii="宋体" w:hAnsi="宋体" w:hint="eastAsia"/>
          <w:szCs w:val="21"/>
        </w:rPr>
        <w:t>〕</w:t>
      </w:r>
      <w:r>
        <w:rPr>
          <w:rFonts w:ascii="宋体" w:hAnsi="宋体"/>
          <w:szCs w:val="21"/>
        </w:rPr>
        <w:t>75</w:t>
      </w:r>
      <w:r>
        <w:rPr>
          <w:rFonts w:ascii="宋体" w:hAnsi="宋体" w:hint="eastAsia"/>
          <w:szCs w:val="21"/>
        </w:rPr>
        <w:t>号）同时废止。</w:t>
      </w:r>
    </w:p>
    <w:p w:rsidR="007900F6">
      <w:pPr>
        <w:spacing w:line="360" w:lineRule="auto"/>
        <w:ind w:left="480" w:hanging="480" w:hangingChars="200"/>
        <w:jc w:val="left"/>
        <w:rPr>
          <w:rFonts w:ascii="黑体" w:eastAsia="黑体" w:hAnsi="宋体"/>
          <w:sz w:val="24"/>
        </w:rPr>
      </w:pPr>
      <w:r>
        <w:rPr>
          <w:rFonts w:ascii="黑体" w:eastAsia="黑体" w:hAnsi="宋体" w:hint="eastAsia"/>
          <w:sz w:val="24"/>
        </w:rPr>
        <w:t>附表</w:t>
      </w:r>
    </w:p>
    <w:p w:rsidR="007900F6">
      <w:pPr>
        <w:spacing w:line="360" w:lineRule="auto"/>
        <w:ind w:left="480" w:hanging="480" w:hangingChars="200"/>
        <w:jc w:val="center"/>
        <w:rPr>
          <w:rFonts w:ascii="黑体" w:eastAsia="黑体" w:hAnsi="宋体"/>
          <w:sz w:val="24"/>
        </w:rPr>
      </w:pPr>
      <w:r>
        <w:rPr>
          <w:rFonts w:ascii="黑体" w:eastAsia="黑体" w:hAnsi="宋体" w:hint="eastAsia"/>
          <w:sz w:val="24"/>
        </w:rPr>
        <w:t>统计上大中小微型企业划分标准</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13"/>
        <w:gridCol w:w="1369"/>
        <w:gridCol w:w="709"/>
        <w:gridCol w:w="1125"/>
        <w:gridCol w:w="1701"/>
        <w:gridCol w:w="1426"/>
        <w:gridCol w:w="992"/>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hRule="exact" w:val="622"/>
          <w:jc w:val="center"/>
        </w:trPr>
        <w:tc>
          <w:tcPr>
            <w:tcW w:w="2113" w:type="dxa"/>
            <w:vAlign w:val="center"/>
          </w:tcPr>
          <w:p w:rsidR="007900F6">
            <w:pPr>
              <w:widowControl/>
              <w:spacing w:line="240" w:lineRule="exact"/>
              <w:jc w:val="center"/>
              <w:rPr>
                <w:rFonts w:ascii="宋体" w:hAnsi="宋体" w:cs="宋体"/>
                <w:b/>
                <w:bCs/>
                <w:color w:val="000000"/>
                <w:kern w:val="0"/>
                <w:sz w:val="18"/>
                <w:szCs w:val="21"/>
              </w:rPr>
            </w:pPr>
            <w:r>
              <w:rPr>
                <w:rFonts w:ascii="宋体" w:hAnsi="宋体" w:cs="宋体" w:hint="eastAsia"/>
                <w:b/>
                <w:bCs/>
                <w:color w:val="000000"/>
                <w:kern w:val="0"/>
                <w:sz w:val="18"/>
                <w:szCs w:val="21"/>
              </w:rPr>
              <w:t>行业名称</w:t>
            </w:r>
          </w:p>
        </w:tc>
        <w:tc>
          <w:tcPr>
            <w:tcW w:w="1369" w:type="dxa"/>
            <w:vAlign w:val="center"/>
          </w:tcPr>
          <w:p w:rsidR="007900F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指标名称</w:t>
            </w:r>
          </w:p>
        </w:tc>
        <w:tc>
          <w:tcPr>
            <w:tcW w:w="709" w:type="dxa"/>
            <w:vAlign w:val="center"/>
          </w:tcPr>
          <w:p w:rsidR="007900F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计量</w:t>
              <w:br/>
              <w:t>单位</w:t>
            </w:r>
          </w:p>
        </w:tc>
        <w:tc>
          <w:tcPr>
            <w:tcW w:w="1125" w:type="dxa"/>
            <w:vAlign w:val="center"/>
          </w:tcPr>
          <w:p w:rsidR="007900F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大型</w:t>
            </w:r>
          </w:p>
        </w:tc>
        <w:tc>
          <w:tcPr>
            <w:tcW w:w="1701" w:type="dxa"/>
            <w:vAlign w:val="center"/>
          </w:tcPr>
          <w:p w:rsidR="007900F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中型</w:t>
            </w:r>
          </w:p>
        </w:tc>
        <w:tc>
          <w:tcPr>
            <w:tcW w:w="1426" w:type="dxa"/>
            <w:vAlign w:val="center"/>
          </w:tcPr>
          <w:p w:rsidR="007900F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小型</w:t>
            </w:r>
          </w:p>
        </w:tc>
        <w:tc>
          <w:tcPr>
            <w:tcW w:w="992" w:type="dxa"/>
            <w:vAlign w:val="center"/>
          </w:tcPr>
          <w:p w:rsidR="007900F6">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微型</w:t>
            </w:r>
          </w:p>
        </w:tc>
      </w:tr>
      <w:tr>
        <w:tblPrEx>
          <w:tblW w:w="0" w:type="auto"/>
          <w:jc w:val="center"/>
          <w:tblInd w:w="0" w:type="dxa"/>
          <w:tblLayout w:type="fixed"/>
          <w:tblLook w:val="0000"/>
        </w:tblPrEx>
        <w:trPr>
          <w:trHeight w:hRule="exact" w:val="397"/>
          <w:jc w:val="center"/>
        </w:trPr>
        <w:tc>
          <w:tcPr>
            <w:tcW w:w="2113" w:type="dxa"/>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农、林、牧、渔业</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50≤Y＜500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tblPrEx>
          <w:tblW w:w="0" w:type="auto"/>
          <w:jc w:val="center"/>
          <w:tblInd w:w="0" w:type="dxa"/>
          <w:tblLayout w:type="fixed"/>
          <w:tblLook w:val="0000"/>
        </w:tblPrEx>
        <w:trPr>
          <w:trHeight w:hRule="exact" w:val="397"/>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工业 *</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Ind w:w="0" w:type="dxa"/>
          <w:tblLayout w:type="fixed"/>
          <w:tblLook w:val="0000"/>
        </w:tblPrEx>
        <w:trPr>
          <w:trHeight w:hRule="exact" w:val="397"/>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2000≤Y＜40000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300≤Y＜2000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tblPrEx>
          <w:tblW w:w="0" w:type="auto"/>
          <w:jc w:val="center"/>
          <w:tblInd w:w="0" w:type="dxa"/>
          <w:tblLayout w:type="fixed"/>
          <w:tblLook w:val="0000"/>
        </w:tblPrEx>
        <w:trPr>
          <w:trHeight w:hRule="exact" w:val="397"/>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建筑业</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Y≥80000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6000≤Y＜80000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300≤Y＜6000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tblPrEx>
          <w:tblW w:w="0" w:type="auto"/>
          <w:jc w:val="center"/>
          <w:tblInd w:w="0" w:type="dxa"/>
          <w:tblLayout w:type="fixed"/>
          <w:tblLook w:val="0000"/>
        </w:tblPrEx>
        <w:trPr>
          <w:trHeight w:hRule="exact" w:val="397"/>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Z≥80000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5000≤Z＜80000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300≤Z＜5000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Z＜300</w:t>
            </w:r>
          </w:p>
        </w:tc>
      </w:tr>
      <w:tr>
        <w:tblPrEx>
          <w:tblW w:w="0" w:type="auto"/>
          <w:jc w:val="center"/>
          <w:tblInd w:w="0" w:type="dxa"/>
          <w:tblLayout w:type="fixed"/>
          <w:tblLook w:val="0000"/>
        </w:tblPrEx>
        <w:trPr>
          <w:trHeight w:hRule="exact" w:val="397"/>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批发业</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20≤X＜200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5≤X＜20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X＜5</w:t>
            </w:r>
          </w:p>
        </w:tc>
      </w:tr>
      <w:tr>
        <w:tblPrEx>
          <w:tblW w:w="0" w:type="auto"/>
          <w:jc w:val="center"/>
          <w:tblInd w:w="0" w:type="dxa"/>
          <w:tblLayout w:type="fixed"/>
          <w:tblLook w:val="0000"/>
        </w:tblPrEx>
        <w:trPr>
          <w:trHeight w:hRule="exact" w:val="397"/>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5000≤Y＜40000</w:t>
            </w:r>
          </w:p>
        </w:tc>
        <w:tc>
          <w:tcPr>
            <w:tcW w:w="1426" w:type="dxa"/>
            <w:vAlign w:val="center"/>
          </w:tcPr>
          <w:p w:rsidR="007900F6">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1000≤Y＜5000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w:t>
            </w:r>
          </w:p>
        </w:tc>
      </w:tr>
      <w:tr>
        <w:tblPrEx>
          <w:tblW w:w="0" w:type="auto"/>
          <w:jc w:val="center"/>
          <w:tblInd w:w="0" w:type="dxa"/>
          <w:tblLayout w:type="fixed"/>
          <w:tblLook w:val="0000"/>
        </w:tblPrEx>
        <w:trPr>
          <w:trHeight w:hRule="exact" w:val="397"/>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零售业</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50≤X＜300</w:t>
            </w:r>
          </w:p>
        </w:tc>
        <w:tc>
          <w:tcPr>
            <w:tcW w:w="1426" w:type="dxa"/>
            <w:vAlign w:val="center"/>
          </w:tcPr>
          <w:p w:rsidR="007900F6">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 xml:space="preserve">10≤X＜50 </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Ind w:w="0" w:type="dxa"/>
          <w:tblLayout w:type="fixed"/>
          <w:tblLook w:val="0000"/>
        </w:tblPrEx>
        <w:trPr>
          <w:trHeight w:hRule="exact" w:val="397"/>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vAlign w:val="center"/>
          </w:tcPr>
          <w:p w:rsidR="007900F6">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 xml:space="preserve">100≤Y＜500 </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Ind w:w="0" w:type="dxa"/>
          <w:tblLayout w:type="fixed"/>
          <w:tblLook w:val="0000"/>
        </w:tblPrEx>
        <w:trPr>
          <w:trHeight w:hRule="exact" w:val="397"/>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交通运输业 *</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Ind w:w="0" w:type="dxa"/>
          <w:tblLayout w:type="fixed"/>
          <w:tblLook w:val="0000"/>
        </w:tblPrEx>
        <w:trPr>
          <w:trHeight w:hRule="exact" w:val="397"/>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3000≤Y＜30000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200≤Y＜3000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Y＜200</w:t>
            </w:r>
          </w:p>
        </w:tc>
      </w:tr>
      <w:tr>
        <w:tblPrEx>
          <w:tblW w:w="0" w:type="auto"/>
          <w:jc w:val="center"/>
          <w:tblInd w:w="0" w:type="dxa"/>
          <w:tblLayout w:type="fixed"/>
          <w:tblLook w:val="0000"/>
        </w:tblPrEx>
        <w:trPr>
          <w:trHeight w:hRule="exact" w:val="397"/>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仓储业*</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vAlign w:val="center"/>
          </w:tcPr>
          <w:p w:rsidR="007900F6">
            <w:pPr>
              <w:widowControl/>
              <w:ind w:left="22" w:hanging="144"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100≤X＜200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20≤X＜100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Ind w:w="0" w:type="dxa"/>
          <w:tblLayout w:type="fixed"/>
          <w:tblLook w:val="0000"/>
        </w:tblPrEx>
        <w:trPr>
          <w:trHeight w:hRule="exact" w:val="397"/>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1000≤Y＜30000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Ind w:w="0" w:type="dxa"/>
          <w:tblLayout w:type="fixed"/>
          <w:tblLook w:val="0000"/>
        </w:tblPrEx>
        <w:trPr>
          <w:trHeight w:hRule="exact" w:val="397"/>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邮政业</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Ind w:w="0" w:type="dxa"/>
          <w:tblLayout w:type="fixed"/>
          <w:tblLook w:val="0000"/>
        </w:tblPrEx>
        <w:trPr>
          <w:trHeight w:hRule="exact" w:val="397"/>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2000≤Y＜30000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Ind w:w="0" w:type="dxa"/>
          <w:tblLayout w:type="fixed"/>
          <w:tblLook w:val="0000"/>
        </w:tblPrEx>
        <w:trPr>
          <w:trHeight w:hRule="exact" w:val="397"/>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住宿业</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7900F6">
            <w:pPr>
              <w:widowControl/>
              <w:ind w:left="22" w:hanging="144"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Ind w:w="0" w:type="dxa"/>
          <w:tblLayout w:type="fixed"/>
          <w:tblLook w:val="0000"/>
        </w:tblPrEx>
        <w:trPr>
          <w:trHeight w:hRule="exact" w:val="397"/>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Ind w:w="0" w:type="dxa"/>
          <w:tblLayout w:type="fixed"/>
          <w:tblLook w:val="0000"/>
        </w:tblPrEx>
        <w:trPr>
          <w:trHeight w:hRule="exact" w:val="397"/>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餐饮业</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7900F6">
            <w:pPr>
              <w:widowControl/>
              <w:ind w:left="22" w:hanging="144"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Ind w:w="0" w:type="dxa"/>
          <w:tblLayout w:type="fixed"/>
          <w:tblLook w:val="0000"/>
        </w:tblPrEx>
        <w:trPr>
          <w:trHeight w:hRule="exact" w:val="397"/>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Ind w:w="0" w:type="dxa"/>
          <w:tblLayout w:type="fixed"/>
          <w:tblLook w:val="0000"/>
        </w:tblPrEx>
        <w:trPr>
          <w:trHeight w:hRule="exact" w:val="397"/>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信息传输业 *</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X≥2000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100≤X＜2000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Ind w:w="0" w:type="dxa"/>
          <w:tblLayout w:type="fixed"/>
          <w:tblLook w:val="0000"/>
        </w:tblPrEx>
        <w:trPr>
          <w:trHeight w:hRule="exact" w:val="397"/>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1000≤Y＜100000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Ind w:w="0" w:type="dxa"/>
          <w:tblLayout w:type="fixed"/>
          <w:tblLook w:val="0000"/>
        </w:tblPrEx>
        <w:trPr>
          <w:trHeight w:hRule="exact" w:val="340"/>
          <w:jc w:val="center"/>
        </w:trPr>
        <w:tc>
          <w:tcPr>
            <w:tcW w:w="2113" w:type="dxa"/>
            <w:vMerge w:val="restart"/>
            <w:vAlign w:val="center"/>
          </w:tcPr>
          <w:p w:rsidR="007900F6">
            <w:pPr>
              <w:widowControl/>
              <w:spacing w:line="240" w:lineRule="exact"/>
              <w:jc w:val="left"/>
              <w:rPr>
                <w:rFonts w:ascii="宋体" w:hAnsi="宋体" w:cs="宋体"/>
                <w:color w:val="000000"/>
                <w:spacing w:val="-12"/>
                <w:kern w:val="0"/>
                <w:sz w:val="18"/>
                <w:szCs w:val="18"/>
              </w:rPr>
            </w:pPr>
            <w:r>
              <w:rPr>
                <w:rFonts w:ascii="宋体" w:hAnsi="宋体" w:cs="宋体" w:hint="eastAsia"/>
                <w:color w:val="000000"/>
                <w:spacing w:val="-12"/>
                <w:kern w:val="0"/>
                <w:sz w:val="18"/>
                <w:szCs w:val="18"/>
              </w:rPr>
              <w:t>软件和信息技术服</w:t>
            </w:r>
            <w:r>
              <w:rPr>
                <w:rFonts w:ascii="宋体" w:hAnsi="宋体" w:cs="宋体" w:hint="eastAsia"/>
                <w:color w:val="000000"/>
                <w:kern w:val="0"/>
                <w:sz w:val="18"/>
                <w:szCs w:val="18"/>
              </w:rPr>
              <w:t>务业</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7900F6">
            <w:pPr>
              <w:widowControl/>
              <w:ind w:left="22" w:hanging="144"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Ind w:w="0" w:type="dxa"/>
          <w:tblLayout w:type="fixed"/>
          <w:tblLook w:val="0000"/>
        </w:tblPrEx>
        <w:trPr>
          <w:trHeight w:hRule="exact" w:val="340"/>
          <w:jc w:val="center"/>
        </w:trPr>
        <w:tc>
          <w:tcPr>
            <w:tcW w:w="2113" w:type="dxa"/>
            <w:vMerge/>
            <w:vAlign w:val="center"/>
          </w:tcPr>
          <w:p w:rsidR="007900F6">
            <w:pPr>
              <w:widowControl/>
              <w:jc w:val="left"/>
              <w:rPr>
                <w:rFonts w:ascii="宋体" w:hAnsi="宋体" w:cs="宋体"/>
                <w:color w:val="000000"/>
                <w:spacing w:val="-12"/>
                <w:kern w:val="0"/>
                <w:sz w:val="18"/>
                <w:szCs w:val="18"/>
              </w:rPr>
            </w:pP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1000≤Y＜10000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50≤Y＜1000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tblPrEx>
          <w:tblW w:w="0" w:type="auto"/>
          <w:jc w:val="center"/>
          <w:tblInd w:w="0" w:type="dxa"/>
          <w:tblLayout w:type="fixed"/>
          <w:tblLook w:val="0000"/>
        </w:tblPrEx>
        <w:trPr>
          <w:trHeight w:hRule="exact" w:val="340"/>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房地产开发经营</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1000≤Y＜200000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Ind w:w="0" w:type="dxa"/>
          <w:tblLayout w:type="fixed"/>
          <w:tblLook w:val="0000"/>
        </w:tblPrEx>
        <w:trPr>
          <w:trHeight w:hRule="exact" w:val="340"/>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Z≥10000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5000≤Z＜10000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2000≤Z＜5000   </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Z＜2000</w:t>
            </w:r>
          </w:p>
        </w:tc>
      </w:tr>
      <w:tr>
        <w:tblPrEx>
          <w:tblW w:w="0" w:type="auto"/>
          <w:jc w:val="center"/>
          <w:tblInd w:w="0" w:type="dxa"/>
          <w:tblLayout w:type="fixed"/>
          <w:tblLook w:val="0000"/>
        </w:tblPrEx>
        <w:trPr>
          <w:trHeight w:hRule="exact" w:val="340"/>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物业管理</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X＜100</w:t>
            </w:r>
          </w:p>
        </w:tc>
      </w:tr>
      <w:tr>
        <w:tblPrEx>
          <w:tblW w:w="0" w:type="auto"/>
          <w:jc w:val="center"/>
          <w:tblInd w:w="0" w:type="dxa"/>
          <w:tblLayout w:type="fixed"/>
          <w:tblLook w:val="0000"/>
        </w:tblPrEx>
        <w:trPr>
          <w:trHeight w:hRule="exact" w:val="340"/>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Y≥5000</w:t>
            </w:r>
          </w:p>
        </w:tc>
        <w:tc>
          <w:tcPr>
            <w:tcW w:w="1701" w:type="dxa"/>
            <w:vAlign w:val="center"/>
          </w:tcPr>
          <w:p w:rsidR="007900F6">
            <w:pPr>
              <w:widowControl/>
              <w:ind w:left="22" w:hanging="144"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1000≤Y＜5000 </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500≤Y＜1000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Y＜500</w:t>
            </w:r>
          </w:p>
        </w:tc>
      </w:tr>
      <w:tr>
        <w:tblPrEx>
          <w:tblW w:w="0" w:type="auto"/>
          <w:jc w:val="center"/>
          <w:tblInd w:w="0" w:type="dxa"/>
          <w:tblLayout w:type="fixed"/>
          <w:tblLook w:val="0000"/>
        </w:tblPrEx>
        <w:trPr>
          <w:trHeight w:hRule="exact" w:val="340"/>
          <w:jc w:val="center"/>
        </w:trPr>
        <w:tc>
          <w:tcPr>
            <w:tcW w:w="2113" w:type="dxa"/>
            <w:vMerge w:val="restart"/>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租赁和商务服务业</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7900F6">
            <w:pPr>
              <w:widowControl/>
              <w:ind w:left="22" w:hanging="144"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Ind w:w="0" w:type="dxa"/>
          <w:tblLayout w:type="fixed"/>
          <w:tblLook w:val="0000"/>
        </w:tblPrEx>
        <w:trPr>
          <w:trHeight w:hRule="exact" w:val="340"/>
          <w:jc w:val="center"/>
        </w:trPr>
        <w:tc>
          <w:tcPr>
            <w:tcW w:w="2113" w:type="dxa"/>
            <w:vMerge/>
            <w:vAlign w:val="center"/>
          </w:tcPr>
          <w:p w:rsidR="007900F6">
            <w:pPr>
              <w:widowControl/>
              <w:jc w:val="left"/>
              <w:rPr>
                <w:rFonts w:ascii="宋体" w:hAnsi="宋体" w:cs="宋体"/>
                <w:color w:val="000000"/>
                <w:kern w:val="0"/>
                <w:sz w:val="18"/>
                <w:szCs w:val="18"/>
              </w:rPr>
            </w:pPr>
          </w:p>
        </w:tc>
        <w:tc>
          <w:tcPr>
            <w:tcW w:w="1369" w:type="dxa"/>
            <w:vAlign w:val="center"/>
          </w:tcPr>
          <w:p w:rsidR="007900F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Z≥120000</w:t>
            </w:r>
          </w:p>
        </w:tc>
        <w:tc>
          <w:tcPr>
            <w:tcW w:w="1701"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8000≤Z＜120000</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100≤Z＜8000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Z＜100</w:t>
            </w:r>
          </w:p>
        </w:tc>
      </w:tr>
      <w:tr>
        <w:tblPrEx>
          <w:tblW w:w="0" w:type="auto"/>
          <w:jc w:val="center"/>
          <w:tblInd w:w="0" w:type="dxa"/>
          <w:tblLayout w:type="fixed"/>
          <w:tblLook w:val="0000"/>
        </w:tblPrEx>
        <w:trPr>
          <w:trHeight w:hRule="exact" w:val="397"/>
          <w:jc w:val="center"/>
        </w:trPr>
        <w:tc>
          <w:tcPr>
            <w:tcW w:w="2113" w:type="dxa"/>
            <w:vAlign w:val="center"/>
          </w:tcPr>
          <w:p w:rsidR="007900F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其他未列明行业 *</w:t>
            </w:r>
          </w:p>
        </w:tc>
        <w:tc>
          <w:tcPr>
            <w:tcW w:w="136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7900F6">
            <w:pPr>
              <w:widowControl/>
              <w:ind w:left="22" w:hanging="144"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7900F6">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bl>
    <w:p w:rsidR="007900F6">
      <w:pPr>
        <w:spacing w:line="360" w:lineRule="auto"/>
        <w:rPr>
          <w:rFonts w:ascii="宋体" w:hAnsi="宋体"/>
          <w:szCs w:val="21"/>
        </w:rPr>
      </w:pPr>
      <w:r>
        <w:rPr>
          <w:rFonts w:ascii="宋体" w:hAnsi="宋体" w:hint="eastAsia"/>
          <w:szCs w:val="21"/>
        </w:rPr>
        <w:t>说明：</w:t>
      </w:r>
    </w:p>
    <w:p w:rsidR="007900F6">
      <w:pPr>
        <w:spacing w:line="360" w:lineRule="auto"/>
        <w:ind w:firstLine="480" w:firstLineChars="200"/>
        <w:rPr>
          <w:rFonts w:ascii="宋体" w:hAnsi="宋体"/>
          <w:szCs w:val="21"/>
        </w:rPr>
      </w:pPr>
      <w:r>
        <w:rPr>
          <w:rFonts w:ascii="宋体" w:hAnsi="宋体" w:hint="eastAsia"/>
          <w:szCs w:val="21"/>
        </w:rPr>
        <w:t>1.大型、中型和小型企业须同时满足所列指标的下限，否则下划一档；微型企业只须满足所列指标中的一项即可。</w:t>
      </w:r>
    </w:p>
    <w:p w:rsidR="007900F6">
      <w:pPr>
        <w:spacing w:line="360" w:lineRule="auto"/>
        <w:ind w:firstLine="480" w:firstLineChars="200"/>
        <w:rPr>
          <w:rFonts w:ascii="宋体" w:hAnsi="宋体"/>
          <w:szCs w:val="21"/>
        </w:rPr>
      </w:pPr>
      <w:r>
        <w:rPr>
          <w:rFonts w:ascii="宋体" w:hAnsi="宋体" w:hint="eastAsia"/>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7900F6">
      <w:pPr>
        <w:spacing w:line="360" w:lineRule="auto"/>
        <w:ind w:firstLine="480" w:firstLineChars="200"/>
        <w:rPr>
          <w:rFonts w:ascii="宋体" w:hAnsi="宋体"/>
          <w:szCs w:val="21"/>
        </w:rPr>
      </w:pPr>
      <w:r>
        <w:rPr>
          <w:rFonts w:ascii="宋体" w:hAnsi="宋体" w:hint="eastAsia"/>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7900F6">
      <w:pPr>
        <w:spacing w:line="360" w:lineRule="auto"/>
        <w:ind w:left="348" w:hanging="348" w:hangingChars="145"/>
        <w:rPr>
          <w:rFonts w:ascii="黑体" w:eastAsia="黑体" w:hAnsi="宋体"/>
          <w:sz w:val="24"/>
        </w:rPr>
      </w:pPr>
      <w:r>
        <w:rPr>
          <w:rFonts w:ascii="黑体" w:eastAsia="黑体" w:hAnsi="宋体" w:hint="eastAsia"/>
          <w:sz w:val="24"/>
        </w:rPr>
        <w:t>56.财政部 民政部 中国残疾人联合会《关于促进残疾人就业政府采购政策的通知》 (财库〔2017〕141号)</w:t>
      </w:r>
    </w:p>
    <w:p w:rsidR="007900F6">
      <w:pPr>
        <w:spacing w:line="360" w:lineRule="auto"/>
        <w:ind w:firstLine="480" w:firstLineChars="200"/>
        <w:rPr>
          <w:rFonts w:ascii="宋体" w:hAnsi="宋体"/>
          <w:szCs w:val="21"/>
        </w:rPr>
      </w:pPr>
      <w:r>
        <w:rPr>
          <w:rFonts w:ascii="宋体" w:hAnsi="宋体" w:hint="eastAsia"/>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7900F6">
      <w:pPr>
        <w:spacing w:line="360" w:lineRule="auto"/>
        <w:ind w:firstLine="480" w:firstLineChars="200"/>
        <w:rPr>
          <w:rFonts w:ascii="宋体" w:hAnsi="宋体"/>
          <w:szCs w:val="21"/>
        </w:rPr>
      </w:pPr>
      <w:r>
        <w:rPr>
          <w:rFonts w:ascii="宋体" w:hAnsi="宋体" w:hint="eastAsia"/>
          <w:szCs w:val="21"/>
        </w:rPr>
        <w:t>为了发挥政府采购促进残疾人就业的作用，进一步保障残疾人权益，依照《政府采购法》、《残疾人保障法》等法律法规及相关规定，现就促进残疾人就业政府采购政策通知如下： </w:t>
      </w:r>
    </w:p>
    <w:p w:rsidR="007900F6">
      <w:pPr>
        <w:spacing w:line="360" w:lineRule="auto"/>
        <w:ind w:firstLine="480" w:firstLineChars="200"/>
        <w:rPr>
          <w:rFonts w:ascii="宋体" w:hAnsi="宋体"/>
          <w:szCs w:val="21"/>
        </w:rPr>
      </w:pPr>
      <w:r>
        <w:rPr>
          <w:rFonts w:ascii="宋体" w:hAnsi="宋体" w:hint="eastAsia"/>
          <w:szCs w:val="21"/>
        </w:rPr>
        <w:t>一、享受政府采购支持政策的残疾人福利性单位应当同时满足以下条件： </w:t>
      </w:r>
    </w:p>
    <w:p w:rsidR="007900F6">
      <w:pPr>
        <w:spacing w:line="360" w:lineRule="auto"/>
        <w:ind w:firstLine="480" w:firstLineChars="200"/>
        <w:rPr>
          <w:rFonts w:ascii="宋体" w:hAnsi="宋体"/>
          <w:szCs w:val="21"/>
        </w:rPr>
      </w:pPr>
      <w:r>
        <w:rPr>
          <w:rFonts w:ascii="宋体" w:hAnsi="宋体" w:hint="eastAsia"/>
          <w:szCs w:val="21"/>
        </w:rPr>
        <w:t>（一）安置的残疾人占本单位在职职工人数的比例不低于25%(含25%)，并且安置的残疾人人数不少于10人(含10人)； </w:t>
      </w:r>
    </w:p>
    <w:p w:rsidR="007900F6">
      <w:pPr>
        <w:spacing w:line="360" w:lineRule="auto"/>
        <w:ind w:firstLine="480" w:firstLineChars="200"/>
        <w:rPr>
          <w:rFonts w:ascii="宋体" w:hAnsi="宋体"/>
          <w:szCs w:val="21"/>
        </w:rPr>
      </w:pPr>
      <w:r>
        <w:rPr>
          <w:rFonts w:ascii="宋体" w:hAnsi="宋体" w:hint="eastAsia"/>
          <w:szCs w:val="21"/>
        </w:rPr>
        <w:t>（二）依法与安置的每位残疾人签订了一年以上(含一年)的劳动合同或服务协议； </w:t>
      </w:r>
    </w:p>
    <w:p w:rsidR="007900F6">
      <w:pPr>
        <w:spacing w:line="360" w:lineRule="auto"/>
        <w:ind w:firstLine="480" w:firstLineChars="200"/>
        <w:rPr>
          <w:rFonts w:ascii="宋体" w:hAnsi="宋体"/>
          <w:szCs w:val="21"/>
        </w:rPr>
      </w:pPr>
      <w:r>
        <w:rPr>
          <w:rFonts w:ascii="宋体" w:hAnsi="宋体" w:hint="eastAsia"/>
          <w:szCs w:val="21"/>
        </w:rPr>
        <w:t>（三）为安置的每位残疾人按月足额缴纳了基本养老保险、基本医疗保险、失业保险、工伤保险和生育保险等社会保险费； </w:t>
      </w:r>
    </w:p>
    <w:p w:rsidR="007900F6">
      <w:pPr>
        <w:spacing w:line="360" w:lineRule="auto"/>
        <w:ind w:firstLine="480" w:firstLineChars="200"/>
        <w:rPr>
          <w:rFonts w:ascii="宋体" w:hAnsi="宋体"/>
          <w:szCs w:val="21"/>
        </w:rPr>
      </w:pPr>
      <w:r>
        <w:rPr>
          <w:rFonts w:ascii="宋体" w:hAnsi="宋体" w:hint="eastAsia"/>
          <w:szCs w:val="21"/>
        </w:rPr>
        <w:t>（四）通过银行等金融机构向安置的每位残疾人，按月支付了不低于单位所在区县适用的经省级人民政府批准的月最低工资标准的工资； </w:t>
      </w:r>
    </w:p>
    <w:p w:rsidR="007900F6">
      <w:pPr>
        <w:spacing w:line="360" w:lineRule="auto"/>
        <w:ind w:firstLine="480" w:firstLineChars="200"/>
        <w:rPr>
          <w:rFonts w:ascii="宋体" w:hAnsi="宋体"/>
          <w:szCs w:val="21"/>
        </w:rPr>
      </w:pPr>
      <w:r>
        <w:rPr>
          <w:rFonts w:ascii="宋体" w:hAnsi="宋体" w:hint="eastAsia"/>
          <w:szCs w:val="21"/>
        </w:rPr>
        <w:t>（五）提供本单位制造的货物、承担的工程或者服务(以下简称产品)，或者提供其他残疾人福利性单位制造的货物(不包括使用非残疾人福利性单位注册商标的货物)。 </w:t>
      </w:r>
    </w:p>
    <w:p w:rsidR="007900F6">
      <w:pPr>
        <w:spacing w:line="360" w:lineRule="auto"/>
        <w:ind w:firstLine="480" w:firstLineChars="200"/>
        <w:rPr>
          <w:rFonts w:ascii="宋体" w:hAnsi="宋体"/>
          <w:szCs w:val="21"/>
        </w:rPr>
      </w:pPr>
      <w:r>
        <w:rPr>
          <w:rFonts w:ascii="宋体" w:hAnsi="宋体" w:hint="eastAsia"/>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7900F6">
      <w:pPr>
        <w:spacing w:line="360" w:lineRule="auto"/>
        <w:ind w:firstLine="480" w:firstLineChars="200"/>
        <w:rPr>
          <w:rFonts w:ascii="宋体" w:hAnsi="宋体"/>
          <w:szCs w:val="21"/>
        </w:rPr>
      </w:pPr>
      <w:r>
        <w:rPr>
          <w:rFonts w:ascii="宋体" w:hAnsi="宋体" w:hint="eastAsia"/>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7900F6">
      <w:pPr>
        <w:spacing w:line="360" w:lineRule="auto"/>
        <w:ind w:firstLine="480" w:firstLineChars="200"/>
        <w:rPr>
          <w:rFonts w:ascii="宋体" w:hAnsi="宋体"/>
          <w:szCs w:val="21"/>
        </w:rPr>
      </w:pPr>
      <w:r>
        <w:rPr>
          <w:rFonts w:ascii="宋体" w:hAnsi="宋体" w:hint="eastAsia"/>
          <w:szCs w:val="21"/>
        </w:rPr>
        <w:t>中标、成交供应商为残疾人福利性单位的，采购人或者其委托的采购代理机构应当随中标、成交结果同时公告其《残疾人福利性单位声明函》，接受社会监督。 </w:t>
      </w:r>
    </w:p>
    <w:p w:rsidR="007900F6">
      <w:pPr>
        <w:spacing w:line="360" w:lineRule="auto"/>
        <w:ind w:firstLine="480" w:firstLineChars="200"/>
        <w:rPr>
          <w:rFonts w:ascii="宋体" w:hAnsi="宋体"/>
          <w:szCs w:val="21"/>
        </w:rPr>
      </w:pPr>
      <w:r>
        <w:rPr>
          <w:rFonts w:ascii="宋体" w:hAnsi="宋体" w:hint="eastAsia"/>
          <w:szCs w:val="21"/>
        </w:rPr>
        <w:t>供应商提供的《残疾人福利性单位声明函》与事实不符的，依照《政府采购法》第七十七条第一款的规定追究法律责任。 </w:t>
      </w:r>
    </w:p>
    <w:p w:rsidR="007900F6">
      <w:pPr>
        <w:spacing w:line="360" w:lineRule="auto"/>
        <w:ind w:firstLine="480" w:firstLineChars="200"/>
        <w:rPr>
          <w:rFonts w:ascii="宋体" w:hAnsi="宋体"/>
          <w:szCs w:val="21"/>
        </w:rPr>
      </w:pPr>
      <w:r>
        <w:rPr>
          <w:rFonts w:ascii="宋体" w:hAnsi="宋体" w:hint="eastAsia"/>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7900F6">
      <w:pPr>
        <w:spacing w:line="360" w:lineRule="auto"/>
        <w:ind w:firstLine="480" w:firstLineChars="200"/>
        <w:rPr>
          <w:rFonts w:ascii="宋体" w:hAnsi="宋体"/>
          <w:szCs w:val="21"/>
        </w:rPr>
      </w:pPr>
      <w:r>
        <w:rPr>
          <w:rFonts w:ascii="宋体" w:hAnsi="宋体" w:hint="eastAsia"/>
          <w:szCs w:val="21"/>
        </w:rPr>
        <w:t>四、采购人采购公开招标数额标准以上的货物或者服务，因落实促进残疾人就业政策的需要，依法履行有关报批程序后，可采用公开招标以外的采购方式。 </w:t>
      </w:r>
    </w:p>
    <w:p w:rsidR="007900F6">
      <w:pPr>
        <w:spacing w:line="360" w:lineRule="auto"/>
        <w:ind w:firstLine="480" w:firstLineChars="200"/>
        <w:rPr>
          <w:rFonts w:ascii="宋体" w:hAnsi="宋体"/>
          <w:szCs w:val="21"/>
        </w:rPr>
      </w:pPr>
      <w:r>
        <w:rPr>
          <w:rFonts w:ascii="宋体" w:hAnsi="宋体" w:hint="eastAsia"/>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7900F6">
      <w:pPr>
        <w:spacing w:line="360" w:lineRule="auto"/>
        <w:ind w:firstLine="480" w:firstLineChars="200"/>
        <w:rPr>
          <w:rFonts w:ascii="宋体" w:hAnsi="宋体"/>
          <w:szCs w:val="21"/>
        </w:rPr>
      </w:pPr>
      <w:r>
        <w:rPr>
          <w:rFonts w:ascii="宋体" w:hAnsi="宋体" w:hint="eastAsia"/>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7900F6">
      <w:pPr>
        <w:spacing w:line="360" w:lineRule="auto"/>
        <w:ind w:firstLine="480" w:firstLineChars="200"/>
        <w:rPr>
          <w:rFonts w:ascii="宋体" w:hAnsi="宋体"/>
          <w:szCs w:val="21"/>
        </w:rPr>
      </w:pPr>
      <w:r>
        <w:rPr>
          <w:rFonts w:ascii="宋体" w:hAnsi="宋体" w:hint="eastAsia"/>
          <w:szCs w:val="21"/>
        </w:rPr>
        <w:t>七、本通知自2017年10月1日起执行。 </w:t>
      </w:r>
    </w:p>
    <w:p w:rsidR="007900F6">
      <w:pPr>
        <w:spacing w:line="360" w:lineRule="auto"/>
        <w:jc w:val="right"/>
        <w:rPr>
          <w:rFonts w:ascii="宋体" w:hAnsi="宋体"/>
          <w:szCs w:val="21"/>
        </w:rPr>
      </w:pPr>
      <w:r>
        <w:rPr>
          <w:rFonts w:ascii="宋体" w:hAnsi="宋体" w:hint="eastAsia"/>
          <w:szCs w:val="21"/>
        </w:rPr>
        <w:t>财政部 民政部 中国残疾人联合会</w:t>
      </w:r>
    </w:p>
    <w:p w:rsidR="007900F6">
      <w:pPr>
        <w:spacing w:line="360" w:lineRule="auto"/>
        <w:jc w:val="right"/>
        <w:rPr>
          <w:rFonts w:ascii="宋体" w:hAnsi="宋体"/>
          <w:szCs w:val="21"/>
        </w:rPr>
      </w:pPr>
      <w:r>
        <w:rPr>
          <w:rFonts w:ascii="宋体" w:hAnsi="宋体" w:hint="eastAsia"/>
          <w:szCs w:val="21"/>
        </w:rPr>
        <w:t>2017年8月22日</w:t>
      </w:r>
    </w:p>
    <w:p w:rsidR="007900F6">
      <w:pPr>
        <w:widowControl/>
        <w:spacing w:line="384" w:lineRule="atLeast"/>
        <w:jc w:val="left"/>
        <w:rPr>
          <w:rFonts w:ascii="微软雅黑" w:eastAsia="微软雅黑" w:hAnsi="微软雅黑" w:cs="宋体"/>
          <w:color w:val="333333"/>
          <w:kern w:val="0"/>
          <w:sz w:val="19"/>
          <w:szCs w:val="19"/>
          <w:shd w:val="clear" w:color="auto" w:fill="FFFFFF"/>
        </w:rPr>
      </w:pPr>
    </w:p>
    <w:p w:rsidR="007900F6">
      <w:pPr>
        <w:spacing w:line="360" w:lineRule="auto"/>
        <w:ind w:left="348" w:hanging="348" w:hangingChars="145"/>
        <w:rPr>
          <w:rFonts w:ascii="黑体" w:eastAsia="黑体" w:hAnsi="宋体"/>
          <w:sz w:val="24"/>
        </w:rPr>
      </w:pPr>
      <w:r>
        <w:rPr>
          <w:rFonts w:ascii="黑体" w:eastAsia="黑体" w:hAnsi="宋体" w:hint="eastAsia"/>
          <w:sz w:val="24"/>
        </w:rPr>
        <w:t>附件</w:t>
      </w:r>
    </w:p>
    <w:p w:rsidR="007900F6">
      <w:pPr>
        <w:spacing w:line="360" w:lineRule="auto"/>
        <w:ind w:left="348" w:hanging="348" w:hangingChars="145"/>
        <w:jc w:val="center"/>
        <w:rPr>
          <w:rFonts w:ascii="黑体" w:eastAsia="黑体" w:hAnsi="宋体"/>
          <w:sz w:val="24"/>
        </w:rPr>
      </w:pPr>
      <w:bookmarkStart w:id="34" w:name="OLE_LINK14"/>
      <w:bookmarkStart w:id="35" w:name="OLE_LINK13"/>
      <w:bookmarkEnd w:id="34"/>
      <w:r>
        <w:rPr>
          <w:rFonts w:ascii="黑体" w:eastAsia="黑体" w:hAnsi="宋体" w:hint="eastAsia"/>
          <w:sz w:val="24"/>
        </w:rPr>
        <w:t>残疾人福利性单位声明函</w:t>
      </w:r>
      <w:bookmarkEnd w:id="35"/>
    </w:p>
    <w:p w:rsidR="007900F6">
      <w:pPr>
        <w:widowControl/>
        <w:spacing w:line="384" w:lineRule="atLeast"/>
        <w:jc w:val="left"/>
        <w:rPr>
          <w:rFonts w:ascii="微软雅黑" w:eastAsia="微软雅黑" w:hAnsi="微软雅黑" w:cs="宋体"/>
          <w:color w:val="333333"/>
          <w:kern w:val="0"/>
          <w:sz w:val="19"/>
          <w:szCs w:val="19"/>
          <w:shd w:val="clear" w:color="auto" w:fill="FFFFFF"/>
        </w:rPr>
      </w:pPr>
      <w:r>
        <w:rPr>
          <w:rFonts w:ascii="微软雅黑" w:eastAsia="微软雅黑" w:hAnsi="微软雅黑" w:cs="宋体" w:hint="eastAsia"/>
          <w:color w:val="333333"/>
          <w:kern w:val="0"/>
          <w:sz w:val="19"/>
          <w:szCs w:val="19"/>
          <w:shd w:val="clear" w:color="auto" w:fill="FFFFFF"/>
        </w:rPr>
        <w:t> </w:t>
      </w:r>
    </w:p>
    <w:p w:rsidR="007900F6">
      <w:pPr>
        <w:spacing w:line="360" w:lineRule="auto"/>
        <w:ind w:firstLine="480" w:firstLineChars="200"/>
        <w:rPr>
          <w:rFonts w:ascii="宋体" w:hAnsi="宋体"/>
          <w:szCs w:val="21"/>
        </w:rPr>
      </w:pPr>
      <w:r>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7900F6">
      <w:pPr>
        <w:spacing w:line="360" w:lineRule="auto"/>
        <w:ind w:firstLine="480" w:firstLineChars="200"/>
        <w:rPr>
          <w:rFonts w:ascii="宋体" w:hAnsi="宋体"/>
          <w:szCs w:val="21"/>
        </w:rPr>
      </w:pPr>
      <w:r>
        <w:rPr>
          <w:rFonts w:ascii="宋体" w:hAnsi="宋体" w:hint="eastAsia"/>
          <w:szCs w:val="21"/>
        </w:rPr>
        <w:t>本单位对上述声明的真实性负责。如有虚假，将依法承担相应责任。</w:t>
      </w:r>
    </w:p>
    <w:p w:rsidR="007900F6">
      <w:pPr>
        <w:spacing w:line="360" w:lineRule="auto"/>
        <w:ind w:firstLine="480" w:firstLineChars="200"/>
        <w:rPr>
          <w:rFonts w:ascii="宋体" w:hAnsi="宋体"/>
          <w:szCs w:val="21"/>
        </w:rPr>
      </w:pPr>
      <w:r>
        <w:rPr>
          <w:rFonts w:ascii="宋体" w:hAnsi="宋体" w:hint="eastAsia"/>
          <w:szCs w:val="21"/>
        </w:rPr>
        <w:t> </w:t>
      </w:r>
    </w:p>
    <w:p w:rsidR="007900F6">
      <w:pPr>
        <w:spacing w:line="360" w:lineRule="auto"/>
        <w:ind w:firstLine="480" w:firstLineChars="200"/>
        <w:jc w:val="left"/>
        <w:rPr>
          <w:rFonts w:ascii="宋体" w:hAnsi="宋体"/>
          <w:szCs w:val="21"/>
        </w:rPr>
      </w:pPr>
      <w:r>
        <w:rPr>
          <w:rFonts w:ascii="宋体" w:hAnsi="宋体" w:hint="eastAsia"/>
          <w:szCs w:val="21"/>
        </w:rPr>
        <w:t>单位名称（盖章）：</w:t>
      </w:r>
    </w:p>
    <w:p w:rsidR="007900F6">
      <w:pPr>
        <w:spacing w:line="360" w:lineRule="auto"/>
        <w:ind w:firstLine="480" w:firstLineChars="200"/>
        <w:jc w:val="left"/>
        <w:rPr>
          <w:rFonts w:ascii="宋体" w:hAnsi="宋体"/>
          <w:szCs w:val="21"/>
        </w:rPr>
      </w:pPr>
      <w:r>
        <w:rPr>
          <w:rFonts w:ascii="宋体" w:hAnsi="宋体" w:hint="eastAsia"/>
          <w:szCs w:val="21"/>
        </w:rPr>
        <w:t>日  期：</w:t>
      </w:r>
    </w:p>
    <w:p w:rsidR="007900F6">
      <w:pPr>
        <w:rPr>
          <w:rFonts w:ascii="宋体" w:hAnsi="宋体"/>
          <w:color w:val="000000"/>
          <w:szCs w:val="21"/>
        </w:rPr>
      </w:pPr>
    </w:p>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04C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3AFF" w:usb1="C0007843" w:usb2="00000009" w:usb3="00000000" w:csb0="000001FF" w:csb1="00000000"/>
  </w:font>
  <w:font w:name="仿宋_GB2312">
    <w:altName w:val="仿宋"/>
    <w:panose1 w:val="00000000000000000000"/>
    <w:charset w:val="86"/>
    <w:family w:val="modern"/>
    <w:notTrueType/>
    <w:pitch w:val="default"/>
    <w:sig w:usb0="00000001" w:usb1="080E0000" w:usb2="00000010" w:usb3="00000000" w:csb0="00040000" w:csb1="00000000"/>
  </w:font>
  <w:font w:name="MS Mincho">
    <w:altName w:val="俵俽 柧挬"/>
    <w:panose1 w:val="02020609040205080304"/>
    <w:charset w:val="80"/>
    <w:family w:val="modern"/>
    <w:pitch w:val="fixed"/>
    <w:sig w:usb0="E00002FF" w:usb1="6AC7FDFB" w:usb2="00000012" w:usb3="00000000" w:csb0="0002009F" w:csb1="00000000"/>
  </w:font>
  <w:font w:name="ˎ̥">
    <w:altName w:val="Times New Roman"/>
    <w:panose1 w:val="00000000000000000000"/>
    <w:charset w:val="00"/>
    <w:family w:val="auto"/>
    <w:pitch w:val="default"/>
    <w:sig w:usb0="00000000" w:usb1="00000000" w:usb2="00000000" w:usb3="00000000" w:csb0="00040001" w:csb1="00000000"/>
  </w:font>
  <w:font w:name="微软雅黑">
    <w:altName w:val="Arial"/>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3AFF" w:usb1="C0007843" w:usb2="00000009" w:usb3="00000000" w:csb0="000001FF" w:csb1="00000000"/>
  </w:font>
  <w:font w:name="隶书">
    <w:altName w:val="微软雅黑"/>
    <w:panose1 w:val="02010509060101010101"/>
    <w:charset w:val="86"/>
    <w:family w:val="modern"/>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长城仿宋">
    <w:altName w:val="仿宋"/>
    <w:panose1 w:val="00000000000000000000"/>
    <w:charset w:val="86"/>
    <w:family w:val="modern"/>
    <w:pitch w:val="default"/>
    <w:sig w:usb0="00000001" w:usb1="080E0000" w:usb2="00000010" w:usb3="00000000" w:csb0="00040000" w:csb1="00000000"/>
  </w:font>
  <w:font w:name="Tahoma">
    <w:panose1 w:val="020B0604030504040204"/>
    <w:charset w:val="00"/>
    <w:family w:val="swiss"/>
    <w:pitch w:val="variable"/>
    <w:sig w:usb0="E1003EFF" w:usb1="C000605B" w:usb2="00000029" w:usb3="00000000" w:csb0="000101FF" w:csb1="00000000"/>
  </w:font>
  <w:font w:name="文鼎粗黑">
    <w:altName w:val="黑体"/>
    <w:panose1 w:val="00000000000000000000"/>
    <w:charset w:val="86"/>
    <w:family w:val="modern"/>
    <w:pitch w:val="default"/>
    <w:sig w:usb0="00000001" w:usb1="080E0000" w:usb2="00000010" w:usb3="00000000" w:csb0="00040000" w:csb1="00000000"/>
  </w:font>
  <w:font w:name="文鼎CS书宋二">
    <w:altName w:val="宋体"/>
    <w:panose1 w:val="00000000000000000000"/>
    <w:charset w:val="86"/>
    <w:family w:val="modern"/>
    <w:pitch w:val="default"/>
    <w:sig w:usb0="00000001" w:usb1="080E0000" w:usb2="00000010" w:usb3="00000000" w:csb0="00040000" w:csb1="00000000"/>
  </w:font>
  <w:font w:name="创艺简黑体">
    <w:altName w:val="黑体"/>
    <w:panose1 w:val="00000000000000000000"/>
    <w:charset w:val="86"/>
    <w:family w:val="auto"/>
    <w:pitch w:val="default"/>
    <w:sig w:usb0="00000001" w:usb1="080E0000" w:usb2="00000010" w:usb3="00000000" w:csb0="00040000" w:csb1="00000000"/>
  </w:font>
  <w:font w:name="文鼎CS大宋">
    <w:altName w:val="宋体"/>
    <w:panose1 w:val="00000000000000000000"/>
    <w:charset w:val="86"/>
    <w:family w:val="modern"/>
    <w:pitch w:val="default"/>
    <w:sig w:usb0="00000001" w:usb1="080E0000" w:usb2="00000010" w:usb3="00000000" w:csb0="00040000" w:csb1="00000000"/>
  </w:font>
  <w:font w:name="文鼎CS长美黑">
    <w:altName w:val="宋体"/>
    <w:panose1 w:val="00000000000000000000"/>
    <w:charset w:val="86"/>
    <w:family w:val="modern"/>
    <w:pitch w:val="default"/>
    <w:sig w:usb0="00000001" w:usb1="080E0000" w:usb2="00000010" w:usb3="00000000" w:csb0="00040000" w:csb1="00000000"/>
  </w:font>
  <w:font w:name="文鼎中楷">
    <w:altName w:val="仿宋"/>
    <w:panose1 w:val="00000000000000000000"/>
    <w:charset w:val="86"/>
    <w:family w:val="modern"/>
    <w:pitch w:val="default"/>
    <w:sig w:usb0="00000001" w:usb1="080E0000" w:usb2="00000010" w:usb3="00000000" w:csb0="00040000" w:csb1="00000000"/>
  </w:font>
  <w:font w:name="Tunga">
    <w:panose1 w:val="020B0502040204020203"/>
    <w:charset w:val="00"/>
    <w:family w:val="swiss"/>
    <w:pitch w:val="variable"/>
    <w:sig w:usb0="004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ingLiU">
    <w:altName w:val="灿砰"/>
    <w:panose1 w:val="02020509000000000000"/>
    <w:charset w:val="88"/>
    <w:family w:val="modern"/>
    <w:pitch w:val="fixed"/>
    <w:sig w:usb0="A00002FF" w:usb1="28CFFCFA" w:usb2="00000016" w:usb3="00000000" w:csb0="00100001" w:csb1="00000000"/>
  </w:font>
  <w:font w:name="Arial (W1)">
    <w:altName w:val="Arial"/>
    <w:panose1 w:val="00000000000000000000"/>
    <w:charset w:val="00"/>
    <w:family w:val="swiss"/>
    <w:pitch w:val="default"/>
    <w:sig w:usb0="20003A87" w:usb1="00000000" w:usb2="00000009" w:usb3="00000000" w:csb0="000001FF" w:csb1="00000000"/>
  </w:font>
  <w:font w:name="汉仪细等线简">
    <w:altName w:val="宋体"/>
    <w:panose1 w:val="02010609000101010101"/>
    <w:charset w:val="86"/>
    <w:family w:val="modern"/>
    <w:pitch w:val="default"/>
    <w:sig w:usb0="00000001" w:usb1="080E0800" w:usb2="00000012" w:usb3="00000000" w:csb0="00040000" w:csb1="00000000"/>
  </w:font>
  <w:font w:name="幼圆">
    <w:altName w:val="微软雅黑"/>
    <w:panose1 w:val="02010509060101010101"/>
    <w:charset w:val="86"/>
    <w:family w:val="modern"/>
    <w:pitch w:val="default"/>
    <w:sig w:usb0="00000001" w:usb1="080E0000" w:usb2="00000010" w:usb3="00000000" w:csb0="00040000" w:csb1="00000000"/>
  </w:font>
  <w:font w:name="_x000B__x000C_">
    <w:altName w:val="Times New Roman"/>
    <w:panose1 w:val="00000000000000000000"/>
    <w:charset w:val="00"/>
    <w:family w:val="roman"/>
    <w:pitch w:val="default"/>
    <w:sig w:usb0="00000003" w:usb1="00000000" w:usb2="00000000" w:usb3="00000000" w:csb0="00040001" w:csb1="00000000"/>
  </w:font>
  <w:font w:name="华文细黑">
    <w:altName w:val="微软雅黑"/>
    <w:panose1 w:val="02010600040101010101"/>
    <w:charset w:val="86"/>
    <w:family w:val="auto"/>
    <w:pitch w:val="default"/>
    <w:sig w:usb0="00000287" w:usb1="080F0000" w:usb2="00000010" w:usb3="00000000" w:csb0="0004009F" w:csb1="DFD70000"/>
  </w:font>
  <w:font w:name="??">
    <w:altName w:val="????"/>
    <w:panose1 w:val="00000000000000000000"/>
    <w:charset w:val="00"/>
    <w:family w:val="auto"/>
    <w:notTrueType/>
    <w:pitch w:val="default"/>
    <w:sig w:usb0="00000003" w:usb1="00000000" w:usb2="00000000" w:usb3="00000000" w:csb0="00000001" w:csb1="00000000"/>
  </w:font>
  <w:font w:name="等线 Light">
    <w:altName w:val="宋体"/>
    <w:panose1 w:val="02010600030101010101"/>
    <w:charset w:val="86"/>
    <w:family w:val="auto"/>
    <w:pitch w:val="default"/>
    <w:sig w:usb0="00000001" w:usb1="080E0000" w:usb2="00000016" w:usb3="00000000" w:csb0="0004000F" w:csb1="00000000"/>
  </w:font>
  <w:font w:name="华文中宋">
    <w:panose1 w:val="02010600040101010101"/>
    <w:charset w:val="86"/>
    <w:family w:val="auto"/>
    <w:pitch w:val="default"/>
    <w:sig w:usb0="00000287" w:usb1="080F0000" w:usb2="00000010" w:usb3="00000000" w:csb0="0004009F" w:csb1="DFD70000"/>
  </w:font>
  <w:font w:name="等线">
    <w:altName w:val="Arial Unicode MS"/>
    <w:panose1 w:val="02010600030101010101"/>
    <w:charset w:val="86"/>
    <w:family w:val="auto"/>
    <w:pitch w:val="default"/>
    <w:sig w:usb0="00000001" w:usb1="080E0000"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96E10CF"/>
    <w:lvl w:ilvl="0">
      <w:start w:val="1"/>
      <w:numFmt w:val="decimal"/>
      <w:lvlText w:val="1.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2"/>
    <w:multiLevelType w:val="multilevel"/>
    <w:tmpl w:val="0134667A"/>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3"/>
    <w:multiLevelType w:val="multilevel"/>
    <w:tmpl w:val="7CA16E0C"/>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4"/>
    <w:multiLevelType w:val="multilevel"/>
    <w:tmpl w:val="330B763B"/>
    <w:lvl w:ilvl="0">
      <w:start w:val="1"/>
      <w:numFmt w:val="decimal"/>
      <w:lvlText w:val="1.2.%1"/>
      <w:lvlJc w:val="left"/>
      <w:pPr>
        <w:ind w:left="42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5"/>
    <w:multiLevelType w:val="multilevel"/>
    <w:tmpl w:val="0B020E4E"/>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06"/>
    <w:multiLevelType w:val="multilevel"/>
    <w:tmpl w:val="6BAC736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0000007"/>
    <w:multiLevelType w:val="multilevel"/>
    <w:tmpl w:val="446D58A9"/>
    <w:lvl w:ilvl="0">
      <w:start w:val="1"/>
      <w:numFmt w:val="decimal"/>
      <w:lvlText w:val="1.3.%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08"/>
    <w:multiLevelType w:val="multilevel"/>
    <w:tmpl w:val="3A7729AF"/>
    <w:lvl w:ilvl="0">
      <w:start w:val="1"/>
      <w:numFmt w:val="lowerLetter"/>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09"/>
    <w:multiLevelType w:val="multilevel"/>
    <w:tmpl w:val="0CB119CE"/>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000000A"/>
    <w:multiLevelType w:val="multilevel"/>
    <w:tmpl w:val="2F256349"/>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000000B"/>
    <w:multiLevelType w:val="multilevel"/>
    <w:tmpl w:val="57483316"/>
    <w:lvl w:ilvl="0">
      <w:start w:val="1"/>
      <w:numFmt w:val="lowerLetter"/>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000000C"/>
    <w:multiLevelType w:val="multilevel"/>
    <w:tmpl w:val="1B454B7E"/>
    <w:lvl w:ilvl="0">
      <w:start w:val="1"/>
      <w:numFmt w:val="lowerLetter"/>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00000D"/>
    <w:multiLevelType w:val="multilevel"/>
    <w:tmpl w:val="51CB10D9"/>
    <w:lvl w:ilvl="0">
      <w:start w:val="1"/>
      <w:numFmt w:val="lowerLetter"/>
      <w:lvlText w:val="%1)"/>
      <w:lvlJc w:val="left"/>
      <w:pPr>
        <w:ind w:left="840" w:hanging="420"/>
      </w:pPr>
      <w:rPr>
        <w:rFonts w:hint="eastAsia"/>
        <w:lang w:eastAsia="zh-CN"/>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0000000E"/>
    <w:multiLevelType w:val="multilevel"/>
    <w:tmpl w:val="206C176E"/>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0000000F"/>
    <w:multiLevelType w:val="multilevel"/>
    <w:tmpl w:val="45365B47"/>
    <w:lvl w:ilvl="0">
      <w:start w:val="1"/>
      <w:numFmt w:val="decimal"/>
      <w:lvlText w:val="1.5.%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00000010"/>
    <w:multiLevelType w:val="multilevel"/>
    <w:tmpl w:val="2EDB540D"/>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00000011"/>
    <w:multiLevelType w:val="multilevel"/>
    <w:tmpl w:val="3C456DE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00000012"/>
    <w:multiLevelType w:val="multilevel"/>
    <w:tmpl w:val="30AA2B43"/>
    <w:lvl w:ilvl="0">
      <w:start w:val="1"/>
      <w:numFmt w:val="lowerLetter"/>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00000013"/>
    <w:multiLevelType w:val="multilevel"/>
    <w:tmpl w:val="54DC38EC"/>
    <w:lvl w:ilvl="0">
      <w:start w:val="1"/>
      <w:numFmt w:val="lowerLetter"/>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00000014"/>
    <w:multiLevelType w:val="multilevel"/>
    <w:tmpl w:val="601C6756"/>
    <w:lvl w:ilvl="0">
      <w:start w:val="1"/>
      <w:numFmt w:val="lowerLetter"/>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00000015"/>
    <w:multiLevelType w:val="multilevel"/>
    <w:tmpl w:val="32174873"/>
    <w:lvl w:ilvl="0">
      <w:start w:val="1"/>
      <w:numFmt w:val="decimal"/>
      <w:lvlText w:val="2.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00000016"/>
    <w:multiLevelType w:val="multilevel"/>
    <w:tmpl w:val="69832585"/>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00000017"/>
    <w:multiLevelType w:val="multilevel"/>
    <w:tmpl w:val="4E974C62"/>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00000018"/>
    <w:multiLevelType w:val="multilevel"/>
    <w:tmpl w:val="62215E84"/>
    <w:lvl w:ilvl="0">
      <w:start w:val="1"/>
      <w:numFmt w:val="decimal"/>
      <w:lvlText w:val="2.2.%1"/>
      <w:lvlJc w:val="righ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00000019"/>
    <w:multiLevelType w:val="multilevel"/>
    <w:tmpl w:val="6E4D5A4A"/>
    <w:lvl w:ilvl="0">
      <w:start w:val="1"/>
      <w:numFmt w:val="decimal"/>
      <w:lvlText w:val="2.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0000001A"/>
    <w:multiLevelType w:val="multilevel"/>
    <w:tmpl w:val="76892AF9"/>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0000001B"/>
    <w:multiLevelType w:val="multilevel"/>
    <w:tmpl w:val="0BC35C62"/>
    <w:lvl w:ilvl="0">
      <w:start w:val="2"/>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0000001C"/>
    <w:multiLevelType w:val="multilevel"/>
    <w:tmpl w:val="7F3035FC"/>
    <w:lvl w:ilvl="0">
      <w:start w:val="1"/>
      <w:numFmt w:val="decimal"/>
      <w:lvlText w:val="2.9.%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0000001D"/>
    <w:multiLevelType w:val="multilevel"/>
    <w:tmpl w:val="04706826"/>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0000001E"/>
    <w:multiLevelType w:val="multilevel"/>
    <w:tmpl w:val="67213AE1"/>
    <w:lvl w:ilvl="0">
      <w:start w:val="1"/>
      <w:numFmt w:val="decimal"/>
      <w:lvlText w:val="2.10.%1"/>
      <w:lvlJc w:val="left"/>
      <w:pPr>
        <w:ind w:left="420" w:hanging="420"/>
      </w:pPr>
      <w:rPr>
        <w:rFonts w:hint="eastAsia"/>
      </w:rPr>
    </w:lvl>
    <w:lvl w:ilvl="1">
      <w:start w:val="0"/>
      <w:numFmt w:val="bullet"/>
      <w:lvlText w:val="▲"/>
      <w:lvlJc w:val="left"/>
      <w:pPr>
        <w:ind w:left="780" w:hanging="360"/>
      </w:pPr>
      <w:rPr>
        <w:rFonts w:ascii="宋体" w:eastAsia="宋体" w:hAnsi="宋体" w:cs="宋体"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0000001F"/>
    <w:multiLevelType w:val="multilevel"/>
    <w:tmpl w:val="6C30336B"/>
    <w:lvl w:ilvl="0">
      <w:start w:val="1"/>
      <w:numFmt w:val="decimal"/>
      <w:lvlText w:val="2.11.%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00000020"/>
    <w:multiLevelType w:val="multilevel"/>
    <w:tmpl w:val="1418192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00000021"/>
    <w:multiLevelType w:val="multilevel"/>
    <w:tmpl w:val="5A5D6C45"/>
    <w:lvl w:ilvl="0">
      <w:start w:val="1"/>
      <w:numFmt w:val="decimal"/>
      <w:lvlText w:val="2.1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00000022"/>
    <w:multiLevelType w:val="multilevel"/>
    <w:tmpl w:val="4FCC79D6"/>
    <w:lvl w:ilvl="0">
      <w:start w:val="1"/>
      <w:numFmt w:val="decimal"/>
      <w:lvlText w:val="2.1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00000023"/>
    <w:multiLevelType w:val="multilevel"/>
    <w:tmpl w:val="244F217C"/>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00000024"/>
    <w:multiLevelType w:val="multilevel"/>
    <w:tmpl w:val="664F3D3F"/>
    <w:lvl w:ilvl="0">
      <w:start w:val="1"/>
      <w:numFmt w:val="decimal"/>
      <w:lvlText w:val="2.1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00000025"/>
    <w:multiLevelType w:val="multilevel"/>
    <w:tmpl w:val="693E378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00000026"/>
    <w:multiLevelType w:val="multilevel"/>
    <w:tmpl w:val="016F36E5"/>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00000027"/>
    <w:multiLevelType w:val="multilevel"/>
    <w:tmpl w:val="77F70758"/>
    <w:lvl w:ilvl="0">
      <w:start w:val="1"/>
      <w:numFmt w:val="decimal"/>
      <w:lvlText w:val="2.17.%1"/>
      <w:lvlJc w:val="left"/>
      <w:pPr>
        <w:ind w:left="420" w:hanging="420"/>
      </w:pPr>
      <w:rPr>
        <w:rFonts w:hint="eastAsia"/>
      </w:rPr>
    </w:lvl>
    <w:lvl w:ilvl="1">
      <w:start w:val="1"/>
      <w:numFmt w:val="lowerLetter"/>
      <w:lvlText w:val="%2、"/>
      <w:lvlJc w:val="left"/>
      <w:pPr>
        <w:ind w:left="780" w:hanging="36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00000028"/>
    <w:multiLevelType w:val="multilevel"/>
    <w:tmpl w:val="1BC206EA"/>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nsid w:val="00000029"/>
    <w:multiLevelType w:val="multilevel"/>
    <w:tmpl w:val="6AD071B7"/>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nsid w:val="0000002A"/>
    <w:multiLevelType w:val="multilevel"/>
    <w:tmpl w:val="422135BA"/>
    <w:lvl w:ilvl="0">
      <w:start w:val="1"/>
      <w:numFmt w:val="decimal"/>
      <w:lvlText w:val="3.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0000002B"/>
    <w:multiLevelType w:val="multilevel"/>
    <w:tmpl w:val="62C30EA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3">
    <w:nsid w:val="0000002C"/>
    <w:multiLevelType w:val="multilevel"/>
    <w:tmpl w:val="170979DD"/>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nsid w:val="0000002D"/>
    <w:multiLevelType w:val="multilevel"/>
    <w:tmpl w:val="0F8F2601"/>
    <w:lvl w:ilvl="0">
      <w:start w:val="1"/>
      <w:numFmt w:val="decimal"/>
      <w:lvlText w:val="3.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0000002E"/>
    <w:multiLevelType w:val="multilevel"/>
    <w:tmpl w:val="41367FF6"/>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nsid w:val="0000002F"/>
    <w:multiLevelType w:val="multilevel"/>
    <w:tmpl w:val="601130D3"/>
    <w:lvl w:ilvl="0">
      <w:start w:val="1"/>
      <w:numFmt w:val="decimal"/>
      <w:lvlText w:val="3.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nsid w:val="00000030"/>
    <w:multiLevelType w:val="multilevel"/>
    <w:tmpl w:val="34FD1228"/>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nsid w:val="00000031"/>
    <w:multiLevelType w:val="multilevel"/>
    <w:tmpl w:val="143F5E15"/>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nsid w:val="00000032"/>
    <w:multiLevelType w:val="multilevel"/>
    <w:tmpl w:val="7B2464E3"/>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00000033"/>
    <w:multiLevelType w:val="multilevel"/>
    <w:tmpl w:val="7C603AB3"/>
    <w:lvl w:ilvl="0">
      <w:start w:val="1"/>
      <w:numFmt w:val="decimal"/>
      <w:lvlText w:val="3.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nsid w:val="00000034"/>
    <w:multiLevelType w:val="multilevel"/>
    <w:tmpl w:val="07CD068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nsid w:val="00000035"/>
    <w:multiLevelType w:val="multilevel"/>
    <w:tmpl w:val="09D57172"/>
    <w:lvl w:ilvl="0">
      <w:start w:val="1"/>
      <w:numFmt w:val="decimal"/>
      <w:lvlText w:val="3.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nsid w:val="00000036"/>
    <w:multiLevelType w:val="multilevel"/>
    <w:tmpl w:val="007422B7"/>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4">
    <w:nsid w:val="00000037"/>
    <w:multiLevelType w:val="multilevel"/>
    <w:tmpl w:val="671B3F9A"/>
    <w:lvl w:ilvl="0">
      <w:start w:val="1"/>
      <w:numFmt w:val="decimal"/>
      <w:lvlText w:val="3.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nsid w:val="00000038"/>
    <w:multiLevelType w:val="multilevel"/>
    <w:tmpl w:val="0F586284"/>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nsid w:val="00000039"/>
    <w:multiLevelType w:val="multilevel"/>
    <w:tmpl w:val="0CA53B1F"/>
    <w:lvl w:ilvl="0">
      <w:start w:val="1"/>
      <w:numFmt w:val="decimal"/>
      <w:lvlText w:val="3.7.%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7">
    <w:nsid w:val="0000003A"/>
    <w:multiLevelType w:val="multilevel"/>
    <w:tmpl w:val="063C52A5"/>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8">
    <w:nsid w:val="0000003B"/>
    <w:multiLevelType w:val="multilevel"/>
    <w:tmpl w:val="45DE2205"/>
    <w:lvl w:ilvl="0">
      <w:start w:val="1"/>
      <w:numFmt w:val="lowerLetter"/>
      <w:lvlText w:val="%1)"/>
      <w:lvlJc w:val="left"/>
      <w:pPr>
        <w:ind w:left="420" w:hanging="420"/>
      </w:pPr>
      <w:rPr>
        <w:rFonts w:hint="eastAsia"/>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9">
    <w:nsid w:val="0000003C"/>
    <w:multiLevelType w:val="multilevel"/>
    <w:tmpl w:val="723B0902"/>
    <w:lvl w:ilvl="0">
      <w:start w:val="1"/>
      <w:numFmt w:val="lowerLetter"/>
      <w:lvlText w:val="%1)"/>
      <w:lvlJc w:val="left"/>
      <w:pPr>
        <w:ind w:left="420" w:hanging="420"/>
      </w:pPr>
      <w:rPr>
        <w:rFonts w:hint="eastAsia"/>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0">
    <w:nsid w:val="0000003D"/>
    <w:multiLevelType w:val="multilevel"/>
    <w:tmpl w:val="5F394F82"/>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1">
    <w:nsid w:val="0000003E"/>
    <w:multiLevelType w:val="multilevel"/>
    <w:tmpl w:val="6A713D62"/>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2">
    <w:nsid w:val="0000003F"/>
    <w:multiLevelType w:val="multilevel"/>
    <w:tmpl w:val="14F81F9B"/>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3">
    <w:nsid w:val="00000040"/>
    <w:multiLevelType w:val="multilevel"/>
    <w:tmpl w:val="0B4E5FA8"/>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4">
    <w:nsid w:val="00000041"/>
    <w:multiLevelType w:val="multilevel"/>
    <w:tmpl w:val="33A44EE6"/>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5">
    <w:nsid w:val="00000042"/>
    <w:multiLevelType w:val="multilevel"/>
    <w:tmpl w:val="022E3E46"/>
    <w:lvl w:ilvl="0">
      <w:start w:val="1"/>
      <w:numFmt w:val="decimal"/>
      <w:lvlText w:val="4.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6">
    <w:nsid w:val="00000043"/>
    <w:multiLevelType w:val="multilevel"/>
    <w:tmpl w:val="195B5F6C"/>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7">
    <w:nsid w:val="00000044"/>
    <w:multiLevelType w:val="multilevel"/>
    <w:tmpl w:val="1A02698F"/>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8">
    <w:nsid w:val="00000045"/>
    <w:multiLevelType w:val="multilevel"/>
    <w:tmpl w:val="7D531D15"/>
    <w:lvl w:ilvl="0">
      <w:start w:val="1"/>
      <w:numFmt w:val="lowerLetter"/>
      <w:lvlText w:val="%1)"/>
      <w:lvlJc w:val="left"/>
      <w:pPr>
        <w:ind w:left="420" w:hanging="420"/>
      </w:pPr>
      <w:rPr>
        <w:b w:val="0"/>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9">
    <w:nsid w:val="00000046"/>
    <w:multiLevelType w:val="multilevel"/>
    <w:tmpl w:val="027C6F71"/>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0">
    <w:nsid w:val="00000047"/>
    <w:multiLevelType w:val="multilevel"/>
    <w:tmpl w:val="72161920"/>
    <w:lvl w:ilvl="0">
      <w:start w:val="1"/>
      <w:numFmt w:val="decimal"/>
      <w:lvlText w:val="5.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1">
    <w:nsid w:val="00000048"/>
    <w:multiLevelType w:val="multilevel"/>
    <w:tmpl w:val="06DE299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2">
    <w:nsid w:val="00000049"/>
    <w:multiLevelType w:val="multilevel"/>
    <w:tmpl w:val="22F305AC"/>
    <w:lvl w:ilvl="0">
      <w:start w:val="1"/>
      <w:numFmt w:val="decimal"/>
      <w:lvlText w:val="5.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3">
    <w:nsid w:val="0000004A"/>
    <w:multiLevelType w:val="multilevel"/>
    <w:tmpl w:val="22BA716A"/>
    <w:lvl w:ilvl="0">
      <w:start w:val="1"/>
      <w:numFmt w:val="lowerLetter"/>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4">
    <w:nsid w:val="0000004B"/>
    <w:multiLevelType w:val="multilevel"/>
    <w:tmpl w:val="2E62220D"/>
    <w:lvl w:ilvl="0">
      <w:start w:val="1"/>
      <w:numFmt w:val="decimal"/>
      <w:lvlText w:val="5.4.%1"/>
      <w:lvlJc w:val="left"/>
      <w:pPr>
        <w:ind w:left="420" w:hanging="420"/>
      </w:pPr>
      <w:rPr>
        <w:rFonts w:hint="eastAsia"/>
      </w:rPr>
    </w:lvl>
    <w:lvl w:ilvl="1">
      <w:start w:val="1"/>
      <w:numFmt w:val="decimal"/>
      <w:lvlText w:val="%2）"/>
      <w:lvlJc w:val="left"/>
      <w:pPr>
        <w:ind w:left="735" w:hanging="315"/>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5">
    <w:nsid w:val="0000004C"/>
    <w:multiLevelType w:val="multilevel"/>
    <w:tmpl w:val="152272F5"/>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6">
    <w:nsid w:val="0000004D"/>
    <w:multiLevelType w:val="multilevel"/>
    <w:tmpl w:val="66F17F10"/>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7">
    <w:nsid w:val="0000004E"/>
    <w:multiLevelType w:val="multilevel"/>
    <w:tmpl w:val="67C362CD"/>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8">
    <w:nsid w:val="0000004F"/>
    <w:multiLevelType w:val="multilevel"/>
    <w:tmpl w:val="769F1430"/>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9">
    <w:nsid w:val="00000050"/>
    <w:multiLevelType w:val="multilevel"/>
    <w:tmpl w:val="3F7371F8"/>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0">
    <w:nsid w:val="00000051"/>
    <w:multiLevelType w:val="multilevel"/>
    <w:tmpl w:val="2E176A86"/>
    <w:lvl w:ilvl="0">
      <w:start w:val="1"/>
      <w:numFmt w:val="decimal"/>
      <w:lvlText w:val="7.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1">
    <w:nsid w:val="00000052"/>
    <w:multiLevelType w:val="multilevel"/>
    <w:tmpl w:val="772928E3"/>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2">
    <w:nsid w:val="00000053"/>
    <w:multiLevelType w:val="multilevel"/>
    <w:tmpl w:val="3D9957A8"/>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3">
    <w:nsid w:val="00000054"/>
    <w:multiLevelType w:val="multilevel"/>
    <w:tmpl w:val="1620706D"/>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4">
    <w:nsid w:val="00000055"/>
    <w:multiLevelType w:val="multilevel"/>
    <w:tmpl w:val="13CC399E"/>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5">
    <w:nsid w:val="00000056"/>
    <w:multiLevelType w:val="multilevel"/>
    <w:tmpl w:val="7CB339DF"/>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6">
    <w:nsid w:val="00000057"/>
    <w:multiLevelType w:val="multilevel"/>
    <w:tmpl w:val="54D52C7D"/>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7">
    <w:nsid w:val="00000058"/>
    <w:multiLevelType w:val="multilevel"/>
    <w:tmpl w:val="3D32679B"/>
    <w:lvl w:ilvl="0">
      <w:start w:val="1"/>
      <w:numFmt w:val="lowerLetter"/>
      <w:lvlText w:val="%1)"/>
      <w:lvlJc w:val="left"/>
      <w:pPr>
        <w:ind w:left="420" w:hanging="420"/>
      </w:pPr>
      <w:rPr>
        <w:lang w:eastAsia="zh-C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8">
    <w:nsid w:val="00000059"/>
    <w:multiLevelType w:val="multilevel"/>
    <w:tmpl w:val="09F81FD3"/>
    <w:lvl w:ilvl="0">
      <w:start w:val="1"/>
      <w:numFmt w:val="japaneseCounting"/>
      <w:lvlText w:val="第%1章"/>
      <w:lvlJc w:val="left"/>
      <w:pPr>
        <w:tabs>
          <w:tab w:val="num" w:pos="5965"/>
        </w:tabs>
        <w:ind w:left="5965"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2"/>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2"/>
    <w:qFormat/>
    <w:pPr>
      <w:adjustRightInd w:val="0"/>
      <w:jc w:val="center"/>
      <w:textAlignment w:val="baseline"/>
      <w:outlineLvl w:val="1"/>
    </w:pPr>
    <w:rPr>
      <w:kern w:val="0"/>
      <w:sz w:val="24"/>
      <w:szCs w:val="20"/>
    </w:rPr>
  </w:style>
  <w:style w:type="paragraph" w:styleId="Heading3">
    <w:name w:val="heading 3"/>
    <w:basedOn w:val="Heading4"/>
    <w:next w:val="Normal"/>
    <w:link w:val="32"/>
    <w:qFormat/>
    <w:pPr>
      <w:spacing w:before="260" w:after="260" w:line="240" w:lineRule="auto"/>
      <w:outlineLvl w:val="2"/>
    </w:pPr>
    <w:rPr>
      <w:rFonts w:ascii="宋体" w:eastAsia="宋体" w:hAnsi="宋体"/>
      <w:szCs w:val="32"/>
    </w:rPr>
  </w:style>
  <w:style w:type="paragraph" w:styleId="Heading4">
    <w:name w:val="heading 4"/>
    <w:basedOn w:val="Normal"/>
    <w:next w:val="Normal"/>
    <w:link w:val="43"/>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link w:val="a"/>
    <w:qFormat/>
    <w:rPr>
      <w:sz w:val="24"/>
    </w:rPr>
  </w:style>
  <w:style w:type="character" w:customStyle="1" w:styleId="a">
    <w:name w:val="普通(网站) 字符"/>
    <w:link w:val="NormalWeb"/>
    <w:qFormat/>
    <w:rPr>
      <w:kern w:val="2"/>
      <w:sz w:val="24"/>
      <w:szCs w:val="24"/>
    </w:rPr>
  </w:style>
  <w:style w:type="character" w:customStyle="1" w:styleId="43">
    <w:name w:val="标题 4 字符3"/>
    <w:link w:val="Heading4"/>
    <w:qFormat/>
    <w:rPr>
      <w:rFonts w:ascii="Arial" w:eastAsia="黑体" w:hAnsi="Arial"/>
      <w:b/>
      <w:bCs/>
      <w:kern w:val="2"/>
      <w:sz w:val="28"/>
      <w:szCs w:val="28"/>
      <w:lang w:val="en-US" w:eastAsia="zh-CN" w:bidi="ar-SA"/>
    </w:rPr>
  </w:style>
  <w:style w:type="paragraph" w:styleId="CommentText">
    <w:name w:val="annotation text"/>
    <w:basedOn w:val="Normal"/>
    <w:link w:val="3"/>
    <w:qFormat/>
    <w:pPr>
      <w:autoSpaceDE w:val="0"/>
      <w:autoSpaceDN w:val="0"/>
      <w:adjustRightInd w:val="0"/>
      <w:jc w:val="left"/>
      <w:textAlignment w:val="baseline"/>
    </w:pPr>
    <w:rPr>
      <w:rFonts w:ascii="宋体"/>
      <w:kern w:val="0"/>
      <w:sz w:val="34"/>
      <w:szCs w:val="20"/>
    </w:rPr>
  </w:style>
  <w:style w:type="character" w:customStyle="1" w:styleId="3">
    <w:name w:val="批注文字 字符3"/>
    <w:link w:val="CommentText"/>
    <w:uiPriority w:val="99"/>
    <w:qFormat/>
    <w:rPr>
      <w:rFonts w:ascii="宋体" w:eastAsia="宋体"/>
      <w:sz w:val="34"/>
      <w:lang w:val="en-US" w:eastAsia="zh-CN" w:bidi="ar-SA"/>
    </w:rPr>
  </w:style>
  <w:style w:type="character" w:customStyle="1" w:styleId="32">
    <w:name w:val="标题 3 字符2"/>
    <w:link w:val="Heading3"/>
    <w:qFormat/>
    <w:rPr>
      <w:rFonts w:ascii="宋体" w:eastAsia="宋体" w:hAnsi="宋体"/>
      <w:b/>
      <w:bCs/>
      <w:kern w:val="2"/>
      <w:sz w:val="28"/>
      <w:szCs w:val="32"/>
      <w:lang w:val="en-US" w:eastAsia="zh-CN" w:bidi="ar-SA"/>
    </w:rPr>
  </w:style>
  <w:style w:type="character" w:customStyle="1" w:styleId="12">
    <w:name w:val="标题 1 字符2"/>
    <w:link w:val="Heading1"/>
    <w:qFormat/>
    <w:rPr>
      <w:rFonts w:ascii="宋体" w:eastAsia="黑体" w:hAnsi="宋体"/>
      <w:b/>
      <w:bCs/>
      <w:kern w:val="44"/>
      <w:sz w:val="28"/>
      <w:szCs w:val="44"/>
      <w:lang w:val="en-US" w:eastAsia="zh-CN" w:bidi="ar-SA"/>
    </w:rPr>
  </w:style>
  <w:style w:type="character" w:customStyle="1" w:styleId="22">
    <w:name w:val="标题 2 字符2"/>
    <w:link w:val="Heading2"/>
    <w:qFormat/>
    <w:rPr>
      <w:rFonts w:ascii="宋体" w:eastAsia="宋体" w:hAnsi="宋体"/>
      <w:b/>
      <w:bCs/>
      <w:sz w:val="24"/>
      <w:lang w:val="en-US" w:eastAsia="zh-CN" w:bidi="ar-SA"/>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无间隔1"/>
    <w:pPr>
      <w:widowControl w:val="0"/>
      <w:jc w:val="both"/>
    </w:pPr>
    <w:rPr>
      <w:rFonts w:ascii="Times New Roman" w:eastAsia="宋体" w:hAnsi="Times New Roman" w:cs="Times New Roman"/>
      <w:kern w:val="2"/>
      <w:sz w:val="21"/>
      <w:szCs w:val="24"/>
      <w:lang w:val="en-US" w:eastAsia="zh-CN" w:bidi="ar-SA"/>
    </w:rPr>
  </w:style>
  <w:style w:type="paragraph" w:customStyle="1" w:styleId="ListParagraph">
    <w:name w:val="List Paragraph"/>
    <w:basedOn w:val="Normal"/>
    <w:uiPriority w:val="34"/>
    <w:qFormat/>
    <w:pPr>
      <w:spacing w:line="360" w:lineRule="auto"/>
      <w:ind w:firstLine="420" w:firstLineChars="200"/>
    </w:pPr>
    <w:rPr>
      <w:sz w:val="24"/>
    </w:rPr>
  </w:style>
  <w:style w:type="character" w:customStyle="1" w:styleId="3Char">
    <w:name w:val="标题 3 Char"/>
    <w:rPr>
      <w:rFonts w:ascii="黑体" w:eastAsia="黑体"/>
      <w:bCs/>
      <w:sz w:val="30"/>
    </w:rPr>
  </w:style>
  <w:style w:type="paragraph" w:styleId="NormalIndent">
    <w:name w:val="Normal Indent"/>
    <w:basedOn w:val="Normal"/>
    <w:link w:val="a0"/>
    <w:qFormat/>
    <w:pPr>
      <w:ind w:firstLine="420"/>
    </w:pPr>
    <w:rPr>
      <w:szCs w:val="20"/>
    </w:rPr>
  </w:style>
  <w:style w:type="character" w:customStyle="1" w:styleId="a0">
    <w:name w:val="正文缩进 字符"/>
    <w:link w:val="NormalIndent"/>
    <w:qFormat/>
    <w:rPr>
      <w:rFonts w:eastAsia="宋体"/>
      <w:kern w:val="2"/>
      <w:sz w:val="21"/>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117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